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AlpineWatch-1</w:t>
      </w:r>
    </w:p>
    <w:p>
      <w:r>
        <w:t>Phase 0 Mission Proposal</w:t>
      </w:r>
    </w:p>
    <w:p>
      <w:r>
        <w:t>Date: 2026-05-01</w:t>
      </w:r>
    </w:p>
    <w:p>
      <w:r>
        <w:t>Version: MVP Draft</w:t>
      </w:r>
    </w:p>
    <w:p>
      <w:r>
        <w:br w:type="page"/>
      </w:r>
    </w:p>
    <w:p>
      <w:pPr>
        <w:pStyle w:val="Heading1"/>
      </w:pPr>
      <w:r>
        <w:t>MVP Scope and Limitations</w:t>
      </w:r>
    </w:p>
    <w:p>
      <w:r>
        <w:t>1. This MVP report is generated for a single-satellite mission concept. It does not analyze constellation deployment, multi-satellite phasing, revisit optimization, inter-satellite links, or multi-plane architectures.</w:t>
      </w:r>
    </w:p>
    <w:p>
      <w:r>
        <w:t>2. This MVP report assumes an Earth Observation payload concept. Payload-specific analysis is limited to high-level swath, resolution, mass, and power assumptions where provided.</w:t>
      </w:r>
    </w:p>
    <w:p>
      <w:pPr>
        <w:pStyle w:val="Heading1"/>
      </w:pPr>
      <w:r>
        <w:t>Executive Summary</w:t>
      </w:r>
    </w:p>
    <w:p>
      <w:r>
        <w:t>During launch, the spacecraft is integrated with the selected launch vehicle, remains unpowered or in launch configuration as required by the launch provider, and separates into an initial low Earth orbit. During launch and early orbit operations, the spacecraft powers up, establishes a safe attitude and power-positive state, initializes command and telemetry links, and assesses basic spacecraft health. During orbit insertion or orbit acquisition, the mission uses the launcher-delivered orbit directly or performs any required orbit trim or acquisition activities needed to achieve the operational 550 km circular orbit at 97.6 degrees inclination, subject to the final propulsion concept. During commissioning, the mission team verifies bus subsystems, communications, power, thermal control, onboard storage, and attitude functions, then activates the multispectral payload, performs calibrations, and acquires initial test imagery to confirm imaging performance against mission requirements. During nominal operations, the spacecraft executes planned target imaging passes, stores payload data onboard between contacts, downlinks imagery and housekeeping telemetry during scheduled ground station passes, receives updated command loads, and repeats this cycle for the operational mission life. During contingency operations, fault detection logic or ground command places the spacecraft in safe mode, payload operations are suspended, essential power and thermal control are maintained, housekeeping telemetry is prioritized, and recovery actions are planned and executed from the ground. During end-of-life operations, routine imaging is terminated, residual energy sources are passivated as applicable, final telemetry is downlinked, and the spacecraft performs the approved disposal sequence or is placed in a compliant post-mission configuration consistent with the selected debris mitigation standard.</w:t>
      </w:r>
    </w:p>
    <w:p>
      <w:pPr>
        <w:pStyle w:val="Heading1"/>
      </w:pPr>
      <w:r>
        <w:t>Mission Overview</w:t>
      </w:r>
    </w:p>
    <w:p>
      <w:r>
        <w:t>- Acquire multispectral Earth observation imagery from a 550 km circular orbit at 97.6 degrees inclination with 5 m ground sampling distance over selected land targets.</w:t>
      </w:r>
    </w:p>
    <w:p>
      <w:r>
        <w:t>- Provide imagery with a swath width of 40 km to support repeated monitoring of alpine and other terrestrial regions during a 3-year mission life.</w:t>
      </w:r>
    </w:p>
    <w:p>
      <w:r>
        <w:t>- Downlink collected payload data and associated telemetry to ground stations for routine mission operations and image product generation.</w:t>
      </w:r>
    </w:p>
    <w:p>
      <w:r>
        <w:t>- Demonstrate sustained on-orbit operation of a multispectral payload with 8 kg mass and 35 W nominal power consumption on an MVP Earth observation platform.</w:t>
      </w:r>
    </w:p>
    <w:p>
      <w:pPr>
        <w:pStyle w:val="Heading1"/>
      </w:pPr>
      <w:r>
        <w:t>Mission Requirements</w:t>
      </w:r>
    </w:p>
    <w:tbl>
      <w:tblPr>
        <w:tblStyle w:val="TableGrid"/>
        <w:tblW w:type="auto" w:w="0"/>
        <w:tblLook w:firstColumn="1" w:firstRow="1" w:lastColumn="0" w:lastRow="0" w:noHBand="0" w:noVBand="1" w:val="04A0"/>
      </w:tblPr>
      <w:tblGrid>
        <w:gridCol w:w="2769"/>
        <w:gridCol w:w="2769"/>
        <w:gridCol w:w="2769"/>
      </w:tblGrid>
      <w:tr>
        <w:tc>
          <w:tcPr>
            <w:tcW w:type="dxa" w:w="2769"/>
            <w:shd w:fill="D9D9D9"/>
          </w:tcPr>
          <w:p>
            <w:r>
              <w:t>ID</w:t>
            </w:r>
          </w:p>
        </w:tc>
        <w:tc>
          <w:tcPr>
            <w:tcW w:type="dxa" w:w="2769"/>
            <w:shd w:fill="D9D9D9"/>
          </w:tcPr>
          <w:p>
            <w:r>
              <w:t>Requirement</w:t>
            </w:r>
          </w:p>
        </w:tc>
        <w:tc>
          <w:tcPr>
            <w:tcW w:type="dxa" w:w="2769"/>
            <w:shd w:fill="D9D9D9"/>
          </w:tcPr>
          <w:p>
            <w:r>
              <w:t>Rationale</w:t>
            </w:r>
          </w:p>
        </w:tc>
      </w:tr>
      <w:tr>
        <w:tc>
          <w:tcPr>
            <w:tcW w:type="dxa" w:w="2769"/>
          </w:tcPr>
          <w:p>
            <w:r>
              <w:t>MR-01</w:t>
            </w:r>
          </w:p>
        </w:tc>
        <w:tc>
          <w:tcPr>
            <w:tcW w:type="dxa" w:w="2769"/>
          </w:tcPr>
          <w:p>
            <w:r>
              <w:t>The spacecraft shall be compatible with injection into a 550 km circular orbit with an inclination of 97.6 degrees plus or minus 0.2 degrees.</w:t>
            </w:r>
          </w:p>
        </w:tc>
        <w:tc>
          <w:tcPr>
            <w:tcW w:type="dxa" w:w="2769"/>
          </w:tcPr>
          <w:p>
            <w:r>
              <w:t>The operational orbit defines imaging geometry, coverage, and environmental conditions used by the mission concept.</w:t>
            </w:r>
          </w:p>
        </w:tc>
      </w:tr>
      <w:tr>
        <w:tc>
          <w:tcPr>
            <w:tcW w:type="dxa" w:w="2769"/>
          </w:tcPr>
          <w:p>
            <w:r>
              <w:t>MR-02</w:t>
            </w:r>
          </w:p>
        </w:tc>
        <w:tc>
          <w:tcPr>
            <w:tcW w:type="dxa" w:w="2769"/>
          </w:tcPr>
          <w:p>
            <w:r>
              <w:t>The spacecraft shall support nominal on-orbit operations for not less than 3.0 years after completion of commissioning.</w:t>
            </w:r>
          </w:p>
        </w:tc>
        <w:tc>
          <w:tcPr>
            <w:tcW w:type="dxa" w:w="2769"/>
          </w:tcPr>
          <w:p>
            <w:r>
              <w:t>The stated mission life must be translated into a minimum verifiable operational duration.</w:t>
            </w:r>
          </w:p>
        </w:tc>
      </w:tr>
      <w:tr>
        <w:tc>
          <w:tcPr>
            <w:tcW w:type="dxa" w:w="2769"/>
          </w:tcPr>
          <w:p>
            <w:r>
              <w:t>MR-03</w:t>
            </w:r>
          </w:p>
        </w:tc>
        <w:tc>
          <w:tcPr>
            <w:tcW w:type="dxa" w:w="2769"/>
          </w:tcPr>
          <w:p>
            <w:r>
              <w:t>The payload shall acquire multispectral imagery with a ground sampling distance of 5 m or finer at nadir from the nominal operating altitude of 550 km.</w:t>
            </w:r>
          </w:p>
        </w:tc>
        <w:tc>
          <w:tcPr>
            <w:tcW w:type="dxa" w:w="2769"/>
          </w:tcPr>
          <w:p>
            <w:r>
              <w:t>Ground sampling distance is a primary mission performance parameter.</w:t>
            </w:r>
          </w:p>
        </w:tc>
      </w:tr>
      <w:tr>
        <w:tc>
          <w:tcPr>
            <w:tcW w:type="dxa" w:w="2769"/>
          </w:tcPr>
          <w:p>
            <w:r>
              <w:t>MR-04</w:t>
            </w:r>
          </w:p>
        </w:tc>
        <w:tc>
          <w:tcPr>
            <w:tcW w:type="dxa" w:w="2769"/>
          </w:tcPr>
          <w:p>
            <w:r>
              <w:t>The payload shall acquire multispectral imagery with a swath width of 40 km or greater at nadir from the nominal operating altitude of 550 km.</w:t>
            </w:r>
          </w:p>
        </w:tc>
        <w:tc>
          <w:tcPr>
            <w:tcW w:type="dxa" w:w="2769"/>
          </w:tcPr>
          <w:p>
            <w:r>
              <w:t>Swath width is a primary mission performance parameter affecting coverage.</w:t>
            </w:r>
          </w:p>
        </w:tc>
      </w:tr>
      <w:tr>
        <w:tc>
          <w:tcPr>
            <w:tcW w:type="dxa" w:w="2769"/>
          </w:tcPr>
          <w:p>
            <w:r>
              <w:t>MR-05</w:t>
            </w:r>
          </w:p>
        </w:tc>
        <w:tc>
          <w:tcPr>
            <w:tcW w:type="dxa" w:w="2769"/>
          </w:tcPr>
          <w:p>
            <w:r>
              <w:t>The spacecraft electrical power subsystem shall provide not less than 35 W to the payload during nominal imaging operations.</w:t>
            </w:r>
          </w:p>
        </w:tc>
        <w:tc>
          <w:tcPr>
            <w:tcW w:type="dxa" w:w="2769"/>
          </w:tcPr>
          <w:p>
            <w:r>
              <w:t>The payload nominal power demand must be supported during image acquisition.</w:t>
            </w:r>
          </w:p>
        </w:tc>
      </w:tr>
      <w:tr>
        <w:tc>
          <w:tcPr>
            <w:tcW w:type="dxa" w:w="2769"/>
          </w:tcPr>
          <w:p>
            <w:r>
              <w:t>MR-06</w:t>
            </w:r>
          </w:p>
        </w:tc>
        <w:tc>
          <w:tcPr>
            <w:tcW w:type="dxa" w:w="2769"/>
          </w:tcPr>
          <w:p>
            <w:r>
              <w:t>The spacecraft mechanical and structural design shall accommodate a payload mass of not less than 8 kg.</w:t>
            </w:r>
          </w:p>
        </w:tc>
        <w:tc>
          <w:tcPr>
            <w:tcW w:type="dxa" w:w="2769"/>
          </w:tcPr>
          <w:p>
            <w:r>
              <w:t>The platform must support the defined payload mass.</w:t>
            </w:r>
          </w:p>
        </w:tc>
      </w:tr>
      <w:tr>
        <w:tc>
          <w:tcPr>
            <w:tcW w:type="dxa" w:w="2769"/>
          </w:tcPr>
          <w:p>
            <w:r>
              <w:t>MR-07</w:t>
            </w:r>
          </w:p>
        </w:tc>
        <w:tc>
          <w:tcPr>
            <w:tcW w:type="dxa" w:w="2769"/>
          </w:tcPr>
          <w:p>
            <w:r>
              <w:t>The attitude determination and control subsystem shall maintain spacecraft attitude knowledge and control during imaging within limits allocated to achieve the ground sampling distance requirement of MR-03.</w:t>
            </w:r>
          </w:p>
        </w:tc>
        <w:tc>
          <w:tcPr>
            <w:tcW w:type="dxa" w:w="2769"/>
          </w:tcPr>
          <w:p>
            <w:r>
              <w:t>Image acquisition performance depends on quantified attitude performance allocated from system image quality requirements.</w:t>
            </w:r>
          </w:p>
        </w:tc>
      </w:tr>
      <w:tr>
        <w:tc>
          <w:tcPr>
            <w:tcW w:type="dxa" w:w="2769"/>
          </w:tcPr>
          <w:p>
            <w:r>
              <w:t>MR-08</w:t>
            </w:r>
          </w:p>
        </w:tc>
        <w:tc>
          <w:tcPr>
            <w:tcW w:type="dxa" w:w="2769"/>
          </w:tcPr>
          <w:p>
            <w:r>
              <w:t>The spacecraft onboard data handling subsystem shall store payload data and housekeeping telemetry between ground contacts without data loss for the maximum planned interval between scheduled downlink opportunities.</w:t>
            </w:r>
          </w:p>
        </w:tc>
        <w:tc>
          <w:tcPr>
            <w:tcW w:type="dxa" w:w="2769"/>
          </w:tcPr>
          <w:p>
            <w:r>
              <w:t>Low Earth orbit operations require onboard storage between contacts with the ground segment.</w:t>
            </w:r>
          </w:p>
        </w:tc>
      </w:tr>
      <w:tr>
        <w:tc>
          <w:tcPr>
            <w:tcW w:type="dxa" w:w="2769"/>
          </w:tcPr>
          <w:p>
            <w:r>
              <w:t>MR-09</w:t>
            </w:r>
          </w:p>
        </w:tc>
        <w:tc>
          <w:tcPr>
            <w:tcW w:type="dxa" w:w="2769"/>
          </w:tcPr>
          <w:p>
            <w:r>
              <w:t>The communications subsystem shall downlink payload data and housekeeping telemetry during scheduled ground station contacts at a rate sufficient to return the planned average daily data volume.</w:t>
            </w:r>
          </w:p>
        </w:tc>
        <w:tc>
          <w:tcPr>
            <w:tcW w:type="dxa" w:w="2769"/>
          </w:tcPr>
          <w:p>
            <w:r>
              <w:t>The communications design must be sized against mission data return needs.</w:t>
            </w:r>
          </w:p>
        </w:tc>
      </w:tr>
      <w:tr>
        <w:tc>
          <w:tcPr>
            <w:tcW w:type="dxa" w:w="2769"/>
          </w:tcPr>
          <w:p>
            <w:r>
              <w:t>MR-10</w:t>
            </w:r>
          </w:p>
        </w:tc>
        <w:tc>
          <w:tcPr>
            <w:tcW w:type="dxa" w:w="2769"/>
          </w:tcPr>
          <w:p>
            <w:r>
              <w:t>The communications subsystem shall support command uplink during nominal operations, contingency operations, and end-of-life operations.</w:t>
            </w:r>
          </w:p>
        </w:tc>
        <w:tc>
          <w:tcPr>
            <w:tcW w:type="dxa" w:w="2769"/>
          </w:tcPr>
          <w:p>
            <w:r>
              <w:t>The mission requires command capability throughout all operational phases.</w:t>
            </w:r>
          </w:p>
        </w:tc>
      </w:tr>
      <w:tr>
        <w:tc>
          <w:tcPr>
            <w:tcW w:type="dxa" w:w="2769"/>
          </w:tcPr>
          <w:p>
            <w:r>
              <w:t>MR-11</w:t>
            </w:r>
          </w:p>
        </w:tc>
        <w:tc>
          <w:tcPr>
            <w:tcW w:type="dxa" w:w="2769"/>
          </w:tcPr>
          <w:p>
            <w:r>
              <w:t>The spacecraft shall complete a commissioning phase after orbit insertion during which spacecraft bus functions, communications links, attitude control functions, payload activation, and initial imaging performance are verified.</w:t>
            </w:r>
          </w:p>
        </w:tc>
        <w:tc>
          <w:tcPr>
            <w:tcW w:type="dxa" w:w="2769"/>
          </w:tcPr>
          <w:p>
            <w:r>
              <w:t>A defined commissioning phase is required before routine operations begin.</w:t>
            </w:r>
          </w:p>
        </w:tc>
      </w:tr>
      <w:tr>
        <w:tc>
          <w:tcPr>
            <w:tcW w:type="dxa" w:w="2769"/>
          </w:tcPr>
          <w:p>
            <w:r>
              <w:t>MR-12</w:t>
            </w:r>
          </w:p>
        </w:tc>
        <w:tc>
          <w:tcPr>
            <w:tcW w:type="dxa" w:w="2769"/>
          </w:tcPr>
          <w:p>
            <w:r>
              <w:t>The spacecraft shall implement an operational concept that includes launch and early orbit operations, orbit insertion or orbit acquisition, commissioning, nominal imaging operations, contingency operations, and end-of-life operations.</w:t>
            </w:r>
          </w:p>
        </w:tc>
        <w:tc>
          <w:tcPr>
            <w:tcW w:type="dxa" w:w="2769"/>
          </w:tcPr>
          <w:p>
            <w:r>
              <w:t>All mission lifecycle phases must be covered explicitly in the concept of operations.</w:t>
            </w:r>
          </w:p>
        </w:tc>
      </w:tr>
      <w:tr>
        <w:tc>
          <w:tcPr>
            <w:tcW w:type="dxa" w:w="2769"/>
          </w:tcPr>
          <w:p>
            <w:r>
              <w:t>MR-13</w:t>
            </w:r>
          </w:p>
        </w:tc>
        <w:tc>
          <w:tcPr>
            <w:tcW w:type="dxa" w:w="2769"/>
          </w:tcPr>
          <w:p>
            <w:r>
              <w:t>The spacecraft fault management function shall command transition to a safe mode upon detection of faults that violate predefined keep-alive thresholds for power, thermal, or attitude control.</w:t>
            </w:r>
          </w:p>
        </w:tc>
        <w:tc>
          <w:tcPr>
            <w:tcW w:type="dxa" w:w="2769"/>
          </w:tcPr>
          <w:p>
            <w:r>
              <w:t>Contingency operations require an automatic recoverable state based on defined fault criteria.</w:t>
            </w:r>
          </w:p>
        </w:tc>
      </w:tr>
      <w:tr>
        <w:tc>
          <w:tcPr>
            <w:tcW w:type="dxa" w:w="2769"/>
          </w:tcPr>
          <w:p>
            <w:r>
              <w:t>MR-14</w:t>
            </w:r>
          </w:p>
        </w:tc>
        <w:tc>
          <w:tcPr>
            <w:tcW w:type="dxa" w:w="2769"/>
          </w:tcPr>
          <w:p>
            <w:r>
              <w:t>The telemetry subsystem shall provide housekeeping telemetry for power status, thermal status, attitude status, command and data handling status, and communications status during all operational phases.</w:t>
            </w:r>
          </w:p>
        </w:tc>
        <w:tc>
          <w:tcPr>
            <w:tcW w:type="dxa" w:w="2769"/>
          </w:tcPr>
          <w:p>
            <w:r>
              <w:t>Operators require observable health data to assess spacecraft condition and perform recovery actions.</w:t>
            </w:r>
          </w:p>
        </w:tc>
      </w:tr>
      <w:tr>
        <w:tc>
          <w:tcPr>
            <w:tcW w:type="dxa" w:w="2769"/>
          </w:tcPr>
          <w:p>
            <w:r>
              <w:t>MR-15</w:t>
            </w:r>
          </w:p>
        </w:tc>
        <w:tc>
          <w:tcPr>
            <w:tcW w:type="dxa" w:w="2769"/>
          </w:tcPr>
          <w:p>
            <w:r>
              <w:t>The spacecraft shall execute an end-of-life disposal sequence that meets the applicable mission debris mitigation requirement for maximum post-mission orbital lifetime.</w:t>
            </w:r>
          </w:p>
        </w:tc>
        <w:tc>
          <w:tcPr>
            <w:tcW w:type="dxa" w:w="2769"/>
          </w:tcPr>
          <w:p>
            <w:r>
              <w:t>End-of-life compliance must be expressed as a verifiable disposal outcome tied to a selected standard.</w:t>
            </w:r>
          </w:p>
        </w:tc>
      </w:tr>
    </w:tbl>
    <w:p>
      <w:pPr>
        <w:pStyle w:val="Heading1"/>
      </w:pPr>
      <w:r>
        <w:t>Mass Budget</w:t>
      </w:r>
    </w:p>
    <w:p>
      <w:r>
        <w:rPr>
          <w:color w:val="990000"/>
        </w:rPr>
        <w:t>Mass status: RED</w:t>
      </w:r>
    </w:p>
    <w:tbl>
      <w:tblPr>
        <w:tblStyle w:val="TableGrid"/>
        <w:tblW w:type="auto" w:w="0"/>
        <w:tblLook w:firstColumn="1" w:firstRow="1" w:lastColumn="0" w:lastRow="0" w:noHBand="0" w:noVBand="1" w:val="04A0"/>
      </w:tblPr>
      <w:tblGrid>
        <w:gridCol w:w="2076"/>
        <w:gridCol w:w="2076"/>
        <w:gridCol w:w="2076"/>
        <w:gridCol w:w="2076"/>
      </w:tblGrid>
      <w:tr>
        <w:tc>
          <w:tcPr>
            <w:tcW w:type="dxa" w:w="2076"/>
            <w:shd w:fill="D9D9D9"/>
          </w:tcPr>
          <w:p>
            <w:r>
              <w:t>Subsystem</w:t>
            </w:r>
          </w:p>
        </w:tc>
        <w:tc>
          <w:tcPr>
            <w:tcW w:type="dxa" w:w="2076"/>
            <w:shd w:fill="D9D9D9"/>
          </w:tcPr>
          <w:p>
            <w:r>
              <w:t>Mass (kg)</w:t>
            </w:r>
          </w:p>
        </w:tc>
        <w:tc>
          <w:tcPr>
            <w:tcW w:type="dxa" w:w="2076"/>
            <w:shd w:fill="D9D9D9"/>
          </w:tcPr>
          <w:p>
            <w:r>
              <w:t>Margin %</w:t>
            </w:r>
          </w:p>
        </w:tc>
        <w:tc>
          <w:tcPr>
            <w:tcW w:type="dxa" w:w="2076"/>
            <w:shd w:fill="D9D9D9"/>
          </w:tcPr>
          <w:p>
            <w:r>
              <w:t>Notes</w:t>
            </w:r>
          </w:p>
        </w:tc>
      </w:tr>
    </w:tbl>
    <w:p>
      <w:r>
        <w:t>Total dry mass (kg): 0.0</w:t>
      </w:r>
    </w:p>
    <w:p>
      <w:r>
        <w:t>Total wet mass (kg): 0.0</w:t>
      </w:r>
    </w:p>
    <w:p>
      <w:pPr>
        <w:pStyle w:val="Heading1"/>
      </w:pPr>
      <w:r>
        <w:t>Power Budget</w:t>
      </w:r>
    </w:p>
    <w:p>
      <w:r>
        <w:rPr>
          <w:color w:val="996600"/>
        </w:rPr>
        <w:t>Power status: YELLOW</w:t>
      </w:r>
    </w:p>
    <w:p>
      <w:r>
        <w:t>Solar array area (m^2): 0.75</w:t>
      </w:r>
    </w:p>
    <w:p>
      <w:r>
        <w:t>Battery capacity (Wh): 65.1</w:t>
      </w:r>
    </w:p>
    <w:p>
      <w:r>
        <w:t>Eclipse duration (min): 35.0</w:t>
      </w:r>
    </w:p>
    <w:p>
      <w:pPr>
        <w:pStyle w:val="Heading1"/>
      </w:pPr>
      <w:r>
        <w:t>Cost Estimate</w:t>
      </w:r>
    </w:p>
    <w:tbl>
      <w:tblPr>
        <w:tblStyle w:val="TableGrid"/>
        <w:tblW w:type="auto" w:w="0"/>
        <w:tblLook w:firstColumn="1" w:firstRow="1" w:lastColumn="0" w:lastRow="0" w:noHBand="0" w:noVBand="1" w:val="04A0"/>
      </w:tblPr>
      <w:tblGrid>
        <w:gridCol w:w="2769"/>
        <w:gridCol w:w="2769"/>
        <w:gridCol w:w="2769"/>
      </w:tblGrid>
      <w:tr>
        <w:tc>
          <w:tcPr>
            <w:tcW w:type="dxa" w:w="2769"/>
            <w:shd w:fill="D9D9D9"/>
          </w:tcPr>
          <w:p>
            <w:r>
              <w:t>Category</w:t>
            </w:r>
          </w:p>
        </w:tc>
        <w:tc>
          <w:tcPr>
            <w:tcW w:type="dxa" w:w="2769"/>
            <w:shd w:fill="D9D9D9"/>
          </w:tcPr>
          <w:p>
            <w:r>
              <w:t>Cost (kEUR)</w:t>
            </w:r>
          </w:p>
        </w:tc>
        <w:tc>
          <w:tcPr>
            <w:tcW w:type="dxa" w:w="2769"/>
            <w:shd w:fill="D9D9D9"/>
          </w:tcPr>
          <w:p>
            <w:r>
              <w:t>Basis</w:t>
            </w:r>
          </w:p>
        </w:tc>
      </w:tr>
      <w:tr>
        <w:tc>
          <w:tcPr>
            <w:tcW w:type="dxa" w:w="2769"/>
          </w:tcPr>
          <w:p>
            <w:r>
              <w:t>Spacecraft Hardware</w:t>
            </w:r>
          </w:p>
        </w:tc>
        <w:tc>
          <w:tcPr>
            <w:tcW w:type="dxa" w:w="2769"/>
          </w:tcPr>
          <w:p>
            <w:r>
              <w:t>7200.0</w:t>
            </w:r>
          </w:p>
        </w:tc>
        <w:tc>
          <w:tcPr>
            <w:tcW w:type="dxa" w:w="2769"/>
          </w:tcPr>
          <w:p>
            <w:r>
              <w:t>Engineering judgment</w:t>
            </w:r>
          </w:p>
        </w:tc>
      </w:tr>
      <w:tr>
        <w:tc>
          <w:tcPr>
            <w:tcW w:type="dxa" w:w="2769"/>
          </w:tcPr>
          <w:p>
            <w:r>
              <w:t>Integration &amp; Test</w:t>
            </w:r>
          </w:p>
        </w:tc>
        <w:tc>
          <w:tcPr>
            <w:tcW w:type="dxa" w:w="2769"/>
          </w:tcPr>
          <w:p>
            <w:r>
              <w:t>2100.0</w:t>
            </w:r>
          </w:p>
        </w:tc>
        <w:tc>
          <w:tcPr>
            <w:tcW w:type="dxa" w:w="2769"/>
          </w:tcPr>
          <w:p>
            <w:r>
              <w:t>Engineering judgment</w:t>
            </w:r>
          </w:p>
        </w:tc>
      </w:tr>
      <w:tr>
        <w:tc>
          <w:tcPr>
            <w:tcW w:type="dxa" w:w="2769"/>
          </w:tcPr>
          <w:p>
            <w:r>
              <w:t>Launch</w:t>
            </w:r>
          </w:p>
        </w:tc>
        <w:tc>
          <w:tcPr>
            <w:tcW w:type="dxa" w:w="2769"/>
          </w:tcPr>
          <w:p>
            <w:r>
              <w:t>2800.0</w:t>
            </w:r>
          </w:p>
        </w:tc>
        <w:tc>
          <w:tcPr>
            <w:tcW w:type="dxa" w:w="2769"/>
          </w:tcPr>
          <w:p>
            <w:r>
              <w:t>Engineering judgment</w:t>
            </w:r>
          </w:p>
        </w:tc>
      </w:tr>
      <w:tr>
        <w:tc>
          <w:tcPr>
            <w:tcW w:type="dxa" w:w="2769"/>
          </w:tcPr>
          <w:p>
            <w:r>
              <w:t>Ground Segment</w:t>
            </w:r>
          </w:p>
        </w:tc>
        <w:tc>
          <w:tcPr>
            <w:tcW w:type="dxa" w:w="2769"/>
          </w:tcPr>
          <w:p>
            <w:r>
              <w:t>1400.0</w:t>
            </w:r>
          </w:p>
        </w:tc>
        <w:tc>
          <w:tcPr>
            <w:tcW w:type="dxa" w:w="2769"/>
          </w:tcPr>
          <w:p>
            <w:r>
              <w:t>Engineering judgment</w:t>
            </w:r>
          </w:p>
        </w:tc>
      </w:tr>
      <w:tr>
        <w:tc>
          <w:tcPr>
            <w:tcW w:type="dxa" w:w="2769"/>
          </w:tcPr>
          <w:p>
            <w:r>
              <w:t>Operations</w:t>
            </w:r>
          </w:p>
        </w:tc>
        <w:tc>
          <w:tcPr>
            <w:tcW w:type="dxa" w:w="2769"/>
          </w:tcPr>
          <w:p>
            <w:r>
              <w:t>1800.0</w:t>
            </w:r>
          </w:p>
        </w:tc>
        <w:tc>
          <w:tcPr>
            <w:tcW w:type="dxa" w:w="2769"/>
          </w:tcPr>
          <w:p>
            <w:r>
              <w:t>Engineering judgment</w:t>
            </w:r>
          </w:p>
        </w:tc>
      </w:tr>
      <w:tr>
        <w:tc>
          <w:tcPr>
            <w:tcW w:type="dxa" w:w="2769"/>
          </w:tcPr>
          <w:p>
            <w:r>
              <w:t>Program Management</w:t>
            </w:r>
          </w:p>
        </w:tc>
        <w:tc>
          <w:tcPr>
            <w:tcW w:type="dxa" w:w="2769"/>
          </w:tcPr>
          <w:p>
            <w:r>
              <w:t>1900.0</w:t>
            </w:r>
          </w:p>
        </w:tc>
        <w:tc>
          <w:tcPr>
            <w:tcW w:type="dxa" w:w="2769"/>
          </w:tcPr>
          <w:p>
            <w:r>
              <w:t>Engineering judgment</w:t>
            </w:r>
          </w:p>
        </w:tc>
      </w:tr>
      <w:tr>
        <w:tc>
          <w:tcPr>
            <w:tcW w:type="dxa" w:w="2769"/>
          </w:tcPr>
          <w:p>
            <w:r>
              <w:t>Contingency</w:t>
            </w:r>
          </w:p>
        </w:tc>
        <w:tc>
          <w:tcPr>
            <w:tcW w:type="dxa" w:w="2769"/>
          </w:tcPr>
          <w:p>
            <w:r>
              <w:t>4300.0</w:t>
            </w:r>
          </w:p>
        </w:tc>
        <w:tc>
          <w:tcPr>
            <w:tcW w:type="dxa" w:w="2769"/>
          </w:tcPr>
          <w:p>
            <w:r>
              <w:t>Engineering judgment</w:t>
            </w:r>
          </w:p>
        </w:tc>
      </w:tr>
    </w:tbl>
    <w:p>
      <w:r>
        <w:t>Total cost (kEUR): 21500.0</w:t>
      </w:r>
    </w:p>
    <w:p>
      <w:pPr>
        <w:pStyle w:val="Heading1"/>
      </w:pPr>
      <w:r>
        <w:t>Component Alternatives</w:t>
      </w:r>
    </w:p>
    <w:p>
      <w:pPr>
        <w:pStyle w:val="Heading1"/>
      </w:pPr>
      <w:r>
        <w:t>Assumptions and Open Items</w:t>
      </w:r>
    </w:p>
    <w:p>
      <w:r>
        <w:t>Mission assumptions:</w:t>
      </w:r>
    </w:p>
    <w:p>
      <w:r>
        <w:t>- The launch vehicle and rideshare constraints will permit injection into an orbit that is either the operational 550 km circular orbit at 97.6 degrees inclination or an orbit reachable within the spacecraft delta-v budget.</w:t>
      </w:r>
    </w:p>
    <w:p>
      <w:r>
        <w:t>- The payload optical design can achieve 5 m ground sampling distance and 40 km swath width from 550 km altitude within the spacecraft volume, mass, thermal, and pointing allocations.</w:t>
      </w:r>
    </w:p>
    <w:p>
      <w:r>
        <w:t>- The spacecraft bus can accommodate an 8 kg payload and provide at least 35 W payload power during imaging while maintaining positive power balance over the full orbit.</w:t>
      </w:r>
    </w:p>
    <w:p>
      <w:r>
        <w:t>- The planned ground segment will provide sufficient contact time and link performance to return the average daily payload data volume assumed for mission planning.</w:t>
      </w:r>
    </w:p>
    <w:p>
      <w:r>
        <w:t>- The atmospheric drag environment at 550 km will not reduce orbit lifetime or increase maintenance delta-v beyond the propulsion or passive lifetime assumptions used for the mission concept.</w:t>
      </w:r>
    </w:p>
    <w:p>
      <w:r>
        <w:t>- Radiation, thermal, and atomic oxygen environments for the selected orbit are within the qualification limits assumed for the spacecraft bus and payload components.</w:t>
      </w:r>
    </w:p>
    <w:p>
      <w:r>
        <w:t>- Frequency allocation, licensing, and Earth observation regulatory approvals can be obtained within the project schedule and for the selected communications architecture.</w:t>
      </w:r>
    </w:p>
    <w:p>
      <w:r>
        <w:t>- A debris mitigation compliance path exists for the mission, either through passive orbital decay within the allowed post-mission lifetime or through an active disposal capability.</w:t>
      </w:r>
    </w:p>
    <w:p>
      <w:r>
        <w:t>Open questions:</w:t>
      </w:r>
    </w:p>
    <w:p>
      <w:r>
        <w:t>- What spectral bands, band centers, and bandwidths shall the payload provide, and what radiometric performance metrics shall apply to each band?</w:t>
      </w:r>
    </w:p>
    <w:p>
      <w:r>
        <w:t>- What maximum revisit time, target latitude range, and annual coverage fraction are required to define mission success for the selected land targets?</w:t>
      </w:r>
    </w:p>
    <w:p>
      <w:r>
        <w:t>- What image quality requirements shall be allocated, including MTF at Nyquist, maximum allowable image smear, signal-to-noise ratio, and geolocation accuracy?</w:t>
      </w:r>
    </w:p>
    <w:p>
      <w:r>
        <w:t>- What average and peak daily payload data volumes shall size onboard storage, downlink rate, and ground station contact time requirements?</w:t>
      </w:r>
    </w:p>
    <w:p>
      <w:r>
        <w:t>- What maximum interval between scheduled ground contacts shall the spacecraft be required to tolerate without loss of mission data or commanding capability?</w:t>
      </w:r>
    </w:p>
    <w:p>
      <w:r>
        <w:t>- Is onboard propulsion required, and if so, what delta-v shall be allocated for orbit acquisition, maintenance, collision avoidance, and end-of-life disposal?</w:t>
      </w:r>
    </w:p>
    <w:p>
      <w:r>
        <w:t>- What launch environment limits, separation interface requirements, and spacecraft mass and volume allocations shall be used before launch service procurement?</w:t>
      </w:r>
    </w:p>
    <w:p>
      <w:r>
        <w:t>- What commissioning and calibration concept shall be baselined, including duration, required calibration targets, and any onboard calibration hardware?</w:t>
      </w:r>
    </w:p>
    <w:p>
      <w:r>
        <w:t>- What autonomous fault detection, isolation, and recovery functions shall be implemented, and what faults shall trigger autonomous safe mode entry?</w:t>
      </w:r>
    </w:p>
    <w:p>
      <w:r>
        <w:t>- What debris mitigation standard and maximum post-mission orbital lifetime requirement shall govern the end-of-life design?</w:t>
      </w:r>
    </w:p>
    <w:p>
      <w:pPr>
        <w:pStyle w:val="Heading1"/>
      </w:pPr>
      <w:r>
        <w:t>Disclaimer</w:t>
      </w:r>
    </w:p>
    <w:p>
      <w:r>
        <w:t>This document is an AI-assisted Phase 0 concept draft. All technical values, cost estimates, procurement options, and requirements must be reviewed and validated by a qualified spacecraft systems engineer before use in design, procurement, proposal submission, or mission decision-making.</w:t>
      </w:r>
    </w:p>
    <w:sectPr w:rsidR="00FC693F" w:rsidRPr="0006063C" w:rsidSect="00034616">
      <w:headerReference w:type="default" r:id="rId9"/>
      <w:footerReference w:type="default" r:id="rId10"/>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Page number placeholder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AlpineWatch-1 - MVP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