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LunaObserver-1</w:t>
      </w:r>
    </w:p>
    <w:p>
      <w:r>
        <w:t>Phase 0 Mission Proposal</w:t>
      </w:r>
    </w:p>
    <w:p>
      <w:r>
        <w:t>Date: 2026-05-01</w:t>
      </w:r>
    </w:p>
    <w:p>
      <w:r>
        <w:t>Version: MVP Draft</w:t>
      </w:r>
    </w:p>
    <w:p>
      <w:r>
        <w:br w:type="page"/>
      </w:r>
    </w:p>
    <w:p>
      <w:pPr>
        <w:pStyle w:val="Heading1"/>
      </w:pPr>
      <w:r>
        <w:t>MVP Scope and Limitations</w:t>
      </w:r>
    </w:p>
    <w:p>
      <w:r>
        <w:t>1. This MVP report is generated for a single-satellite mission concept. It does not analyze constellation deployment, multi-satellite phasing, revisit optimization, inter-satellite links, or multi-plane architectures.</w:t>
      </w:r>
    </w:p>
    <w:p>
      <w:r>
        <w:t>2. This MVP report assumes an Earth Observation payload concept. Payload-specific analysis is limited to high-level swath, resolution, mass, and power assumptions where provided.</w:t>
      </w:r>
    </w:p>
    <w:p>
      <w:pPr>
        <w:pStyle w:val="Heading1"/>
      </w:pPr>
      <w:r>
        <w:t>Executive Summary</w:t>
      </w:r>
    </w:p>
    <w:p>
      <w:r>
        <w:t>The mission begins with launch as a Falcon 9 rideshare payload. During launch and early operations, the spacecraft remains in its launch configuration through ascent, separates from the launch vehicle, establishes a power-positive attitude, activates basic command and telemetry functions, performs initial health assessment, and deploys any appendages required for communications or power generation. During transfer to the Moon, the spacecraft performs trajectory correction maneuvers, navigation updates, subsystem checkouts, and fault management monitoring while maintaining thermal and power constraints. At lunar arrival, the spacecraft performs lunar orbit insertion, followed by orbit trim maneuvers and circularization into a 100 km circular lunar orbit. During commissioning, the mission verifies command and telemetry links, power generation and storage, thermal performance, attitude determination and control, propulsion functionality, onboard timing, navigation performance, data handling, and payload activation and calibration. Nominal operations begin only after commissioning completion. During nominal operations, the spacecraft acquires hyperspectral observations over illuminated lunar surface regions that satisfy preplanned geometry and lighting constraints, stores payload and housekeeping data onboard, downlinks stored data during scheduled contacts, and performs orbit maintenance and momentum management as required. During contingency operations, onboard fault detection, isolation, and recovery logic places the spacecraft into safe mode when required, sheds nonessential loads, powers off the payload as needed, maintains survival attitude and thermal conditions, preserves commandability, and supports ground-directed recovery actions for failures such as loss of pointing, low battery state of charge, thermal limit excursions, communications outages, propulsion anomalies, and processor resets. During end-of-life operations, the spacecraft ceases science collection, completes final data return as available, passivates nonrequired subsystems as specified, executes disposal maneuvers to reach the approved terminal state, and terminates routine mission operations.</w:t>
      </w:r>
    </w:p>
    <w:p>
      <w:pPr>
        <w:pStyle w:val="Heading1"/>
      </w:pPr>
      <w:r>
        <w:t>Mission Overview</w:t>
      </w:r>
    </w:p>
    <w:p>
      <w:r>
        <w:t>- Acquire global hyperspectral remote sensing data of the lunar surface from a 100 km circular low lunar orbit over a 2-year mission.</w:t>
      </w:r>
    </w:p>
    <w:p>
      <w:r>
        <w:t>- Generate calibrated spectral maps to support lunar mineralogical and compositional analysis.</w:t>
      </w:r>
    </w:p>
    <w:p>
      <w:r>
        <w:t>- Provide repeated observations of selected lunar regions to improve spatial and temporal coverage within mission lifetime constraints.</w:t>
      </w:r>
    </w:p>
    <w:p>
      <w:r>
        <w:t>- Demonstrate operation of a 10 kg, 50 W hyperspectral imaging payload in low lunar orbit on a rideshare-delivered spacecraft.</w:t>
      </w:r>
    </w:p>
    <w:p>
      <w:pPr>
        <w:pStyle w:val="Heading1"/>
      </w:pPr>
      <w:r>
        <w:t>Mission Requirements</w:t>
      </w:r>
    </w:p>
    <w:tbl>
      <w:tblPr>
        <w:tblStyle w:val="TableGrid"/>
        <w:tblW w:type="auto" w:w="0"/>
        <w:tblLook w:firstColumn="1" w:firstRow="1" w:lastColumn="0" w:lastRow="0" w:noHBand="0" w:noVBand="1" w:val="04A0"/>
      </w:tblPr>
      <w:tblGrid>
        <w:gridCol w:w="2769"/>
        <w:gridCol w:w="2769"/>
        <w:gridCol w:w="2769"/>
      </w:tblGrid>
      <w:tr>
        <w:tc>
          <w:tcPr>
            <w:tcW w:type="dxa" w:w="2769"/>
            <w:shd w:fill="D9D9D9"/>
          </w:tcPr>
          <w:p>
            <w:r>
              <w:t>ID</w:t>
            </w:r>
          </w:p>
        </w:tc>
        <w:tc>
          <w:tcPr>
            <w:tcW w:type="dxa" w:w="2769"/>
            <w:shd w:fill="D9D9D9"/>
          </w:tcPr>
          <w:p>
            <w:r>
              <w:t>Requirement</w:t>
            </w:r>
          </w:p>
        </w:tc>
        <w:tc>
          <w:tcPr>
            <w:tcW w:type="dxa" w:w="2769"/>
            <w:shd w:fill="D9D9D9"/>
          </w:tcPr>
          <w:p>
            <w:r>
              <w:t>Rationale</w:t>
            </w:r>
          </w:p>
        </w:tc>
      </w:tr>
      <w:tr>
        <w:tc>
          <w:tcPr>
            <w:tcW w:type="dxa" w:w="2769"/>
          </w:tcPr>
          <w:p>
            <w:r>
              <w:t>MR-01</w:t>
            </w:r>
          </w:p>
        </w:tc>
        <w:tc>
          <w:tcPr>
            <w:tcW w:type="dxa" w:w="2769"/>
          </w:tcPr>
          <w:p>
            <w:r>
              <w:t>The mission system shall be compatible with a launch as a Falcon 9 rideshare payload in accordance with the launch provider mechanical, mass, volume, separation, and environmental interface requirements.</w:t>
            </w:r>
          </w:p>
        </w:tc>
        <w:tc>
          <w:tcPr>
            <w:tcW w:type="dxa" w:w="2769"/>
          </w:tcPr>
          <w:p>
            <w:r>
              <w:t>Launch compatibility is required for spacecraft integration and deployment.</w:t>
            </w:r>
          </w:p>
        </w:tc>
      </w:tr>
      <w:tr>
        <w:tc>
          <w:tcPr>
            <w:tcW w:type="dxa" w:w="2769"/>
          </w:tcPr>
          <w:p>
            <w:r>
              <w:t>MR-02</w:t>
            </w:r>
          </w:p>
        </w:tc>
        <w:tc>
          <w:tcPr>
            <w:tcW w:type="dxa" w:w="2769"/>
          </w:tcPr>
          <w:p>
            <w:r>
              <w:t>The propulsion subsystem shall provide a total delta-v not less than the sum of the mission delta-v budget for trajectory correction maneuvers, lunar orbit insertion, orbit circularization to 100 km altitude, orbit maintenance, momentum management support, contingency recovery maneuvers, and end-of-life disposal, plus the mission delta-v reserve allocated by the system budget.</w:t>
            </w:r>
          </w:p>
        </w:tc>
        <w:tc>
          <w:tcPr>
            <w:tcW w:type="dxa" w:w="2769"/>
          </w:tcPr>
          <w:p>
            <w:r>
              <w:t>The propulsion capability must cover all planned and reserved maneuver demands across the mission.</w:t>
            </w:r>
          </w:p>
        </w:tc>
      </w:tr>
      <w:tr>
        <w:tc>
          <w:tcPr>
            <w:tcW w:type="dxa" w:w="2769"/>
          </w:tcPr>
          <w:p>
            <w:r>
              <w:t>MR-03</w:t>
            </w:r>
          </w:p>
        </w:tc>
        <w:tc>
          <w:tcPr>
            <w:tcW w:type="dxa" w:w="2769"/>
          </w:tcPr>
          <w:p>
            <w:r>
              <w:t>The spacecraft shall achieve a lunar orbit with a mean perilune altitude of 100 km ± 10 km and a mean apolune altitude of 100 km ± 10 km before the start of nominal science operations.</w:t>
            </w:r>
          </w:p>
        </w:tc>
        <w:tc>
          <w:tcPr>
            <w:tcW w:type="dxa" w:w="2769"/>
          </w:tcPr>
          <w:p>
            <w:r>
              <w:t>The mission concept requires a 100 km circular low lunar orbit for science operations.</w:t>
            </w:r>
          </w:p>
        </w:tc>
      </w:tr>
      <w:tr>
        <w:tc>
          <w:tcPr>
            <w:tcW w:type="dxa" w:w="2769"/>
          </w:tcPr>
          <w:p>
            <w:r>
              <w:t>MR-04</w:t>
            </w:r>
          </w:p>
        </w:tc>
        <w:tc>
          <w:tcPr>
            <w:tcW w:type="dxa" w:w="2769"/>
          </w:tcPr>
          <w:p>
            <w:r>
              <w:t>The spacecraft shall maintain the operational lunar orbit for not less than 2.0 years after completion of commissioning.</w:t>
            </w:r>
          </w:p>
        </w:tc>
        <w:tc>
          <w:tcPr>
            <w:tcW w:type="dxa" w:w="2769"/>
          </w:tcPr>
          <w:p>
            <w:r>
              <w:t>The mission lifetime is defined by 2 years of operations in the science orbit.</w:t>
            </w:r>
          </w:p>
        </w:tc>
      </w:tr>
      <w:tr>
        <w:tc>
          <w:tcPr>
            <w:tcW w:type="dxa" w:w="2769"/>
          </w:tcPr>
          <w:p>
            <w:r>
              <w:t>MR-05</w:t>
            </w:r>
          </w:p>
        </w:tc>
        <w:tc>
          <w:tcPr>
            <w:tcW w:type="dxa" w:w="2769"/>
          </w:tcPr>
          <w:p>
            <w:r>
              <w:t>The attitude determination and control subsystem shall provide spacecraft attitude knowledge and control performance that is equal to or better than the values allocated in the mission pointing and geolocation error budget.</w:t>
            </w:r>
          </w:p>
        </w:tc>
        <w:tc>
          <w:tcPr>
            <w:tcW w:type="dxa" w:w="2769"/>
          </w:tcPr>
          <w:p>
            <w:r>
              <w:t>Payload data usability depends on quantified pointing and attitude knowledge performance.</w:t>
            </w:r>
          </w:p>
        </w:tc>
      </w:tr>
      <w:tr>
        <w:tc>
          <w:tcPr>
            <w:tcW w:type="dxa" w:w="2769"/>
          </w:tcPr>
          <w:p>
            <w:r>
              <w:t>MR-06</w:t>
            </w:r>
          </w:p>
        </w:tc>
        <w:tc>
          <w:tcPr>
            <w:tcW w:type="dxa" w:w="2769"/>
          </w:tcPr>
          <w:p>
            <w:r>
              <w:t>The electrical power subsystem shall provide not less than 50 W of regulated power to the hyperspectral imager during payload imaging operations.</w:t>
            </w:r>
          </w:p>
        </w:tc>
        <w:tc>
          <w:tcPr>
            <w:tcW w:type="dxa" w:w="2769"/>
          </w:tcPr>
          <w:p>
            <w:r>
              <w:t>The payload requires 50 W during science acquisition.</w:t>
            </w:r>
          </w:p>
        </w:tc>
      </w:tr>
      <w:tr>
        <w:tc>
          <w:tcPr>
            <w:tcW w:type="dxa" w:w="2769"/>
          </w:tcPr>
          <w:p>
            <w:r>
              <w:t>MR-07</w:t>
            </w:r>
          </w:p>
        </w:tc>
        <w:tc>
          <w:tcPr>
            <w:tcW w:type="dxa" w:w="2769"/>
          </w:tcPr>
          <w:p>
            <w:r>
              <w:t>The electrical power subsystem shall provide power generation, energy storage, and regulated power distribution capacity for all mission phases in accordance with the mission power budget and required power margins.</w:t>
            </w:r>
          </w:p>
        </w:tc>
        <w:tc>
          <w:tcPr>
            <w:tcW w:type="dxa" w:w="2769"/>
          </w:tcPr>
          <w:p>
            <w:r>
              <w:t>The spacecraft must support all loads in each mission phase within an allocated power budget.</w:t>
            </w:r>
          </w:p>
        </w:tc>
      </w:tr>
      <w:tr>
        <w:tc>
          <w:tcPr>
            <w:tcW w:type="dxa" w:w="2769"/>
          </w:tcPr>
          <w:p>
            <w:r>
              <w:t>MR-08</w:t>
            </w:r>
          </w:p>
        </w:tc>
        <w:tc>
          <w:tcPr>
            <w:tcW w:type="dxa" w:w="2769"/>
          </w:tcPr>
          <w:p>
            <w:r>
              <w:t>The thermal control subsystem shall maintain each spacecraft and payload unit within its qualified non-operating temperature limits during launch, transfer, lunar orbit operations, contingency operations, and end-of-life disposal operations, and within its qualified operating temperature limits during powered operations.</w:t>
            </w:r>
          </w:p>
        </w:tc>
        <w:tc>
          <w:tcPr>
            <w:tcW w:type="dxa" w:w="2769"/>
          </w:tcPr>
          <w:p>
            <w:r>
              <w:t>Thermal compliance is required for hardware survival and operation.</w:t>
            </w:r>
          </w:p>
        </w:tc>
      </w:tr>
      <w:tr>
        <w:tc>
          <w:tcPr>
            <w:tcW w:type="dxa" w:w="2769"/>
          </w:tcPr>
          <w:p>
            <w:r>
              <w:t>MR-09</w:t>
            </w:r>
          </w:p>
        </w:tc>
        <w:tc>
          <w:tcPr>
            <w:tcW w:type="dxa" w:w="2769"/>
          </w:tcPr>
          <w:p>
            <w:r>
              <w:t>The command and data handling subsystem shall provide onboard storage capacity not less than the maximum data volume generated during the longest planned interval between ground contacts, including payload data, housekeeping telemetry, and margin allocated by the data storage budget.</w:t>
            </w:r>
          </w:p>
        </w:tc>
        <w:tc>
          <w:tcPr>
            <w:tcW w:type="dxa" w:w="2769"/>
          </w:tcPr>
          <w:p>
            <w:r>
              <w:t>Onboard storage must accommodate intermittent communications without loss of planned data.</w:t>
            </w:r>
          </w:p>
        </w:tc>
      </w:tr>
      <w:tr>
        <w:tc>
          <w:tcPr>
            <w:tcW w:type="dxa" w:w="2769"/>
          </w:tcPr>
          <w:p>
            <w:r>
              <w:t>MR-10</w:t>
            </w:r>
          </w:p>
        </w:tc>
        <w:tc>
          <w:tcPr>
            <w:tcW w:type="dxa" w:w="2769"/>
          </w:tcPr>
          <w:p>
            <w:r>
              <w:t>The communications subsystem shall provide downlink capacity sufficient to return the mission data volume generated during nominal operations within the allocated ground contact schedule.</w:t>
            </w:r>
          </w:p>
        </w:tc>
        <w:tc>
          <w:tcPr>
            <w:tcW w:type="dxa" w:w="2769"/>
          </w:tcPr>
          <w:p>
            <w:r>
              <w:t>Science return depends on matching data generation to available downlink capacity.</w:t>
            </w:r>
          </w:p>
        </w:tc>
      </w:tr>
      <w:tr>
        <w:tc>
          <w:tcPr>
            <w:tcW w:type="dxa" w:w="2769"/>
          </w:tcPr>
          <w:p>
            <w:r>
              <w:t>MR-11</w:t>
            </w:r>
          </w:p>
        </w:tc>
        <w:tc>
          <w:tcPr>
            <w:tcW w:type="dxa" w:w="2769"/>
          </w:tcPr>
          <w:p>
            <w:r>
              <w:t>The communications subsystem shall support command uplink and telemetry downlink during all mission phases from post-separation through end-of-life.</w:t>
            </w:r>
          </w:p>
        </w:tc>
        <w:tc>
          <w:tcPr>
            <w:tcW w:type="dxa" w:w="2769"/>
          </w:tcPr>
          <w:p>
            <w:r>
              <w:t>Spacecraft operation requires command and telemetry capability throughout the mission.</w:t>
            </w:r>
          </w:p>
        </w:tc>
      </w:tr>
      <w:tr>
        <w:tc>
          <w:tcPr>
            <w:tcW w:type="dxa" w:w="2769"/>
          </w:tcPr>
          <w:p>
            <w:r>
              <w:t>MR-12</w:t>
            </w:r>
          </w:p>
        </w:tc>
        <w:tc>
          <w:tcPr>
            <w:tcW w:type="dxa" w:w="2769"/>
          </w:tcPr>
          <w:p>
            <w:r>
              <w:t>The spacecraft fault management system shall autonomously transition the spacecraft to safe mode upon detection of any fault condition identified in the onboard fault management specification as requiring safe-mode entry.</w:t>
            </w:r>
          </w:p>
        </w:tc>
        <w:tc>
          <w:tcPr>
            <w:tcW w:type="dxa" w:w="2769"/>
          </w:tcPr>
          <w:p>
            <w:r>
              <w:t>Autonomous fault response is required because of communication delays and intermittent contact opportunities.</w:t>
            </w:r>
          </w:p>
        </w:tc>
      </w:tr>
      <w:tr>
        <w:tc>
          <w:tcPr>
            <w:tcW w:type="dxa" w:w="2769"/>
          </w:tcPr>
          <w:p>
            <w:r>
              <w:t>MR-13</w:t>
            </w:r>
          </w:p>
        </w:tc>
        <w:tc>
          <w:tcPr>
            <w:tcW w:type="dxa" w:w="2769"/>
          </w:tcPr>
          <w:p>
            <w:r>
              <w:t>The safe mode shall maintain positive power balance, thermal survival, attitude stabilization, and commandability for a duration not less than the maximum planned interval between ground contacts plus the allocated recovery timeline margin.</w:t>
            </w:r>
          </w:p>
        </w:tc>
        <w:tc>
          <w:tcPr>
            <w:tcW w:type="dxa" w:w="2769"/>
          </w:tcPr>
          <w:p>
            <w:r>
              <w:t>The spacecraft must remain recoverable until ground intervention is possible.</w:t>
            </w:r>
          </w:p>
        </w:tc>
      </w:tr>
      <w:tr>
        <w:tc>
          <w:tcPr>
            <w:tcW w:type="dxa" w:w="2769"/>
          </w:tcPr>
          <w:p>
            <w:r>
              <w:t>MR-14</w:t>
            </w:r>
          </w:p>
        </w:tc>
        <w:tc>
          <w:tcPr>
            <w:tcW w:type="dxa" w:w="2769"/>
          </w:tcPr>
          <w:p>
            <w:r>
              <w:t>The payload operations system shall command hyperspectral data acquisition only when spacecraft attitude, power, thermal state, onboard storage margin, and scene illumination satisfy the predefined science acquisition entry criteria.</w:t>
            </w:r>
          </w:p>
        </w:tc>
        <w:tc>
          <w:tcPr>
            <w:tcW w:type="dxa" w:w="2769"/>
          </w:tcPr>
          <w:p>
            <w:r>
              <w:t>Science observations must occur only under conditions compatible with spacecraft safety and data usability.</w:t>
            </w:r>
          </w:p>
        </w:tc>
      </w:tr>
      <w:tr>
        <w:tc>
          <w:tcPr>
            <w:tcW w:type="dxa" w:w="2769"/>
          </w:tcPr>
          <w:p>
            <w:r>
              <w:t>MR-15</w:t>
            </w:r>
          </w:p>
        </w:tc>
        <w:tc>
          <w:tcPr>
            <w:tcW w:type="dxa" w:w="2769"/>
          </w:tcPr>
          <w:p>
            <w:r>
              <w:t>The mission system shall generate calibrated, time-correlated hyperspectral data products with associated spacecraft position and attitude metadata for each science acquisition.</w:t>
            </w:r>
          </w:p>
        </w:tc>
        <w:tc>
          <w:tcPr>
            <w:tcW w:type="dxa" w:w="2769"/>
          </w:tcPr>
          <w:p>
            <w:r>
              <w:t>Usable science products require calibrated measurements and supporting geometry information.</w:t>
            </w:r>
          </w:p>
        </w:tc>
      </w:tr>
      <w:tr>
        <w:tc>
          <w:tcPr>
            <w:tcW w:type="dxa" w:w="2769"/>
          </w:tcPr>
          <w:p>
            <w:r>
              <w:t>MR-16</w:t>
            </w:r>
          </w:p>
        </w:tc>
        <w:tc>
          <w:tcPr>
            <w:tcW w:type="dxa" w:w="2769"/>
          </w:tcPr>
          <w:p>
            <w:r>
              <w:t>The ground segment shall provide mission planning, command generation, telemetry processing, orbit determination support, and science data processing for transfer, commissioning, nominal operations, contingency operations, and end-of-life operations.</w:t>
            </w:r>
          </w:p>
        </w:tc>
        <w:tc>
          <w:tcPr>
            <w:tcW w:type="dxa" w:w="2769"/>
          </w:tcPr>
          <w:p>
            <w:r>
              <w:t>Ground segment functions are required to operate and monitor the mission across all phases.</w:t>
            </w:r>
          </w:p>
        </w:tc>
      </w:tr>
      <w:tr>
        <w:tc>
          <w:tcPr>
            <w:tcW w:type="dxa" w:w="2769"/>
          </w:tcPr>
          <w:p>
            <w:r>
              <w:t>MR-17</w:t>
            </w:r>
          </w:p>
        </w:tc>
        <w:tc>
          <w:tcPr>
            <w:tcW w:type="dxa" w:w="2769"/>
          </w:tcPr>
          <w:p>
            <w:r>
              <w:t>The spacecraft shall withstand the total ionizing dose, displacement damage, charging environment, and single-event environment applicable to the mission transfer phase, commissioning phase, and 2.0-year lunar orbit operational phase, as defined by the mission environmental specification.</w:t>
            </w:r>
          </w:p>
        </w:tc>
        <w:tc>
          <w:tcPr>
            <w:tcW w:type="dxa" w:w="2769"/>
          </w:tcPr>
          <w:p>
            <w:r>
              <w:t>Environmental survivability must be demonstrated against the mission radiation environment.</w:t>
            </w:r>
          </w:p>
        </w:tc>
      </w:tr>
      <w:tr>
        <w:tc>
          <w:tcPr>
            <w:tcW w:type="dxa" w:w="2769"/>
          </w:tcPr>
          <w:p>
            <w:r>
              <w:t>MR-18</w:t>
            </w:r>
          </w:p>
        </w:tc>
        <w:tc>
          <w:tcPr>
            <w:tcW w:type="dxa" w:w="2769"/>
          </w:tcPr>
          <w:p>
            <w:r>
              <w:t>The mission system shall execute end-of-life disposal actions that place the spacecraft into the disposal state defined by the approved disposal plan.</w:t>
            </w:r>
          </w:p>
        </w:tc>
        <w:tc>
          <w:tcPr>
            <w:tcW w:type="dxa" w:w="2769"/>
          </w:tcPr>
          <w:p>
            <w:r>
              <w:t>A defined terminal disposition is required to close the mission.</w:t>
            </w:r>
          </w:p>
        </w:tc>
      </w:tr>
      <w:tr>
        <w:tc>
          <w:tcPr>
            <w:tcW w:type="dxa" w:w="2769"/>
          </w:tcPr>
          <w:p>
            <w:r>
              <w:t>MR-19</w:t>
            </w:r>
          </w:p>
        </w:tc>
        <w:tc>
          <w:tcPr>
            <w:tcW w:type="dxa" w:w="2769"/>
          </w:tcPr>
          <w:p>
            <w:r>
              <w:t>The navigation system shall determine spacecraft state knowledge with accuracy equal to or better than the values allocated in the mission navigation error budget for transfer correction, lunar orbit insertion, orbit maintenance, payload geolocation support, and end-of-life disposal.</w:t>
            </w:r>
          </w:p>
        </w:tc>
        <w:tc>
          <w:tcPr>
            <w:tcW w:type="dxa" w:w="2769"/>
          </w:tcPr>
          <w:p>
            <w:r>
              <w:t>Navigation performance must satisfy maneuver execution and science support needs.</w:t>
            </w:r>
          </w:p>
        </w:tc>
      </w:tr>
      <w:tr>
        <w:tc>
          <w:tcPr>
            <w:tcW w:type="dxa" w:w="2769"/>
          </w:tcPr>
          <w:p>
            <w:r>
              <w:t>MR-20</w:t>
            </w:r>
          </w:p>
        </w:tc>
        <w:tc>
          <w:tcPr>
            <w:tcW w:type="dxa" w:w="2769"/>
          </w:tcPr>
          <w:p>
            <w:r>
              <w:t>The mission system shall complete commissioning activities and verify readiness of the spacecraft bus and hyperspectral payload before the start of nominal science operations.</w:t>
            </w:r>
          </w:p>
        </w:tc>
        <w:tc>
          <w:tcPr>
            <w:tcW w:type="dxa" w:w="2769"/>
          </w:tcPr>
          <w:p>
            <w:r>
              <w:t>Subsystem and payload readiness must be verified before routine science acquisition.</w:t>
            </w:r>
          </w:p>
        </w:tc>
      </w:tr>
    </w:tbl>
    <w:p>
      <w:pPr>
        <w:pStyle w:val="Heading1"/>
      </w:pPr>
      <w:r>
        <w:t>Mass Budget</w:t>
      </w:r>
    </w:p>
    <w:p>
      <w:r>
        <w:rPr>
          <w:color w:val="996600"/>
        </w:rPr>
        <w:t>Mass status: YELLOW</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D9D9"/>
          </w:tcPr>
          <w:p>
            <w:r>
              <w:t>Subsystem</w:t>
            </w:r>
          </w:p>
        </w:tc>
        <w:tc>
          <w:tcPr>
            <w:tcW w:type="dxa" w:w="2076"/>
            <w:shd w:fill="D9D9D9"/>
          </w:tcPr>
          <w:p>
            <w:r>
              <w:t>Mass (kg)</w:t>
            </w:r>
          </w:p>
        </w:tc>
        <w:tc>
          <w:tcPr>
            <w:tcW w:type="dxa" w:w="2076"/>
            <w:shd w:fill="D9D9D9"/>
          </w:tcPr>
          <w:p>
            <w:r>
              <w:t>Margin %</w:t>
            </w:r>
          </w:p>
        </w:tc>
        <w:tc>
          <w:tcPr>
            <w:tcW w:type="dxa" w:w="2076"/>
            <w:shd w:fill="D9D9D9"/>
          </w:tcPr>
          <w:p>
            <w:r>
              <w:t>Notes</w:t>
            </w:r>
          </w:p>
        </w:tc>
      </w:tr>
      <w:tr>
        <w:tc>
          <w:tcPr>
            <w:tcW w:type="dxa" w:w="2076"/>
          </w:tcPr>
          <w:p>
            <w:r>
              <w:t>Structure</w:t>
            </w:r>
          </w:p>
        </w:tc>
        <w:tc>
          <w:tcPr>
            <w:tcW w:type="dxa" w:w="2076"/>
          </w:tcPr>
          <w:p>
            <w:r>
              <w:t>18.0</w:t>
            </w:r>
          </w:p>
        </w:tc>
        <w:tc>
          <w:tcPr>
            <w:tcW w:type="dxa" w:w="2076"/>
          </w:tcPr>
          <w:p>
            <w:r>
              <w:t>20.0</w:t>
            </w:r>
          </w:p>
        </w:tc>
        <w:tc>
          <w:tcPr>
            <w:tcW w:type="dxa" w:w="2076"/>
          </w:tcPr>
          <w:p>
            <w:r>
              <w:t>Estimated primary/secondary structure for a small lunar orbiter rideshare spacecraft, including load-bearing panels, brackets, separation interface, and deployment support. Low-confidence conceptual estimate.</w:t>
            </w:r>
          </w:p>
        </w:tc>
      </w:tr>
      <w:tr>
        <w:tc>
          <w:tcPr>
            <w:tcW w:type="dxa" w:w="2076"/>
          </w:tcPr>
          <w:p>
            <w:r>
              <w:t>ADCS</w:t>
            </w:r>
          </w:p>
        </w:tc>
        <w:tc>
          <w:tcPr>
            <w:tcW w:type="dxa" w:w="2076"/>
          </w:tcPr>
          <w:p>
            <w:r>
              <w:t>14.4</w:t>
            </w:r>
          </w:p>
        </w:tc>
        <w:tc>
          <w:tcPr>
            <w:tcW w:type="dxa" w:w="2076"/>
          </w:tcPr>
          <w:p>
            <w:r>
              <w:t>20.0</w:t>
            </w:r>
          </w:p>
        </w:tc>
        <w:tc>
          <w:tcPr>
            <w:tcW w:type="dxa" w:w="2076"/>
          </w:tcPr>
          <w:p>
            <w:r>
              <w:t>Includes star tracker(s), IMU, sun sensors, reaction wheels, torque management hardware, and control electronics to support hyperspectral imaging pointing and stability needs. Low-confidence estimate due to unresolved pointing requirements.</w:t>
            </w:r>
          </w:p>
        </w:tc>
      </w:tr>
      <w:tr>
        <w:tc>
          <w:tcPr>
            <w:tcW w:type="dxa" w:w="2076"/>
          </w:tcPr>
          <w:p>
            <w:r>
              <w:t>Propulsion</w:t>
            </w:r>
          </w:p>
        </w:tc>
        <w:tc>
          <w:tcPr>
            <w:tcW w:type="dxa" w:w="2076"/>
          </w:tcPr>
          <w:p>
            <w:r>
              <w:t>18.0</w:t>
            </w:r>
          </w:p>
        </w:tc>
        <w:tc>
          <w:tcPr>
            <w:tcW w:type="dxa" w:w="2076"/>
          </w:tcPr>
          <w:p>
            <w:r>
              <w:t>20.0</w:t>
            </w:r>
          </w:p>
        </w:tc>
        <w:tc>
          <w:tcPr>
            <w:tcW w:type="dxa" w:w="2076"/>
          </w:tcPr>
          <w:p>
            <w:r>
              <w:t>Dry propulsion hardware estimate including tanks, valves, lines, thrusters, pressurization components, and mounting hardware for lunar transfer/orbit insertion capable spacecraft. Low-confidence because propulsion architecture and delta-v remain open.</w:t>
            </w:r>
          </w:p>
        </w:tc>
      </w:tr>
      <w:tr>
        <w:tc>
          <w:tcPr>
            <w:tcW w:type="dxa" w:w="2076"/>
          </w:tcPr>
          <w:p>
            <w:r>
              <w:t>Communications</w:t>
            </w:r>
          </w:p>
        </w:tc>
        <w:tc>
          <w:tcPr>
            <w:tcW w:type="dxa" w:w="2076"/>
          </w:tcPr>
          <w:p>
            <w:r>
              <w:t>8.4</w:t>
            </w:r>
          </w:p>
        </w:tc>
        <w:tc>
          <w:tcPr>
            <w:tcW w:type="dxa" w:w="2076"/>
          </w:tcPr>
          <w:p>
            <w:r>
              <w:t>20.0</w:t>
            </w:r>
          </w:p>
        </w:tc>
        <w:tc>
          <w:tcPr>
            <w:tcW w:type="dxa" w:w="2076"/>
          </w:tcPr>
          <w:p>
            <w:r>
              <w:t>Includes transponder/radio, RF electronics, amplifiers, filters, cabling allowance internal to subsystem, and lunar-distance antenna solution. Low-confidence because data volume, band selection, and ground network are not defined.</w:t>
            </w:r>
          </w:p>
        </w:tc>
      </w:tr>
      <w:tr>
        <w:tc>
          <w:tcPr>
            <w:tcW w:type="dxa" w:w="2076"/>
          </w:tcPr>
          <w:p>
            <w:r>
              <w:t>OBC/Data Handling</w:t>
            </w:r>
          </w:p>
        </w:tc>
        <w:tc>
          <w:tcPr>
            <w:tcW w:type="dxa" w:w="2076"/>
          </w:tcPr>
          <w:p>
            <w:r>
              <w:t>6.0</w:t>
            </w:r>
          </w:p>
        </w:tc>
        <w:tc>
          <w:tcPr>
            <w:tcW w:type="dxa" w:w="2076"/>
          </w:tcPr>
          <w:p>
            <w:r>
              <w:t>20.0</w:t>
            </w:r>
          </w:p>
        </w:tc>
        <w:tc>
          <w:tcPr>
            <w:tcW w:type="dxa" w:w="2076"/>
          </w:tcPr>
          <w:p>
            <w:r>
              <w:t>Flight computer, mass memory, interface boards, and fault-management/data-handling electronics for autonomous lunar mission operations. Low-confidence due to unresolved storage requirement.</w:t>
            </w:r>
          </w:p>
        </w:tc>
      </w:tr>
      <w:tr>
        <w:tc>
          <w:tcPr>
            <w:tcW w:type="dxa" w:w="2076"/>
          </w:tcPr>
          <w:p>
            <w:r>
              <w:t>EPS/Power</w:t>
            </w:r>
          </w:p>
        </w:tc>
        <w:tc>
          <w:tcPr>
            <w:tcW w:type="dxa" w:w="2076"/>
          </w:tcPr>
          <w:p>
            <w:r>
              <w:t>21.6</w:t>
            </w:r>
          </w:p>
        </w:tc>
        <w:tc>
          <w:tcPr>
            <w:tcW w:type="dxa" w:w="2076"/>
          </w:tcPr>
          <w:p>
            <w:r>
              <w:t>20.0</w:t>
            </w:r>
          </w:p>
        </w:tc>
        <w:tc>
          <w:tcPr>
            <w:tcW w:type="dxa" w:w="2076"/>
          </w:tcPr>
          <w:p>
            <w:r>
              <w:t>Includes solar arrays, deployment provisions, batteries sized for eclipse/safe mode, power conditioning and distribution, and regulation to support payload 50 W operational demand plus bus loads. Low-confidence conceptual estimate.</w:t>
            </w:r>
          </w:p>
        </w:tc>
      </w:tr>
      <w:tr>
        <w:tc>
          <w:tcPr>
            <w:tcW w:type="dxa" w:w="2076"/>
          </w:tcPr>
          <w:p>
            <w:r>
              <w:t>Thermal</w:t>
            </w:r>
          </w:p>
        </w:tc>
        <w:tc>
          <w:tcPr>
            <w:tcW w:type="dxa" w:w="2076"/>
          </w:tcPr>
          <w:p>
            <w:r>
              <w:t>7.2</w:t>
            </w:r>
          </w:p>
        </w:tc>
        <w:tc>
          <w:tcPr>
            <w:tcW w:type="dxa" w:w="2076"/>
          </w:tcPr>
          <w:p>
            <w:r>
              <w:t>20.0</w:t>
            </w:r>
          </w:p>
        </w:tc>
        <w:tc>
          <w:tcPr>
            <w:tcW w:type="dxa" w:w="2076"/>
          </w:tcPr>
          <w:p>
            <w:r>
              <w:t>Includes MLI, heaters, thermostats, thermal straps, radiators/coatings, and thermal hardware for lunar transfer and low lunar orbit survival and operations. Low-confidence due to unresolved thermal environment details.</w:t>
            </w:r>
          </w:p>
        </w:tc>
      </w:tr>
      <w:tr>
        <w:tc>
          <w:tcPr>
            <w:tcW w:type="dxa" w:w="2076"/>
          </w:tcPr>
          <w:p>
            <w:r>
              <w:t>Payload</w:t>
            </w:r>
          </w:p>
        </w:tc>
        <w:tc>
          <w:tcPr>
            <w:tcW w:type="dxa" w:w="2076"/>
          </w:tcPr>
          <w:p>
            <w:r>
              <w:t>12.0</w:t>
            </w:r>
          </w:p>
        </w:tc>
        <w:tc>
          <w:tcPr>
            <w:tcW w:type="dxa" w:w="2076"/>
          </w:tcPr>
          <w:p>
            <w:r>
              <w:t>20.0</w:t>
            </w:r>
          </w:p>
        </w:tc>
        <w:tc>
          <w:tcPr>
            <w:tcW w:type="dxa" w:w="2076"/>
          </w:tcPr>
          <w:p>
            <w:r>
              <w:t>Based directly on provided 10 kg hyperspectral imager mass with 20% subsystem margin applied per rule.</w:t>
            </w:r>
          </w:p>
        </w:tc>
      </w:tr>
      <w:tr>
        <w:tc>
          <w:tcPr>
            <w:tcW w:type="dxa" w:w="2076"/>
          </w:tcPr>
          <w:p>
            <w:r>
              <w:t>Harness</w:t>
            </w:r>
          </w:p>
        </w:tc>
        <w:tc>
          <w:tcPr>
            <w:tcW w:type="dxa" w:w="2076"/>
          </w:tcPr>
          <w:p>
            <w:r>
              <w:t>4.8</w:t>
            </w:r>
          </w:p>
        </w:tc>
        <w:tc>
          <w:tcPr>
            <w:tcW w:type="dxa" w:w="2076"/>
          </w:tcPr>
          <w:p>
            <w:r>
              <w:t>20.0</w:t>
            </w:r>
          </w:p>
        </w:tc>
        <w:tc>
          <w:tcPr>
            <w:tcW w:type="dxa" w:w="2076"/>
          </w:tcPr>
          <w:p>
            <w:r>
              <w:t>Spacecraft electrical harness and interconnect estimate consistent with small deep-space/lunar orbiter scale. Low-confidence conceptual estimate.</w:t>
            </w:r>
          </w:p>
        </w:tc>
      </w:tr>
    </w:tbl>
    <w:p>
      <w:r>
        <w:t>Total dry mass (kg): 110.4</w:t>
      </w:r>
    </w:p>
    <w:p>
      <w:r>
        <w:t>Total wet mass (kg): 182.4</w:t>
      </w:r>
    </w:p>
    <w:p>
      <w:pPr>
        <w:pStyle w:val="Heading1"/>
      </w:pPr>
      <w:r>
        <w:t>Power Budget</w:t>
      </w:r>
    </w:p>
    <w:p>
      <w:r>
        <w:rPr>
          <w:color w:val="006600"/>
        </w:rPr>
        <w:t>Power status: GREEN</w:t>
      </w:r>
    </w:p>
    <w:p>
      <w:r>
        <w:t>Solar array area (m^2): 1.19</w:t>
      </w:r>
    </w:p>
    <w:p>
      <w:r>
        <w:t>Battery capacity (Wh): 68.4</w:t>
      </w:r>
    </w:p>
    <w:p>
      <w:r>
        <w:t>Eclipse duration (min): 48.0</w:t>
      </w:r>
    </w:p>
    <w:p>
      <w:pPr>
        <w:pStyle w:val="Heading1"/>
      </w:pPr>
      <w:r>
        <w:t>Cost Estimate</w:t>
      </w:r>
    </w:p>
    <w:tbl>
      <w:tblPr>
        <w:tblStyle w:val="TableGrid"/>
        <w:tblW w:type="auto" w:w="0"/>
        <w:tblLook w:firstColumn="1" w:firstRow="1" w:lastColumn="0" w:lastRow="0" w:noHBand="0" w:noVBand="1" w:val="04A0"/>
      </w:tblPr>
      <w:tblGrid>
        <w:gridCol w:w="2769"/>
        <w:gridCol w:w="2769"/>
        <w:gridCol w:w="2769"/>
      </w:tblGrid>
      <w:tr>
        <w:tc>
          <w:tcPr>
            <w:tcW w:type="dxa" w:w="2769"/>
            <w:shd w:fill="D9D9D9"/>
          </w:tcPr>
          <w:p>
            <w:r>
              <w:t>Category</w:t>
            </w:r>
          </w:p>
        </w:tc>
        <w:tc>
          <w:tcPr>
            <w:tcW w:type="dxa" w:w="2769"/>
            <w:shd w:fill="D9D9D9"/>
          </w:tcPr>
          <w:p>
            <w:r>
              <w:t>Cost (kEUR)</w:t>
            </w:r>
          </w:p>
        </w:tc>
        <w:tc>
          <w:tcPr>
            <w:tcW w:type="dxa" w:w="2769"/>
            <w:shd w:fill="D9D9D9"/>
          </w:tcPr>
          <w:p>
            <w:r>
              <w:t>Basis</w:t>
            </w:r>
          </w:p>
        </w:tc>
      </w:tr>
      <w:tr>
        <w:tc>
          <w:tcPr>
            <w:tcW w:type="dxa" w:w="2769"/>
          </w:tcPr>
          <w:p>
            <w:r>
              <w:t>Spacecraft Hardware</w:t>
            </w:r>
          </w:p>
        </w:tc>
        <w:tc>
          <w:tcPr>
            <w:tcW w:type="dxa" w:w="2769"/>
          </w:tcPr>
          <w:p>
            <w:r>
              <w:t>28500.0</w:t>
            </w:r>
          </w:p>
        </w:tc>
        <w:tc>
          <w:tcPr>
            <w:tcW w:type="dxa" w:w="2769"/>
          </w:tcPr>
          <w:p>
            <w:r>
              <w:t>Engineering judgment</w:t>
            </w:r>
          </w:p>
        </w:tc>
      </w:tr>
      <w:tr>
        <w:tc>
          <w:tcPr>
            <w:tcW w:type="dxa" w:w="2769"/>
          </w:tcPr>
          <w:p>
            <w:r>
              <w:t>Integration &amp; Test</w:t>
            </w:r>
          </w:p>
        </w:tc>
        <w:tc>
          <w:tcPr>
            <w:tcW w:type="dxa" w:w="2769"/>
          </w:tcPr>
          <w:p>
            <w:r>
              <w:t>8200.0</w:t>
            </w:r>
          </w:p>
        </w:tc>
        <w:tc>
          <w:tcPr>
            <w:tcW w:type="dxa" w:w="2769"/>
          </w:tcPr>
          <w:p>
            <w:r>
              <w:t>Engineering judgment</w:t>
            </w:r>
          </w:p>
        </w:tc>
      </w:tr>
      <w:tr>
        <w:tc>
          <w:tcPr>
            <w:tcW w:type="dxa" w:w="2769"/>
          </w:tcPr>
          <w:p>
            <w:r>
              <w:t>Launch</w:t>
            </w:r>
          </w:p>
        </w:tc>
        <w:tc>
          <w:tcPr>
            <w:tcW w:type="dxa" w:w="2769"/>
          </w:tcPr>
          <w:p>
            <w:r>
              <w:t>12000.0</w:t>
            </w:r>
          </w:p>
        </w:tc>
        <w:tc>
          <w:tcPr>
            <w:tcW w:type="dxa" w:w="2769"/>
          </w:tcPr>
          <w:p>
            <w:r>
              <w:t>Engineering judgment</w:t>
            </w:r>
          </w:p>
        </w:tc>
      </w:tr>
      <w:tr>
        <w:tc>
          <w:tcPr>
            <w:tcW w:type="dxa" w:w="2769"/>
          </w:tcPr>
          <w:p>
            <w:r>
              <w:t>Ground Segment</w:t>
            </w:r>
          </w:p>
        </w:tc>
        <w:tc>
          <w:tcPr>
            <w:tcW w:type="dxa" w:w="2769"/>
          </w:tcPr>
          <w:p>
            <w:r>
              <w:t>4200.0</w:t>
            </w:r>
          </w:p>
        </w:tc>
        <w:tc>
          <w:tcPr>
            <w:tcW w:type="dxa" w:w="2769"/>
          </w:tcPr>
          <w:p>
            <w:r>
              <w:t>Engineering judgment</w:t>
            </w:r>
          </w:p>
        </w:tc>
      </w:tr>
      <w:tr>
        <w:tc>
          <w:tcPr>
            <w:tcW w:type="dxa" w:w="2769"/>
          </w:tcPr>
          <w:p>
            <w:r>
              <w:t>Operations</w:t>
            </w:r>
          </w:p>
        </w:tc>
        <w:tc>
          <w:tcPr>
            <w:tcW w:type="dxa" w:w="2769"/>
          </w:tcPr>
          <w:p>
            <w:r>
              <w:t>5600.0</w:t>
            </w:r>
          </w:p>
        </w:tc>
        <w:tc>
          <w:tcPr>
            <w:tcW w:type="dxa" w:w="2769"/>
          </w:tcPr>
          <w:p>
            <w:r>
              <w:t>Engineering judgment</w:t>
            </w:r>
          </w:p>
        </w:tc>
      </w:tr>
      <w:tr>
        <w:tc>
          <w:tcPr>
            <w:tcW w:type="dxa" w:w="2769"/>
          </w:tcPr>
          <w:p>
            <w:r>
              <w:t>Program Management</w:t>
            </w:r>
          </w:p>
        </w:tc>
        <w:tc>
          <w:tcPr>
            <w:tcW w:type="dxa" w:w="2769"/>
          </w:tcPr>
          <w:p>
            <w:r>
              <w:t>6900.0</w:t>
            </w:r>
          </w:p>
        </w:tc>
        <w:tc>
          <w:tcPr>
            <w:tcW w:type="dxa" w:w="2769"/>
          </w:tcPr>
          <w:p>
            <w:r>
              <w:t>Engineering judgment</w:t>
            </w:r>
          </w:p>
        </w:tc>
      </w:tr>
      <w:tr>
        <w:tc>
          <w:tcPr>
            <w:tcW w:type="dxa" w:w="2769"/>
          </w:tcPr>
          <w:p>
            <w:r>
              <w:t>Contingency</w:t>
            </w:r>
          </w:p>
        </w:tc>
        <w:tc>
          <w:tcPr>
            <w:tcW w:type="dxa" w:w="2769"/>
          </w:tcPr>
          <w:p>
            <w:r>
              <w:t>16320.0</w:t>
            </w:r>
          </w:p>
        </w:tc>
        <w:tc>
          <w:tcPr>
            <w:tcW w:type="dxa" w:w="2769"/>
          </w:tcPr>
          <w:p>
            <w:r>
              <w:t>Engineering judgment</w:t>
            </w:r>
          </w:p>
        </w:tc>
      </w:tr>
    </w:tbl>
    <w:p>
      <w:r>
        <w:t>Total cost (kEUR): 81720.0</w:t>
      </w:r>
    </w:p>
    <w:p>
      <w:pPr>
        <w:pStyle w:val="Heading1"/>
      </w:pPr>
      <w:r>
        <w:t>Component Alternatives</w:t>
      </w:r>
    </w:p>
    <w:p>
      <w:pPr>
        <w:pStyle w:val="Heading1"/>
      </w:pPr>
      <w:r>
        <w:t>Assumptions and Open Items</w:t>
      </w:r>
    </w:p>
    <w:p>
      <w:r>
        <w:t>Mission assumptions:</w:t>
      </w:r>
    </w:p>
    <w:p>
      <w:r>
        <w:t>- The Falcon 9 rideshare injection conditions, separation attitude conditions, and separation rates are compatible with the spacecraft guidance, navigation, and control design and propulsion budget.</w:t>
      </w:r>
    </w:p>
    <w:p>
      <w:r>
        <w:t>- A propulsion subsystem with the required total impulse can be accommodated within the spacecraft mass, volume, power, and thermal allocations while carrying the 10 kg, 50 W hyperspectral payload.</w:t>
      </w:r>
    </w:p>
    <w:p>
      <w:r>
        <w:t>- A 100 km circular lunar orbit can be maintained for 2 years with a total orbit maintenance delta-v that fits within the mission propulsion budget.</w:t>
      </w:r>
    </w:p>
    <w:p>
      <w:r>
        <w:t>- Ground station availability, contact duration, and link performance are sufficient to support command uplink, radiometric tracking, and return of the planned science and housekeeping data volume.</w:t>
      </w:r>
    </w:p>
    <w:p>
      <w:r>
        <w:t>- The hyperspectral imager can meet its required observation performance from 100 km lunar altitude within the spacecraft pointing, stability, thermal, and power allocations.</w:t>
      </w:r>
    </w:p>
    <w:p>
      <w:r>
        <w:t>- The mission radiation, thermal, and illumination environments remain within the qualification limits of the selected spacecraft and payload components.</w:t>
      </w:r>
    </w:p>
    <w:p>
      <w:r>
        <w:t>- The spacecraft can provide the timing accuracy and orbit and attitude knowledge required to support payload calibration and geolocation.</w:t>
      </w:r>
    </w:p>
    <w:p>
      <w:r>
        <w:t>- No planetary protection, lunar heritage protection, frequency licensing, or disposal policy constraint will preclude the selected end-of-life disposal concept.</w:t>
      </w:r>
    </w:p>
    <w:p>
      <w:r>
        <w:t>- The lunar orbit geometry and lighting conditions allow the required global and repeat observations within the 2-year mission duration.</w:t>
      </w:r>
    </w:p>
    <w:p>
      <w:r>
        <w:t>- The selected launch vehicle, rideshare profile, and lunar transfer strategy do not impose contamination, vibration, or operational constraints that exceed payload qualification limits.</w:t>
      </w:r>
    </w:p>
    <w:p>
      <w:r>
        <w:t>Open questions:</w:t>
      </w:r>
    </w:p>
    <w:p>
      <w:r>
        <w:t>- What numerical launch vehicle interface limits apply to mass, volume, center of gravity, separation shock, random vibration, acoustic environment, separation attitude, and separation rates for the rideshare slot?</w:t>
      </w:r>
    </w:p>
    <w:p>
      <w:r>
        <w:t>- What is the required total mission delta-v, including deterministic maneuvers, statistical dispersions, contingency recovery allocation, and end-of-life disposal allocation, for each candidate transfer strategy?</w:t>
      </w:r>
    </w:p>
    <w:p>
      <w:r>
        <w:t>- What quantitative payload requirements apply to spectral range, spectral resolution, swath width, ground sampling distance, signal-to-noise ratio, radiometric calibration accuracy, and geometric calibration accuracy?</w:t>
      </w:r>
    </w:p>
    <w:p>
      <w:r>
        <w:t>- What daily average and daily peak science data volumes are produced by the payload for the planned observation duty cycle and compression approach?</w:t>
      </w:r>
    </w:p>
    <w:p>
      <w:r>
        <w:t>- What numerical pointing knowledge, pointing control, line-of-sight stability, and image smear limits are required to satisfy the science geolocation and image quality requirements?</w:t>
      </w:r>
    </w:p>
    <w:p>
      <w:r>
        <w:t>- What communications frequency band, antenna configuration, transmitter power, coding scheme, and ground network are required to close uplink and downlink margins for transfer, lunar orbit, and safe mode?</w:t>
      </w:r>
    </w:p>
    <w:p>
      <w:r>
        <w:t>- What are the maximum eclipse duration, minimum sun incidence angles, and worst-case thermal sink and source conditions for the selected 100 km lunar orbit over the full 2-year mission?</w:t>
      </w:r>
    </w:p>
    <w:p>
      <w:r>
        <w:t>- What onboard nonvolatile storage capacity is required to tolerate the longest credible ground contact outage while preserving all planned payload and housekeeping data?</w:t>
      </w:r>
    </w:p>
    <w:p>
      <w:r>
        <w:t>- Which propulsion architecture and propellant option meet the total impulse requirement within allocated wet mass, dry mass, power, volume, thermal, and safety constraints?</w:t>
      </w:r>
    </w:p>
    <w:p>
      <w:r>
        <w:t>- What autonomous fault detection, isolation, and recovery functions must be implemented onboard to maintain spacecraft safety during the longest expected no-contact interval?</w:t>
      </w:r>
    </w:p>
    <w:p>
      <w:r>
        <w:t>- What disposal state is baselined for Phase A, and what quantitative conditions define disposal success, such as impact corridor, impact probability, final orbit lifetime, or passivation completion?</w:t>
      </w:r>
    </w:p>
    <w:p>
      <w:r>
        <w:t>- What in-flight calibration activities are required for the hyperspectral payload, including dark calibration frequency, radiometric reference method, spectral calibration maintenance, and geometric calibration updates?</w:t>
      </w:r>
    </w:p>
    <w:p>
      <w:r>
        <w:t>- What are the mission-level allocations for wet mass, dry mass, average power, peak power, volume, and data rate after accounting for launch vehicle and payload constraints?</w:t>
      </w:r>
    </w:p>
    <w:p>
      <w:r>
        <w:t>- Which lunar targets and coverage priorities are mandatory, and what quantitative revisit, illumination, and local-time constraints do they impose on orbit design and operations?</w:t>
      </w:r>
    </w:p>
    <w:p>
      <w:pPr>
        <w:pStyle w:val="Heading1"/>
      </w:pPr>
      <w:r>
        <w:t>Disclaimer</w:t>
      </w:r>
    </w:p>
    <w:p>
      <w:r>
        <w:t>This document is an AI-assisted Phase 0 concept draft. All technical values, cost estimates, procurement options, and requirements must be reviewed and validated by a qualified spacecraft systems engineer before use in design, procurement, proposal submission, or mission decision-making.</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Page number placeholder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LunaObserver-1 - MVP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