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NewSat - Phase 0 Mission Proposal</w:t>
      </w:r>
    </w:p>
    <w:p>
      <w:r>
        <w:t>Mission Type: Earth ObservationSa</w:t>
      </w:r>
    </w:p>
    <w:p>
      <w:r>
        <w:t>Version: v1.0</w:t>
      </w:r>
    </w:p>
    <w:p>
      <w:r>
        <w:br w:type="page"/>
      </w:r>
    </w:p>
    <w:p>
      <w:pPr>
        <w:pStyle w:val="Heading1"/>
      </w:pPr>
      <w:r>
        <w:t>Table of Contents</w:t>
      </w:r>
    </w:p>
    <w:p>
      <w:r>
        <w:t>Table of Contents: right-click and update field in Word after opening.</w:t>
      </w:r>
    </w:p>
    <w:p>
      <w:pPr>
        <w:pStyle w:val="Heading1"/>
      </w:pPr>
      <w:r>
        <w:t>1. Mission Overview</w:t>
      </w:r>
    </w:p>
    <w:p>
      <w:r>
        <w:t>- Provide Earth observation imagery from a 550 km circular orbit at 97.6 deg inclination for a mission lifetime of 3.0 years after commissioning.</w:t>
      </w:r>
    </w:p>
    <w:p>
      <w:r>
        <w:t>- Acquire imagery with 1.0 m ground sampling distance or finer at nadir and a swath width of 40 km or greater from the mission orbit.</w:t>
      </w:r>
    </w:p>
    <w:p>
      <w:r>
        <w:t>- Accommodate a payload with allocated mass not greater than 40 kg and nominal operating power demand of 60 W within the mission system architecture.</w:t>
      </w:r>
    </w:p>
    <w:p>
      <w:r>
        <w:t>- Collect, store, downlink, process, and deliver payload data during routine mission operations.</w:t>
      </w:r>
    </w:p>
    <w:p>
      <w:r>
        <w:t>During launch, the spacecraft is integrated with the selected launch vehicle and remains in launch mode through ascent and separation. During orbit insertion, the launch vehicle injects the spacecraft directly into the mission orbit or into an initial orbit from which the spacecraft reaches the mission orbit using any onboard orbit-adjust capability defined during design. During early orbit operations, the spacecraft enters an initial safe configuration, establishes first contact, acquires attitude knowledge and control, deploys appendages if present, and performs initial health assessment. During commissioning, the spacecraft verifies electrical power, telemetry and telecommand links, attitude control, thermal control, onboard software, payload activation, onboard data storage, payload calibration, and payload data downlink before release to routine service. During nominal operations, the ground segment plans observations, uploads commands, the spacecraft performs nadir imaging over scheduled targets, stores payload data onboard, downlinks telemetry and payload data during ground contacts, and the ground segment processes and delivers imagery products. During contingency operations, the spacecraft autonomously or by ground command enters safe mode, inhibits payload operations, maintains housekeeping telemetry, supports fault isolation and recovery, and returns to the appropriate operational mode after resolution. During end-of-life operations, the spacecraft terminates payload operations, performs final data downlink if planned, passivates applicable stored-energy sources, and executes the approved disposal sequence consistent with the selected debris mitigation standard.</w:t>
      </w:r>
    </w:p>
    <w:p>
      <w:pPr>
        <w:pStyle w:val="Heading1"/>
      </w:pPr>
      <w:r>
        <w:t>2. Requirements</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ID</w:t>
            </w:r>
          </w:p>
        </w:tc>
        <w:tc>
          <w:tcPr>
            <w:tcW w:type="dxa" w:w="2769"/>
          </w:tcPr>
          <w:p>
            <w:r>
              <w:t>Requirement</w:t>
            </w:r>
          </w:p>
        </w:tc>
        <w:tc>
          <w:tcPr>
            <w:tcW w:type="dxa" w:w="2769"/>
          </w:tcPr>
          <w:p>
            <w:r>
              <w:t>Rationale</w:t>
            </w:r>
          </w:p>
        </w:tc>
      </w:tr>
      <w:tr>
        <w:tc>
          <w:tcPr>
            <w:tcW w:type="dxa" w:w="2769"/>
          </w:tcPr>
          <w:p>
            <w:r>
              <w:t>MR-01</w:t>
            </w:r>
          </w:p>
        </w:tc>
        <w:tc>
          <w:tcPr>
            <w:tcW w:type="dxa" w:w="2769"/>
          </w:tcPr>
          <w:p>
            <w:r>
              <w:t>The spacecraft shall be designed for operations in a circular orbit with altitude 550 km ± 25 km and inclination 97.6 deg ± 0.2 deg.</w:t>
            </w:r>
          </w:p>
        </w:tc>
        <w:tc>
          <w:tcPr>
            <w:tcW w:type="dxa" w:w="2769"/>
          </w:tcPr>
          <w:p>
            <w:r>
              <w:t>The mission orbit drives coverage, environment, communications geometry, power generation, and disposal approach.</w:t>
            </w:r>
          </w:p>
        </w:tc>
      </w:tr>
      <w:tr>
        <w:tc>
          <w:tcPr>
            <w:tcW w:type="dxa" w:w="2769"/>
          </w:tcPr>
          <w:p>
            <w:r>
              <w:t>MR-02</w:t>
            </w:r>
          </w:p>
        </w:tc>
        <w:tc>
          <w:tcPr>
            <w:tcW w:type="dxa" w:w="2769"/>
          </w:tcPr>
          <w:p>
            <w:r>
              <w:t>The mission system shall support an operational lifetime of not less than 3.0 years after completion of commissioning.</w:t>
            </w:r>
          </w:p>
        </w:tc>
        <w:tc>
          <w:tcPr>
            <w:tcW w:type="dxa" w:w="2769"/>
          </w:tcPr>
          <w:p>
            <w:r>
              <w:t>Operational lifetime drives consumables, parts selection, qualification, and operations planning.</w:t>
            </w:r>
          </w:p>
        </w:tc>
      </w:tr>
      <w:tr>
        <w:tc>
          <w:tcPr>
            <w:tcW w:type="dxa" w:w="2769"/>
          </w:tcPr>
          <w:p>
            <w:r>
              <w:t>MR-03</w:t>
            </w:r>
          </w:p>
        </w:tc>
        <w:tc>
          <w:tcPr>
            <w:tcW w:type="dxa" w:w="2769"/>
          </w:tcPr>
          <w:p>
            <w:r>
              <w:t>The payload subsystem shall provide a nadir ground sampling distance of 1.0 m or finer when operated from the mission orbit.</w:t>
            </w:r>
          </w:p>
        </w:tc>
        <w:tc>
          <w:tcPr>
            <w:tcW w:type="dxa" w:w="2769"/>
          </w:tcPr>
          <w:p>
            <w:r>
              <w:t>Ground sampling distance is a primary mission performance parameter.</w:t>
            </w:r>
          </w:p>
        </w:tc>
      </w:tr>
      <w:tr>
        <w:tc>
          <w:tcPr>
            <w:tcW w:type="dxa" w:w="2769"/>
          </w:tcPr>
          <w:p>
            <w:r>
              <w:t>MR-04</w:t>
            </w:r>
          </w:p>
        </w:tc>
        <w:tc>
          <w:tcPr>
            <w:tcW w:type="dxa" w:w="2769"/>
          </w:tcPr>
          <w:p>
            <w:r>
              <w:t>The payload subsystem shall provide a nadir swath width of 40 km or greater when operated from the mission orbit.</w:t>
            </w:r>
          </w:p>
        </w:tc>
        <w:tc>
          <w:tcPr>
            <w:tcW w:type="dxa" w:w="2769"/>
          </w:tcPr>
          <w:p>
            <w:r>
              <w:t>Swath width determines area coverage per pass.</w:t>
            </w:r>
          </w:p>
        </w:tc>
      </w:tr>
      <w:tr>
        <w:tc>
          <w:tcPr>
            <w:tcW w:type="dxa" w:w="2769"/>
          </w:tcPr>
          <w:p>
            <w:r>
              <w:t>MR-05</w:t>
            </w:r>
          </w:p>
        </w:tc>
        <w:tc>
          <w:tcPr>
            <w:tcW w:type="dxa" w:w="2769"/>
          </w:tcPr>
          <w:p>
            <w:r>
              <w:t>The payload subsystem mass, including instrument structure, harness, and thermal control hardware mounted with the payload, shall not exceed 40 kg.</w:t>
            </w:r>
          </w:p>
        </w:tc>
        <w:tc>
          <w:tcPr>
            <w:tcW w:type="dxa" w:w="2769"/>
          </w:tcPr>
          <w:p>
            <w:r>
              <w:t>A clear payload mass boundary is required for spacecraft sizing and accommodation.</w:t>
            </w:r>
          </w:p>
        </w:tc>
      </w:tr>
      <w:tr>
        <w:tc>
          <w:tcPr>
            <w:tcW w:type="dxa" w:w="2769"/>
          </w:tcPr>
          <w:p>
            <w:r>
              <w:t>MR-06</w:t>
            </w:r>
          </w:p>
        </w:tc>
        <w:tc>
          <w:tcPr>
            <w:tcW w:type="dxa" w:w="2769"/>
          </w:tcPr>
          <w:p>
            <w:r>
              <w:t>The electrical power subsystem shall provide at least 60 W of regulated power to the payload during nominal payload operations.</w:t>
            </w:r>
          </w:p>
        </w:tc>
        <w:tc>
          <w:tcPr>
            <w:tcW w:type="dxa" w:w="2769"/>
          </w:tcPr>
          <w:p>
            <w:r>
              <w:t>Payload power demand is a sizing input for generation, storage, distribution, and thermal control.</w:t>
            </w:r>
          </w:p>
        </w:tc>
      </w:tr>
      <w:tr>
        <w:tc>
          <w:tcPr>
            <w:tcW w:type="dxa" w:w="2769"/>
          </w:tcPr>
          <w:p>
            <w:r>
              <w:t>MR-07</w:t>
            </w:r>
          </w:p>
        </w:tc>
        <w:tc>
          <w:tcPr>
            <w:tcW w:type="dxa" w:w="2769"/>
          </w:tcPr>
          <w:p>
            <w:r>
              <w:t>The spacecraft shall implement the following operational modes: launch, early orbit, commissioning, nominal operations, safe mode, and end-of-life mode.</w:t>
            </w:r>
          </w:p>
        </w:tc>
        <w:tc>
          <w:tcPr>
            <w:tcW w:type="dxa" w:w="2769"/>
          </w:tcPr>
          <w:p>
            <w:r>
              <w:t>Defined operational modes are required to structure mission operations across all phases.</w:t>
            </w:r>
          </w:p>
        </w:tc>
      </w:tr>
      <w:tr>
        <w:tc>
          <w:tcPr>
            <w:tcW w:type="dxa" w:w="2769"/>
          </w:tcPr>
          <w:p>
            <w:r>
              <w:t>MR-08</w:t>
            </w:r>
          </w:p>
        </w:tc>
        <w:tc>
          <w:tcPr>
            <w:tcW w:type="dxa" w:w="2769"/>
          </w:tcPr>
          <w:p>
            <w:r>
              <w:t>The spacecraft shall accept ground-commanded transitions between early orbit, commissioning, nominal operations, safe mode, and end-of-life mode.</w:t>
            </w:r>
          </w:p>
        </w:tc>
        <w:tc>
          <w:tcPr>
            <w:tcW w:type="dxa" w:w="2769"/>
          </w:tcPr>
          <w:p>
            <w:r>
              <w:t>Controlled mode transitions are required for planned mission operations and recovery actions.</w:t>
            </w:r>
          </w:p>
        </w:tc>
      </w:tr>
      <w:tr>
        <w:tc>
          <w:tcPr>
            <w:tcW w:type="dxa" w:w="2769"/>
          </w:tcPr>
          <w:p>
            <w:r>
              <w:t>MR-09</w:t>
            </w:r>
          </w:p>
        </w:tc>
        <w:tc>
          <w:tcPr>
            <w:tcW w:type="dxa" w:w="2769"/>
          </w:tcPr>
          <w:p>
            <w:r>
              <w:t>The spacecraft shall autonomously inhibit payload operations while in safe mode.</w:t>
            </w:r>
          </w:p>
        </w:tc>
        <w:tc>
          <w:tcPr>
            <w:tcW w:type="dxa" w:w="2769"/>
          </w:tcPr>
          <w:p>
            <w:r>
              <w:t>Payload inhibition is required to reduce power and operational complexity during anomaly response.</w:t>
            </w:r>
          </w:p>
        </w:tc>
      </w:tr>
      <w:tr>
        <w:tc>
          <w:tcPr>
            <w:tcW w:type="dxa" w:w="2769"/>
          </w:tcPr>
          <w:p>
            <w:r>
              <w:t>MR-10</w:t>
            </w:r>
          </w:p>
        </w:tc>
        <w:tc>
          <w:tcPr>
            <w:tcW w:type="dxa" w:w="2769"/>
          </w:tcPr>
          <w:p>
            <w:r>
              <w:t>The spacecraft shall autonomously transition to safe mode upon detection of predefined fault protection conditions stored in onboard software.</w:t>
            </w:r>
          </w:p>
        </w:tc>
        <w:tc>
          <w:tcPr>
            <w:tcW w:type="dxa" w:w="2769"/>
          </w:tcPr>
          <w:p>
            <w:r>
              <w:t>Ground contact is intermittent, so autonomous fault response is required.</w:t>
            </w:r>
          </w:p>
        </w:tc>
      </w:tr>
      <w:tr>
        <w:tc>
          <w:tcPr>
            <w:tcW w:type="dxa" w:w="2769"/>
          </w:tcPr>
          <w:p>
            <w:r>
              <w:t>MR-11</w:t>
            </w:r>
          </w:p>
        </w:tc>
        <w:tc>
          <w:tcPr>
            <w:tcW w:type="dxa" w:w="2769"/>
          </w:tcPr>
          <w:p>
            <w:r>
              <w:t>The spacecraft shall generate and transmit housekeeping telemetry that includes electrical power status, thermal status, attitude status, communications status, and payload status.</w:t>
            </w:r>
          </w:p>
        </w:tc>
        <w:tc>
          <w:tcPr>
            <w:tcW w:type="dxa" w:w="2769"/>
          </w:tcPr>
          <w:p>
            <w:r>
              <w:t>These telemetry groups are required for health monitoring and anomaly resolution.</w:t>
            </w:r>
          </w:p>
        </w:tc>
      </w:tr>
      <w:tr>
        <w:tc>
          <w:tcPr>
            <w:tcW w:type="dxa" w:w="2769"/>
          </w:tcPr>
          <w:p>
            <w:r>
              <w:t>MR-12</w:t>
            </w:r>
          </w:p>
        </w:tc>
        <w:tc>
          <w:tcPr>
            <w:tcW w:type="dxa" w:w="2769"/>
          </w:tcPr>
          <w:p>
            <w:r>
              <w:t>The attitude and orbit control subsystem shall support nadir pointing during nominal imaging operations.</w:t>
            </w:r>
          </w:p>
        </w:tc>
        <w:tc>
          <w:tcPr>
            <w:tcW w:type="dxa" w:w="2769"/>
          </w:tcPr>
          <w:p>
            <w:r>
              <w:t>Nadir pointing is necessary to achieve the stated imaging geometry.</w:t>
            </w:r>
          </w:p>
        </w:tc>
      </w:tr>
      <w:tr>
        <w:tc>
          <w:tcPr>
            <w:tcW w:type="dxa" w:w="2769"/>
          </w:tcPr>
          <w:p>
            <w:r>
              <w:t>MR-13</w:t>
            </w:r>
          </w:p>
        </w:tc>
        <w:tc>
          <w:tcPr>
            <w:tcW w:type="dxa" w:w="2769"/>
          </w:tcPr>
          <w:p>
            <w:r>
              <w:t>The spacecraft shall store payload data onboard before transmission to the ground segment.</w:t>
            </w:r>
          </w:p>
        </w:tc>
        <w:tc>
          <w:tcPr>
            <w:tcW w:type="dxa" w:w="2769"/>
          </w:tcPr>
          <w:p>
            <w:r>
              <w:t>Ground contact does not occur continuously during imaging operations.</w:t>
            </w:r>
          </w:p>
        </w:tc>
      </w:tr>
      <w:tr>
        <w:tc>
          <w:tcPr>
            <w:tcW w:type="dxa" w:w="2769"/>
          </w:tcPr>
          <w:p>
            <w:r>
              <w:t>MR-14</w:t>
            </w:r>
          </w:p>
        </w:tc>
        <w:tc>
          <w:tcPr>
            <w:tcW w:type="dxa" w:w="2769"/>
          </w:tcPr>
          <w:p>
            <w:r>
              <w:t>The communications subsystem shall downlink housekeeping telemetry and stored payload data to the ground segment.</w:t>
            </w:r>
          </w:p>
        </w:tc>
        <w:tc>
          <w:tcPr>
            <w:tcW w:type="dxa" w:w="2769"/>
          </w:tcPr>
          <w:p>
            <w:r>
              <w:t>Telemetry and payload data transfer are required to operate the mission and deliver products.</w:t>
            </w:r>
          </w:p>
        </w:tc>
      </w:tr>
      <w:tr>
        <w:tc>
          <w:tcPr>
            <w:tcW w:type="dxa" w:w="2769"/>
          </w:tcPr>
          <w:p>
            <w:r>
              <w:t>MR-15</w:t>
            </w:r>
          </w:p>
        </w:tc>
        <w:tc>
          <w:tcPr>
            <w:tcW w:type="dxa" w:w="2769"/>
          </w:tcPr>
          <w:p>
            <w:r>
              <w:t>The ground segment shall provide mission planning, command generation, telemetry processing, payload data reception, payload data processing, and payload data delivery functions.</w:t>
            </w:r>
          </w:p>
        </w:tc>
        <w:tc>
          <w:tcPr>
            <w:tcW w:type="dxa" w:w="2769"/>
          </w:tcPr>
          <w:p>
            <w:r>
              <w:t>These functions are required to operate the spacecraft and deliver mission outputs.</w:t>
            </w:r>
          </w:p>
        </w:tc>
      </w:tr>
      <w:tr>
        <w:tc>
          <w:tcPr>
            <w:tcW w:type="dxa" w:w="2769"/>
          </w:tcPr>
          <w:p>
            <w:r>
              <w:t>MR-16</w:t>
            </w:r>
          </w:p>
        </w:tc>
        <w:tc>
          <w:tcPr>
            <w:tcW w:type="dxa" w:w="2769"/>
          </w:tcPr>
          <w:p>
            <w:r>
              <w:t>The mission system shall complete commissioning before entry into nominal operations.</w:t>
            </w:r>
          </w:p>
        </w:tc>
        <w:tc>
          <w:tcPr>
            <w:tcW w:type="dxa" w:w="2769"/>
          </w:tcPr>
          <w:p>
            <w:r>
              <w:t>Commissioning is required to verify readiness for routine service.</w:t>
            </w:r>
          </w:p>
        </w:tc>
      </w:tr>
      <w:tr>
        <w:tc>
          <w:tcPr>
            <w:tcW w:type="dxa" w:w="2769"/>
          </w:tcPr>
          <w:p>
            <w:r>
              <w:t>MR-17</w:t>
            </w:r>
          </w:p>
        </w:tc>
        <w:tc>
          <w:tcPr>
            <w:tcW w:type="dxa" w:w="2769"/>
          </w:tcPr>
          <w:p>
            <w:r>
              <w:t>The commissioning phase shall verify electrical power, communications, attitude control, payload activation, onboard data storage, and payload data downlink functions.</w:t>
            </w:r>
          </w:p>
        </w:tc>
        <w:tc>
          <w:tcPr>
            <w:tcW w:type="dxa" w:w="2769"/>
          </w:tcPr>
          <w:p>
            <w:r>
              <w:t>These verifications establish minimum functional readiness for routine operations.</w:t>
            </w:r>
          </w:p>
        </w:tc>
      </w:tr>
      <w:tr>
        <w:tc>
          <w:tcPr>
            <w:tcW w:type="dxa" w:w="2769"/>
          </w:tcPr>
          <w:p>
            <w:r>
              <w:t>MR-18</w:t>
            </w:r>
          </w:p>
        </w:tc>
        <w:tc>
          <w:tcPr>
            <w:tcW w:type="dxa" w:w="2769"/>
          </w:tcPr>
          <w:p>
            <w:r>
              <w:t>The mission system shall include an end-of-life disposal sequence for the spacecraft.</w:t>
            </w:r>
          </w:p>
        </w:tc>
        <w:tc>
          <w:tcPr>
            <w:tcW w:type="dxa" w:w="2769"/>
          </w:tcPr>
          <w:p>
            <w:r>
              <w:t>End-of-life disposal must be planned during early design because it affects hardware and operations.</w:t>
            </w:r>
          </w:p>
        </w:tc>
      </w:tr>
      <w:tr>
        <w:tc>
          <w:tcPr>
            <w:tcW w:type="dxa" w:w="2769"/>
          </w:tcPr>
          <w:p>
            <w:r>
              <w:t>MR-19</w:t>
            </w:r>
          </w:p>
        </w:tc>
        <w:tc>
          <w:tcPr>
            <w:tcW w:type="dxa" w:w="2769"/>
          </w:tcPr>
          <w:p>
            <w:r>
              <w:t>The spacecraft shall be passivated at end of life by terminating payload operations and de-energizing or safing stored-energy sources used during operations.</w:t>
            </w:r>
          </w:p>
        </w:tc>
        <w:tc>
          <w:tcPr>
            <w:tcW w:type="dxa" w:w="2769"/>
          </w:tcPr>
          <w:p>
            <w:r>
              <w:t>Passivation reduces post-mission breakup risk.</w:t>
            </w:r>
          </w:p>
        </w:tc>
      </w:tr>
      <w:tr>
        <w:tc>
          <w:tcPr>
            <w:tcW w:type="dxa" w:w="2769"/>
          </w:tcPr>
          <w:p>
            <w:r>
              <w:t>MR-20</w:t>
            </w:r>
          </w:p>
        </w:tc>
        <w:tc>
          <w:tcPr>
            <w:tcW w:type="dxa" w:w="2769"/>
          </w:tcPr>
          <w:p>
            <w:r>
              <w:t>The mission system shall implement an orbital debris mitigation approach that is demonstrably compliant with the applicable project-selected debris mitigation standard for a 550 km low Earth orbit mission.</w:t>
            </w:r>
          </w:p>
        </w:tc>
        <w:tc>
          <w:tcPr>
            <w:tcW w:type="dxa" w:w="2769"/>
          </w:tcPr>
          <w:p>
            <w:r>
              <w:t>Compliance with a selected debris mitigation standard is a mandatory mission-level constraint.</w:t>
            </w:r>
          </w:p>
        </w:tc>
      </w:tr>
    </w:tbl>
    <w:p>
      <w:pPr>
        <w:pStyle w:val="Heading1"/>
      </w:pPr>
      <w:r>
        <w:t>3. Mass Budget</w:t>
      </w:r>
    </w:p>
    <w:p>
      <w:r>
        <w:rPr>
          <w:color w:val="006600"/>
        </w:rPr>
        <w:t>Mass status: GREEN</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D9D9"/>
          </w:tcPr>
          <w:p>
            <w:r>
              <w:t>Subsystem</w:t>
            </w:r>
          </w:p>
        </w:tc>
        <w:tc>
          <w:tcPr>
            <w:tcW w:type="dxa" w:w="2076"/>
          </w:tcPr>
          <w:p>
            <w:r>
              <w:t>Mass (kg)</w:t>
            </w:r>
          </w:p>
        </w:tc>
        <w:tc>
          <w:tcPr>
            <w:tcW w:type="dxa" w:w="2076"/>
          </w:tcPr>
          <w:p>
            <w:r>
              <w:t>Margin %</w:t>
            </w:r>
          </w:p>
        </w:tc>
        <w:tc>
          <w:tcPr>
            <w:tcW w:type="dxa" w:w="2076"/>
          </w:tcPr>
          <w:p>
            <w:r>
              <w:t>Notes</w:t>
            </w:r>
          </w:p>
        </w:tc>
      </w:tr>
      <w:tr>
        <w:tc>
          <w:tcPr>
            <w:tcW w:type="dxa" w:w="2076"/>
          </w:tcPr>
          <w:p>
            <w:r>
              <w:t>Structure</w:t>
            </w:r>
          </w:p>
        </w:tc>
        <w:tc>
          <w:tcPr>
            <w:tcW w:type="dxa" w:w="2076"/>
          </w:tcPr>
          <w:p>
            <w:r>
              <w:t>18.0</w:t>
            </w:r>
          </w:p>
        </w:tc>
        <w:tc>
          <w:tcPr>
            <w:tcW w:type="dxa" w:w="2076"/>
          </w:tcPr>
          <w:p>
            <w:r>
              <w:t>20.0</w:t>
            </w:r>
          </w:p>
        </w:tc>
        <w:tc>
          <w:tcPr>
            <w:tcW w:type="dxa" w:w="2076"/>
          </w:tcPr>
          <w:p>
            <w:r>
              <w:t>Estimated primary and secondary structure for a small EO spacecraft bus carrying a 40 kg payload. Base estimate 15.0 kg with 20% margin applied. Low confidence due to lack of launcher/dispenser constraints and detailed packaging.</w:t>
            </w:r>
          </w:p>
        </w:tc>
      </w:tr>
      <w:tr>
        <w:tc>
          <w:tcPr>
            <w:tcW w:type="dxa" w:w="2076"/>
          </w:tcPr>
          <w:p>
            <w:r>
              <w:t>ADCS</w:t>
            </w:r>
          </w:p>
        </w:tc>
        <w:tc>
          <w:tcPr>
            <w:tcW w:type="dxa" w:w="2076"/>
          </w:tcPr>
          <w:p>
            <w:r>
              <w:t>14.4</w:t>
            </w:r>
          </w:p>
        </w:tc>
        <w:tc>
          <w:tcPr>
            <w:tcW w:type="dxa" w:w="2076"/>
          </w:tcPr>
          <w:p>
            <w:r>
              <w:t>20.0</w:t>
            </w:r>
          </w:p>
        </w:tc>
        <w:tc>
          <w:tcPr>
            <w:tcW w:type="dxa" w:w="2076"/>
          </w:tcPr>
          <w:p>
            <w:r>
              <w:t>Estimated reaction wheels, sensors, magnetorquers, and associated hardware for nadir-pointing EO mission with moderate stability needs. Base estimate 12.0 kg with 20% margin applied. Low confidence because pointing, jitter, and geolocation requirements are not fully defined.</w:t>
            </w:r>
          </w:p>
        </w:tc>
      </w:tr>
      <w:tr>
        <w:tc>
          <w:tcPr>
            <w:tcW w:type="dxa" w:w="2076"/>
          </w:tcPr>
          <w:p>
            <w:r>
              <w:t>Propulsion</w:t>
            </w:r>
          </w:p>
        </w:tc>
        <w:tc>
          <w:tcPr>
            <w:tcW w:type="dxa" w:w="2076"/>
          </w:tcPr>
          <w:p>
            <w:r>
              <w:t>7.2</w:t>
            </w:r>
          </w:p>
        </w:tc>
        <w:tc>
          <w:tcPr>
            <w:tcW w:type="dxa" w:w="2076"/>
          </w:tcPr>
          <w:p>
            <w:r>
              <w:t>20.0</w:t>
            </w:r>
          </w:p>
        </w:tc>
        <w:tc>
          <w:tcPr>
            <w:tcW w:type="dxa" w:w="2076"/>
          </w:tcPr>
          <w:p>
            <w:r>
              <w:t>Assumed minimal propulsion capability for orbit trim, collision avoidance, and debris-mitigation support, with modest propellant included in wet mass accounting separately. Base dry subsystem estimate 6.0 kg with 20% margin applied. Low confidence because propulsion requirement is an explicit open question.</w:t>
            </w:r>
          </w:p>
        </w:tc>
      </w:tr>
      <w:tr>
        <w:tc>
          <w:tcPr>
            <w:tcW w:type="dxa" w:w="2076"/>
          </w:tcPr>
          <w:p>
            <w:r>
              <w:t>Communications</w:t>
            </w:r>
          </w:p>
        </w:tc>
        <w:tc>
          <w:tcPr>
            <w:tcW w:type="dxa" w:w="2076"/>
          </w:tcPr>
          <w:p>
            <w:r>
              <w:t>9.6</w:t>
            </w:r>
          </w:p>
        </w:tc>
        <w:tc>
          <w:tcPr>
            <w:tcW w:type="dxa" w:w="2076"/>
          </w:tcPr>
          <w:p>
            <w:r>
              <w:t>20.0</w:t>
            </w:r>
          </w:p>
        </w:tc>
        <w:tc>
          <w:tcPr>
            <w:tcW w:type="dxa" w:w="2076"/>
          </w:tcPr>
          <w:p>
            <w:r>
              <w:t>Estimated TT&amp;C plus payload downlink communications hardware for EO data return. Base estimate 8.0 kg with 20% margin applied. Low confidence because payload data volume, downlink rate, and ground network assumptions are not defined.</w:t>
            </w:r>
          </w:p>
        </w:tc>
      </w:tr>
      <w:tr>
        <w:tc>
          <w:tcPr>
            <w:tcW w:type="dxa" w:w="2076"/>
          </w:tcPr>
          <w:p>
            <w:r>
              <w:t>OBC/Data Handling</w:t>
            </w:r>
          </w:p>
        </w:tc>
        <w:tc>
          <w:tcPr>
            <w:tcW w:type="dxa" w:w="2076"/>
          </w:tcPr>
          <w:p>
            <w:r>
              <w:t>6.0</w:t>
            </w:r>
          </w:p>
        </w:tc>
        <w:tc>
          <w:tcPr>
            <w:tcW w:type="dxa" w:w="2076"/>
          </w:tcPr>
          <w:p>
            <w:r>
              <w:t>20.0</w:t>
            </w:r>
          </w:p>
        </w:tc>
        <w:tc>
          <w:tcPr>
            <w:tcW w:type="dxa" w:w="2076"/>
          </w:tcPr>
          <w:p>
            <w:r>
              <w:t>Estimated onboard computer, mass memory, and data handling electronics for payload control and image storage. Base estimate 5.0 kg with 20% margin applied.</w:t>
            </w:r>
          </w:p>
        </w:tc>
      </w:tr>
      <w:tr>
        <w:tc>
          <w:tcPr>
            <w:tcW w:type="dxa" w:w="2076"/>
          </w:tcPr>
          <w:p>
            <w:r>
              <w:t>EPS/Power</w:t>
            </w:r>
          </w:p>
        </w:tc>
        <w:tc>
          <w:tcPr>
            <w:tcW w:type="dxa" w:w="2076"/>
          </w:tcPr>
          <w:p>
            <w:r>
              <w:t>18.0</w:t>
            </w:r>
          </w:p>
        </w:tc>
        <w:tc>
          <w:tcPr>
            <w:tcW w:type="dxa" w:w="2076"/>
          </w:tcPr>
          <w:p>
            <w:r>
              <w:t>20.0</w:t>
            </w:r>
          </w:p>
        </w:tc>
        <w:tc>
          <w:tcPr>
            <w:tcW w:type="dxa" w:w="2076"/>
          </w:tcPr>
          <w:p>
            <w:r>
              <w:t>Estimated solar arrays, batteries, power conditioning, and distribution sized for 60 W payload demand plus spacecraft bus loads. Base estimate 15.0 kg with 20% margin applied. Low confidence because duty cycle and eclipse power profile are not defined.</w:t>
            </w:r>
          </w:p>
        </w:tc>
      </w:tr>
      <w:tr>
        <w:tc>
          <w:tcPr>
            <w:tcW w:type="dxa" w:w="2076"/>
          </w:tcPr>
          <w:p>
            <w:r>
              <w:t>Thermal</w:t>
            </w:r>
          </w:p>
        </w:tc>
        <w:tc>
          <w:tcPr>
            <w:tcW w:type="dxa" w:w="2076"/>
          </w:tcPr>
          <w:p>
            <w:r>
              <w:t>7.2</w:t>
            </w:r>
          </w:p>
        </w:tc>
        <w:tc>
          <w:tcPr>
            <w:tcW w:type="dxa" w:w="2076"/>
          </w:tcPr>
          <w:p>
            <w:r>
              <w:t>20.0</w:t>
            </w:r>
          </w:p>
        </w:tc>
        <w:tc>
          <w:tcPr>
            <w:tcW w:type="dxa" w:w="2076"/>
          </w:tcPr>
          <w:p>
            <w:r>
              <w:t>Estimated spacecraft-bus thermal control hardware excluding payload-mounted thermal items already included in payload allocation. Base estimate 6.0 kg with 20% margin applied.</w:t>
            </w:r>
          </w:p>
        </w:tc>
      </w:tr>
      <w:tr>
        <w:tc>
          <w:tcPr>
            <w:tcW w:type="dxa" w:w="2076"/>
          </w:tcPr>
          <w:p>
            <w:r>
              <w:t>Payload</w:t>
            </w:r>
          </w:p>
        </w:tc>
        <w:tc>
          <w:tcPr>
            <w:tcW w:type="dxa" w:w="2076"/>
          </w:tcPr>
          <w:p>
            <w:r>
              <w:t>48.0</w:t>
            </w:r>
          </w:p>
        </w:tc>
        <w:tc>
          <w:tcPr>
            <w:tcW w:type="dxa" w:w="2076"/>
          </w:tcPr>
          <w:p>
            <w:r>
              <w:t>20.0</w:t>
            </w:r>
          </w:p>
        </w:tc>
        <w:tc>
          <w:tcPr>
            <w:tcW w:type="dxa" w:w="2076"/>
          </w:tcPr>
          <w:p>
            <w:r>
              <w:t>Payload mass provided as 40 kg in mission context. Applied standard 20% mass margin per instruction, yielding 48.0 kg for budgeting. Note that MR-05 caps allocated payload mass at 40 kg, so this indicates the payload line is at allocation limit before project margin.</w:t>
            </w:r>
          </w:p>
        </w:tc>
      </w:tr>
      <w:tr>
        <w:tc>
          <w:tcPr>
            <w:tcW w:type="dxa" w:w="2076"/>
          </w:tcPr>
          <w:p>
            <w:r>
              <w:t>Harness</w:t>
            </w:r>
          </w:p>
        </w:tc>
        <w:tc>
          <w:tcPr>
            <w:tcW w:type="dxa" w:w="2076"/>
          </w:tcPr>
          <w:p>
            <w:r>
              <w:t>6.0</w:t>
            </w:r>
          </w:p>
        </w:tc>
        <w:tc>
          <w:tcPr>
            <w:tcW w:type="dxa" w:w="2076"/>
          </w:tcPr>
          <w:p>
            <w:r>
              <w:t>20.0</w:t>
            </w:r>
          </w:p>
        </w:tc>
        <w:tc>
          <w:tcPr>
            <w:tcW w:type="dxa" w:w="2076"/>
          </w:tcPr>
          <w:p>
            <w:r>
              <w:t>Estimated spacecraft harness external to payload-mounted harness already counted within payload allocation. Base estimate 5.0 kg with 20% margin applied.</w:t>
            </w:r>
          </w:p>
        </w:tc>
      </w:tr>
    </w:tbl>
    <w:p>
      <w:r>
        <w:t>Total dry mass (kg): 134.4</w:t>
      </w:r>
    </w:p>
    <w:p>
      <w:r>
        <w:t>Total wet mass (kg): 139.4</w:t>
      </w:r>
    </w:p>
    <w:p>
      <w:pPr>
        <w:pStyle w:val="Heading1"/>
      </w:pPr>
      <w:r>
        <w:t>4. Power Budget</w:t>
      </w:r>
    </w:p>
    <w:p>
      <w:r>
        <w:rPr>
          <w:color w:val="990000"/>
        </w:rPr>
        <w:t>Power status: RED</w:t>
      </w:r>
    </w:p>
    <w:p>
      <w:r>
        <w:t>Mode: nominal - Total W: 0.0</w:t>
      </w:r>
    </w:p>
    <w:p>
      <w:r>
        <w:t>Mode: peak - Total W: 0.0</w:t>
      </w:r>
    </w:p>
    <w:p>
      <w:r>
        <w:t>Mode: safe mode - Total W: 0.0</w:t>
      </w:r>
    </w:p>
    <w:p>
      <w:r>
        <w:t>Solar array area (m^2): 0.0</w:t>
      </w:r>
    </w:p>
    <w:p>
      <w:r>
        <w:t>Battery capacity (Wh): 0.0</w:t>
      </w:r>
    </w:p>
    <w:p>
      <w:pPr>
        <w:pStyle w:val="Heading1"/>
      </w:pPr>
      <w:r>
        <w:t>5. Cost Estimate</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Category</w:t>
            </w:r>
          </w:p>
        </w:tc>
        <w:tc>
          <w:tcPr>
            <w:tcW w:type="dxa" w:w="2769"/>
          </w:tcPr>
          <w:p>
            <w:r>
              <w:t>Cost (kEUR)</w:t>
            </w:r>
          </w:p>
        </w:tc>
        <w:tc>
          <w:tcPr>
            <w:tcW w:type="dxa" w:w="2769"/>
          </w:tcPr>
          <w:p>
            <w:r>
              <w:t>Basis</w:t>
            </w:r>
          </w:p>
        </w:tc>
      </w:tr>
    </w:tbl>
    <w:p>
      <w:r>
        <w:t>Total cost (kEUR): 0.0</w:t>
      </w:r>
    </w:p>
    <w:p>
      <w:pPr>
        <w:pStyle w:val="Heading1"/>
      </w:pPr>
      <w:r>
        <w:t>6. Component Alternatives</w:t>
      </w:r>
    </w:p>
    <w:p>
      <w:r>
        <w:t>Category: Fallback</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D9D9"/>
          </w:tcPr>
          <w:p>
            <w:r>
              <w:t>Rank</w:t>
            </w:r>
          </w:p>
        </w:tc>
        <w:tc>
          <w:tcPr>
            <w:tcW w:type="dxa" w:w="1384"/>
          </w:tcPr>
          <w:p>
            <w:r>
              <w:t>Product</w:t>
            </w:r>
          </w:p>
        </w:tc>
        <w:tc>
          <w:tcPr>
            <w:tcW w:type="dxa" w:w="1384"/>
          </w:tcPr>
          <w:p>
            <w:r>
              <w:t>Vendor</w:t>
            </w:r>
          </w:p>
        </w:tc>
        <w:tc>
          <w:tcPr>
            <w:tcW w:type="dxa" w:w="1384"/>
          </w:tcPr>
          <w:p>
            <w:r>
              <w:t>URL</w:t>
            </w:r>
          </w:p>
        </w:tc>
        <w:tc>
          <w:tcPr>
            <w:tcW w:type="dxa" w:w="1384"/>
          </w:tcPr>
          <w:p>
            <w:r>
              <w:t>Price kEUR</w:t>
            </w:r>
          </w:p>
        </w:tc>
        <w:tc>
          <w:tcPr>
            <w:tcW w:type="dxa" w:w="1384"/>
          </w:tcPr>
          <w:p>
            <w:r>
              <w:t>Lead weeks</w:t>
            </w:r>
          </w:p>
        </w:tc>
      </w:tr>
    </w:tbl>
    <w:p>
      <w:r>
        <w:t>Warning: Sourcing gap: procurement output unavailable.</w:t>
      </w:r>
    </w:p>
    <w:p>
      <w:pPr>
        <w:pStyle w:val="Heading1"/>
      </w:pPr>
      <w:r>
        <w:t>7. Assumptions &amp; Open Items</w:t>
      </w:r>
    </w:p>
    <w:p>
      <w:r>
        <w:t>Mission assumptions:</w:t>
      </w:r>
    </w:p>
    <w:p>
      <w:r>
        <w:t>- The mission orbit is sun-synchronous or otherwise compatible with maintaining 97.6 deg inclination and 550 km circular altitude for the full operational lifetime without large orbit-change maneuvers.</w:t>
      </w:r>
    </w:p>
    <w:p>
      <w:r>
        <w:t>- The 1.0 m ground sampling distance requirement and the 40 km swath width requirement both apply at nadir from the mission orbit and to the same payload operating mode.</w:t>
      </w:r>
    </w:p>
    <w:p>
      <w:r>
        <w:t>- The 40 kg payload mass allocation includes payload-mounted structure, harness, and thermal hardware, and excludes spacecraft bus equipment not mounted with the payload.</w:t>
      </w:r>
    </w:p>
    <w:p>
      <w:r>
        <w:t>- The 60 W payload power value is the nominal in-operation demand at the spacecraft electrical interface and excludes power conversion losses elsewhere in the bus.</w:t>
      </w:r>
    </w:p>
    <w:p>
      <w:r>
        <w:t>- The launch service can provide direct injection to the mission orbit or an insertion close enough that any required transfer can be performed within spacecraft mass and delta-v allocations.</w:t>
      </w:r>
    </w:p>
    <w:p>
      <w:r>
        <w:t>- The mission does not require formation flying, rendezvous, docking, inter-satellite links, or routine off-nadir imaging unless added by later requirements.</w:t>
      </w:r>
    </w:p>
    <w:p>
      <w:r>
        <w:t>- The mission does not require onboard image processing beyond instrument control, packetization, compression if selected, storage management, and data transmission.</w:t>
      </w:r>
    </w:p>
    <w:p>
      <w:r>
        <w:t>- A ground segment with sufficient station visibility, spectrum authorization, and data handling capacity will be available to support the required telemetry and payload data return.</w:t>
      </w:r>
    </w:p>
    <w:p>
      <w:r>
        <w:t>- The spacecraft can satisfy the selected debris mitigation standard at 550 km without a disposal maneuver that dominates spacecraft propellant mass.</w:t>
      </w:r>
    </w:p>
    <w:p>
      <w:r>
        <w:t>- The radiation, drag, and atomic oxygen environments at 550 km are within the qualification envelope of candidate spacecraft and payload technologies under consideration.</w:t>
      </w:r>
    </w:p>
    <w:p>
      <w:r>
        <w:t>Open questions:</w:t>
      </w:r>
    </w:p>
    <w:p>
      <w:r>
        <w:t>- Which orbital debris mitigation standard will be contractually applicable in Phase A, and what specific post-mission disposal time limit and passivation actions will it impose?</w:t>
      </w:r>
    </w:p>
    <w:p>
      <w:r>
        <w:t>- What spectral bands, radiometric resolution, signal-to-noise ratio, and dynamic range are required for the payload products?</w:t>
      </w:r>
    </w:p>
    <w:p>
      <w:r>
        <w:t>- What image quality metrics in addition to ground sampling distance are required, including modulation transfer function, geolocation accuracy, absolute pointing error, and line-of-sight stability?</w:t>
      </w:r>
    </w:p>
    <w:p>
      <w:r>
        <w:t>- What geographic coverage, revisit time, tasking latency, and percentage of requested targets must be achieved for mission success?</w:t>
      </w:r>
    </w:p>
    <w:p>
      <w:r>
        <w:t>- What average and peak daily payload data volumes are required, and what minimum downlink data rate, contact time, and number of ground stations are needed to close the data budget?</w:t>
      </w:r>
    </w:p>
    <w:p>
      <w:r>
        <w:t>- Is off-nadir imaging required, and if so, what maximum off-nadir angle and what image quality degradation limits are acceptable?</w:t>
      </w:r>
    </w:p>
    <w:p>
      <w:r>
        <w:t>- Will the spacecraft carry propulsion, and if so, what functions are mandatory: orbit trim, drag makeup, collision avoidance, disposal, or all of these?</w:t>
      </w:r>
    </w:p>
    <w:p>
      <w:r>
        <w:t>- What launcher and dispenser environments will bound the design, including separation system, envelope, mass limit, vibration, shock, and initial orbit dispersions?</w:t>
      </w:r>
    </w:p>
    <w:p>
      <w:r>
        <w:t>- What command link and payload data security requirements apply, including encryption, authentication, key management, and export or regulatory constraints?</w:t>
      </w:r>
    </w:p>
    <w:p>
      <w:r>
        <w:t>- What calibration concept is required, including onboard calibration hardware, lunar or stellar calibration, vicarious calibration, and maximum commissioning duration?</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number placeholder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NewSat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