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LunaObserver-1</w:t>
      </w:r>
    </w:p>
    <w:p>
      <w:r>
        <w:t>Phase 0 Mission Proposal</w:t>
      </w:r>
    </w:p>
    <w:p>
      <w:r>
        <w:t>Date: 2026-05-01</w:t>
      </w:r>
    </w:p>
    <w:p>
      <w:r>
        <w:t>Version: MVP Draft</w:t>
      </w:r>
    </w:p>
    <w:p>
      <w:r>
        <w:br w:type="page"/>
      </w:r>
    </w:p>
    <w:p>
      <w:pPr>
        <w:pStyle w:val="Heading1"/>
      </w:pPr>
      <w:r>
        <w:t>MVP Scope and Limitations</w:t>
      </w:r>
    </w:p>
    <w:p>
      <w:r>
        <w:t>1. This MVP report is generated for a single-satellite mission concept. It does not analyze constellation deployment, multi-satellite phasing, revisit optimization, inter-satellite links, or multi-plane architectures.</w:t>
      </w:r>
    </w:p>
    <w:p>
      <w:r>
        <w:t>2. This MVP report assumes an Earth Observation payload concept. Payload-specific analysis is limited to high-level swath, resolution, mass, and power assumptions where provided.</w:t>
      </w:r>
    </w:p>
    <w:p>
      <w:pPr>
        <w:pStyle w:val="Heading1"/>
      </w:pPr>
      <w:r>
        <w:t>Executive Summary</w:t>
      </w:r>
    </w:p>
    <w:p>
      <w:r>
        <w:t>Launch to EOL summary.</w:t>
      </w:r>
    </w:p>
    <w:p>
      <w:pPr>
        <w:pStyle w:val="Heading1"/>
      </w:pPr>
      <w:r>
        <w:t>Mission Overview</w:t>
      </w:r>
    </w:p>
    <w:p>
      <w:r>
        <w:t>- Objective A</w:t>
      </w:r>
    </w:p>
    <w:p>
      <w:pPr>
        <w:pStyle w:val="Heading1"/>
      </w:pPr>
      <w:r>
        <w:t>Mission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fill="D9D9D9"/>
          </w:tcPr>
          <w:p>
            <w:r>
              <w:t>ID</w:t>
            </w:r>
          </w:p>
        </w:tc>
        <w:tc>
          <w:tcPr>
            <w:tcW w:type="dxa" w:w="2769"/>
            <w:shd w:fill="D9D9D9"/>
          </w:tcPr>
          <w:p>
            <w:r>
              <w:t>Requirement</w:t>
            </w:r>
          </w:p>
        </w:tc>
        <w:tc>
          <w:tcPr>
            <w:tcW w:type="dxa" w:w="2769"/>
            <w:shd w:fill="D9D9D9"/>
          </w:tcPr>
          <w:p>
            <w:r>
              <w:t>Rationale</w:t>
            </w:r>
          </w:p>
        </w:tc>
      </w:tr>
      <w:tr>
        <w:tc>
          <w:tcPr>
            <w:tcW w:type="dxa" w:w="2769"/>
          </w:tcPr>
          <w:p>
            <w:r>
              <w:t>MR-01</w:t>
            </w:r>
          </w:p>
        </w:tc>
        <w:tc>
          <w:tcPr>
            <w:tcW w:type="dxa" w:w="2769"/>
          </w:tcPr>
          <w:p>
            <w:r>
              <w:t>The system shall do X.</w:t>
            </w:r>
          </w:p>
        </w:tc>
        <w:tc>
          <w:tcPr>
            <w:tcW w:type="dxa" w:w="2769"/>
          </w:tcPr>
          <w:p>
            <w:r>
              <w:t>Because Y.</w:t>
            </w:r>
          </w:p>
        </w:tc>
      </w:tr>
    </w:tbl>
    <w:p>
      <w:pPr>
        <w:pStyle w:val="Heading1"/>
      </w:pPr>
      <w:r>
        <w:t>Mass Budget</w:t>
      </w:r>
    </w:p>
    <w:p>
      <w:r>
        <w:rPr>
          <w:color w:val="006600"/>
        </w:rPr>
        <w:t>Mass status: GREEN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shd w:fill="D9D9D9"/>
          </w:tcPr>
          <w:p>
            <w:r>
              <w:t>Subsystem</w:t>
            </w:r>
          </w:p>
        </w:tc>
        <w:tc>
          <w:tcPr>
            <w:tcW w:type="dxa" w:w="2076"/>
            <w:shd w:fill="D9D9D9"/>
          </w:tcPr>
          <w:p>
            <w:r>
              <w:t>Mass (kg)</w:t>
            </w:r>
          </w:p>
        </w:tc>
        <w:tc>
          <w:tcPr>
            <w:tcW w:type="dxa" w:w="2076"/>
            <w:shd w:fill="D9D9D9"/>
          </w:tcPr>
          <w:p>
            <w:r>
              <w:t>Margin %</w:t>
            </w:r>
          </w:p>
        </w:tc>
        <w:tc>
          <w:tcPr>
            <w:tcW w:type="dxa" w:w="2076"/>
            <w:shd w:fill="D9D9D9"/>
          </w:tcPr>
          <w:p>
            <w:r>
              <w:t>Notes</w:t>
            </w:r>
          </w:p>
        </w:tc>
      </w:tr>
      <w:tr>
        <w:tc>
          <w:tcPr>
            <w:tcW w:type="dxa" w:w="2076"/>
          </w:tcPr>
          <w:p>
            <w:r>
              <w:t>Structure</w:t>
            </w:r>
          </w:p>
        </w:tc>
        <w:tc>
          <w:tcPr>
            <w:tcW w:type="dxa" w:w="2076"/>
          </w:tcPr>
          <w:p>
            <w:r>
              <w:t>20.0</w:t>
            </w:r>
          </w:p>
        </w:tc>
        <w:tc>
          <w:tcPr>
            <w:tcW w:type="dxa" w:w="2076"/>
          </w:tcPr>
          <w:p>
            <w:r>
              <w:t>20.0</w:t>
            </w:r>
          </w:p>
        </w:tc>
        <w:tc>
          <w:tcPr>
            <w:tcW w:type="dxa" w:w="2076"/>
          </w:tcPr>
          <w:p>
            <w:r>
              <w:t>Note</w:t>
            </w:r>
          </w:p>
        </w:tc>
      </w:tr>
    </w:tbl>
    <w:p>
      <w:r>
        <w:t>Total dry mass (kg): 100.0</w:t>
      </w:r>
    </w:p>
    <w:p>
      <w:r>
        <w:t>Total wet mass (kg): 130.0</w:t>
      </w:r>
    </w:p>
    <w:p>
      <w:pPr>
        <w:pStyle w:val="Heading1"/>
      </w:pPr>
      <w:r>
        <w:t>Power Budget</w:t>
      </w:r>
    </w:p>
    <w:p>
      <w:r>
        <w:rPr>
          <w:color w:val="006600"/>
        </w:rPr>
        <w:t>Power status: GREEN</w:t>
      </w:r>
    </w:p>
    <w:p>
      <w:r>
        <w:t>Mode: nominal - Total W: 100.0</w:t>
      </w:r>
    </w:p>
    <w:p>
      <w:r>
        <w:t>Mode: peak - Total W: 120.0</w:t>
      </w:r>
    </w:p>
    <w:p>
      <w:r>
        <w:t>Mode: safe mode - Total W: 40.0</w:t>
      </w:r>
    </w:p>
    <w:p>
      <w:r>
        <w:t>Solar array area (m^2): 1.2</w:t>
      </w:r>
    </w:p>
    <w:p>
      <w:r>
        <w:t>Battery capacity (Wh): 500.0</w:t>
      </w:r>
    </w:p>
    <w:p>
      <w:r>
        <w:t>Eclipse duration (min): 30.0</w:t>
      </w:r>
    </w:p>
    <w:p>
      <w:pPr>
        <w:pStyle w:val="Heading1"/>
      </w:pPr>
      <w:r>
        <w:t>Cost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fill="D9D9D9"/>
          </w:tcPr>
          <w:p>
            <w:r>
              <w:t>Category</w:t>
            </w:r>
          </w:p>
        </w:tc>
        <w:tc>
          <w:tcPr>
            <w:tcW w:type="dxa" w:w="2769"/>
            <w:shd w:fill="D9D9D9"/>
          </w:tcPr>
          <w:p>
            <w:r>
              <w:t>Cost (kEUR)</w:t>
            </w:r>
          </w:p>
        </w:tc>
        <w:tc>
          <w:tcPr>
            <w:tcW w:type="dxa" w:w="2769"/>
            <w:shd w:fill="D9D9D9"/>
          </w:tcPr>
          <w:p>
            <w:r>
              <w:t>Basis</w:t>
            </w:r>
          </w:p>
        </w:tc>
      </w:tr>
      <w:tr>
        <w:tc>
          <w:tcPr>
            <w:tcW w:type="dxa" w:w="2769"/>
          </w:tcPr>
          <w:p>
            <w:r>
              <w:t>Launch</w:t>
            </w:r>
          </w:p>
        </w:tc>
        <w:tc>
          <w:tcPr>
            <w:tcW w:type="dxa" w:w="2769"/>
          </w:tcPr>
          <w:p>
            <w:r>
              <w:t>5000.0</w:t>
            </w:r>
          </w:p>
        </w:tc>
        <w:tc>
          <w:tcPr>
            <w:tcW w:type="dxa" w:w="2769"/>
          </w:tcPr>
          <w:p>
            <w:r>
              <w:t>Analogy</w:t>
            </w:r>
          </w:p>
        </w:tc>
      </w:tr>
    </w:tbl>
    <w:p>
      <w:r>
        <w:t>Total cost (kEUR): 10000.0</w:t>
      </w:r>
    </w:p>
    <w:p>
      <w:pPr>
        <w:pStyle w:val="Heading1"/>
      </w:pPr>
      <w:r>
        <w:t>Component Alternatives</w:t>
      </w:r>
    </w:p>
    <w:p>
      <w:r>
        <w:t>Category: OBC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fill="D9D9D9"/>
          </w:tcPr>
          <w:p>
            <w:r>
              <w:t>Rank</w:t>
            </w:r>
          </w:p>
        </w:tc>
        <w:tc>
          <w:tcPr>
            <w:tcW w:type="dxa" w:w="1384"/>
            <w:shd w:fill="D9D9D9"/>
          </w:tcPr>
          <w:p>
            <w:r>
              <w:t>Product</w:t>
            </w:r>
          </w:p>
        </w:tc>
        <w:tc>
          <w:tcPr>
            <w:tcW w:type="dxa" w:w="1384"/>
            <w:shd w:fill="D9D9D9"/>
          </w:tcPr>
          <w:p>
            <w:r>
              <w:t>Vendor</w:t>
            </w:r>
          </w:p>
        </w:tc>
        <w:tc>
          <w:tcPr>
            <w:tcW w:type="dxa" w:w="1384"/>
            <w:shd w:fill="D9D9D9"/>
          </w:tcPr>
          <w:p>
            <w:r>
              <w:t>URL</w:t>
            </w:r>
          </w:p>
        </w:tc>
        <w:tc>
          <w:tcPr>
            <w:tcW w:type="dxa" w:w="1384"/>
            <w:shd w:fill="D9D9D9"/>
          </w:tcPr>
          <w:p>
            <w:r>
              <w:t>Price kEUR</w:t>
            </w:r>
          </w:p>
        </w:tc>
        <w:tc>
          <w:tcPr>
            <w:tcW w:type="dxa" w:w="1384"/>
            <w:shd w:fill="D9D9D9"/>
          </w:tcPr>
          <w:p>
            <w:r>
              <w:t>Lead weeks</w:t>
            </w:r>
          </w:p>
        </w:tc>
      </w:tr>
      <w:tr>
        <w:tc>
          <w:tcPr>
            <w:tcW w:type="dxa" w:w="1384"/>
          </w:tcPr>
          <w:p>
            <w:r>
              <w:t>1</w:t>
            </w:r>
          </w:p>
        </w:tc>
        <w:tc>
          <w:tcPr>
            <w:tcW w:type="dxa" w:w="1384"/>
          </w:tcPr>
          <w:p>
            <w:r>
              <w:t>Placeholder</w:t>
            </w:r>
          </w:p>
        </w:tc>
        <w:tc>
          <w:tcPr>
            <w:tcW w:type="dxa" w:w="1384"/>
          </w:tcPr>
          <w:p>
            <w:r>
              <w:t>TBD</w:t>
            </w:r>
          </w:p>
        </w:tc>
        <w:tc>
          <w:tcPr>
            <w:tcW w:type="dxa" w:w="1384"/>
          </w:tcPr>
          <w:p>
            <w:r>
              <w:t>https://satsearch.co</w:t>
            </w:r>
          </w:p>
        </w:tc>
        <w:tc>
          <w:tcPr>
            <w:tcW w:type="dxa" w:w="1384"/>
          </w:tcPr>
          <w:p>
            <w:r>
              <w:t>None</w:t>
            </w:r>
          </w:p>
        </w:tc>
        <w:tc>
          <w:tcPr>
            <w:tcW w:type="dxa" w:w="1384"/>
          </w:tcPr>
          <w:p>
            <w:r>
              <w:t>None</w:t>
            </w:r>
          </w:p>
        </w:tc>
      </w:tr>
    </w:tbl>
    <w:p>
      <w:r>
        <w:t>Warning: Gap</w:t>
      </w:r>
    </w:p>
    <w:p>
      <w:pPr>
        <w:pStyle w:val="Heading1"/>
      </w:pPr>
      <w:r>
        <w:t>Assumptions and Open Items</w:t>
      </w:r>
    </w:p>
    <w:p>
      <w:r>
        <w:t>Mission assumptions:</w:t>
      </w:r>
    </w:p>
    <w:p>
      <w:r>
        <w:t>- Assumption A</w:t>
      </w:r>
    </w:p>
    <w:p>
      <w:r>
        <w:t>Open questions:</w:t>
      </w:r>
    </w:p>
    <w:p>
      <w:r>
        <w:t>- Question A</w:t>
      </w:r>
    </w:p>
    <w:p>
      <w:pPr>
        <w:pStyle w:val="Heading1"/>
      </w:pPr>
      <w:r>
        <w:t>Disclaimer</w:t>
      </w:r>
    </w:p>
    <w:p>
      <w:r>
        <w:t>This document is an AI-assisted Phase 0 concept draft. All technical values, cost estimates, procurement options, and requirements must be reviewed and validated by a qualified spacecraft systems engineer before use in design, procurement, proposal submission, or mission decision-making.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number placeholder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LunaObserver-1 - MVP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