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r>
        <w:rPr>
          <w:sz w:val="22"/>
          <w:szCs w:val="22"/>
        </w:rPr>
        <w:t xml:space="preserve"/>
      </w:r>
    </w:p>
    <w:p>
      <w:r>
        <w:rPr>
          <w:sz w:val="22"/>
          <w:szCs w:val="22"/>
        </w:rPr>
        <w:t xml:space="preserve"/>
      </w:r>
    </w:p>
    <w:p>
      <w:pPr>
        <w:spacing w:after="80" w:before="0"/>
        <w:jc w:val="center"/>
      </w:pPr>
      <w:r>
        <w:rPr>
          <w:rFonts w:ascii="Arial" w:cs="Arial" w:eastAsia="Arial" w:hAnsi="Arial"/>
          <w:b/>
          <w:bCs/>
          <w:color w:val="1F3864"/>
          <w:sz w:val="52"/>
          <w:szCs w:val="52"/>
        </w:rPr>
        <w:t xml:space="preserve">SmartLoan Credit Default Prediction</w:t>
      </w:r>
    </w:p>
    <w:p>
      <w:pPr>
        <w:pBdr>
          <w:bottom w:val="single" w:color="2E75B6" w:sz="8" w:space="6"/>
        </w:pBdr>
        <w:spacing w:after="200" w:before="0"/>
        <w:jc w:val="center"/>
      </w:pPr>
      <w:r>
        <w:rPr>
          <w:rFonts w:ascii="Arial" w:cs="Arial" w:eastAsia="Arial" w:hAnsi="Arial"/>
          <w:color w:val="2E75B6"/>
          <w:sz w:val="36"/>
          <w:szCs w:val="36"/>
        </w:rPr>
        <w:t xml:space="preserve">FastAPI Model Serving &amp; Dashboard Report</w:t>
      </w:r>
    </w:p>
    <w:p>
      <w:r>
        <w:rPr>
          <w:sz w:val="22"/>
          <w:szCs w:val="22"/>
        </w:rPr>
        <w:t xml:space="preserve"/>
      </w:r>
    </w:p>
    <w:p>
      <w:pPr>
        <w:jc w:val="center"/>
      </w:pPr>
      <w:r>
        <w:rPr>
          <w:rFonts w:ascii="Arial" w:cs="Arial" w:eastAsia="Arial" w:hAnsi="Arial"/>
          <w:color w:val="595959"/>
          <w:sz w:val="22"/>
          <w:szCs w:val="22"/>
        </w:rPr>
        <w:t xml:space="preserve">Covers: API Architecture · Lifespan Management · Pydantic Schemas · All Endpoints</w:t>
      </w:r>
    </w:p>
    <w:p>
      <w:pPr>
        <w:jc w:val="center"/>
      </w:pPr>
      <w:r>
        <w:rPr>
          <w:rFonts w:ascii="Arial" w:cs="Arial" w:eastAsia="Arial" w:hAnsi="Arial"/>
          <w:color w:val="595959"/>
          <w:sz w:val="22"/>
          <w:szCs w:val="22"/>
        </w:rPr>
        <w:t xml:space="preserve">CORS Middleware · Dashboard UI · Batch Prediction · MLflow Integration · Request Lifecycle</w:t>
      </w:r>
    </w:p>
    <w:p>
      <w:r>
        <w:rPr>
          <w:sz w:val="22"/>
          <w:szCs w:val="22"/>
        </w:rPr>
        <w:t xml:space="preserve"/>
      </w:r>
    </w:p>
    <w:p>
      <w:pPr>
        <w:jc w:val="center"/>
      </w:pPr>
      <w:r>
        <w:rPr>
          <w:rFonts w:ascii="Arial" w:cs="Arial" w:eastAsia="Arial" w:hAnsi="Arial"/>
          <w:color w:val="595959"/>
          <w:sz w:val="22"/>
          <w:szCs w:val="22"/>
        </w:rPr>
        <w:t xml:space="preserve">April 2026</w:t>
      </w:r>
    </w:p>
    <w:p>
      <w:r>
        <w:br w:type="page"/>
      </w:r>
    </w:p>
    <w:p>
      <w:pPr>
        <w:pStyle w:val="Heading1"/>
        <w:pBdr>
          <w:bottom w:val="single" w:color="2E75B6" w:sz="6" w:space="4"/>
        </w:pBdr>
        <w:spacing w:after="160" w:before="360"/>
      </w:pPr>
      <w:r>
        <w:rPr>
          <w:rFonts w:ascii="Arial" w:cs="Arial" w:eastAsia="Arial" w:hAnsi="Arial"/>
          <w:b/>
          <w:bCs/>
          <w:color w:val="1F3864"/>
          <w:sz w:val="36"/>
          <w:szCs w:val="36"/>
        </w:rPr>
        <w:t xml:space="preserve">1. Overview</w:t>
      </w:r>
    </w:p>
    <w:p>
      <w:pPr>
        <w:spacing w:after="100" w:before="60"/>
        <w:jc w:val="both"/>
      </w:pPr>
      <w:r>
        <w:rPr>
          <w:rFonts w:ascii="Arial" w:cs="Arial" w:eastAsia="Arial" w:hAnsi="Arial"/>
          <w:b w:val="false"/>
          <w:bCs w:val="false"/>
          <w:color w:val="000000"/>
          <w:sz w:val="22"/>
          <w:szCs w:val="22"/>
        </w:rPr>
        <w:t xml:space="preserve">The SmartLoan FastAPI layer is the production serving component that exposes the trained credit default prediction model as a REST API. It handles all HTTP concerns — routing, validation, error handling, CORS — while delegating all ML logic to the prediction pipeline. It also serves a self-contained dashboard UI and integrates with MLflow to surface training experiment results.</w:t>
      </w:r>
    </w:p>
    <w:p>
      <w:pPr>
        <w:spacing w:after="100" w:before="60"/>
        <w:jc w:val="both"/>
      </w:pPr>
      <w:r>
        <w:rPr>
          <w:rFonts w:ascii="Arial" w:cs="Arial" w:eastAsia="Arial" w:hAnsi="Arial"/>
          <w:b w:val="false"/>
          <w:bCs w:val="false"/>
          <w:color w:val="000000"/>
          <w:sz w:val="22"/>
          <w:szCs w:val="22"/>
        </w:rPr>
        <w:t xml:space="preserve">The API is built with FastAPI, a modern Python web framework that generates OpenAPI documentation automatically, enforces type safety via Pydantic, and supports async request handling. All endpoint inputs and outputs are strictly typed, validated, and documented without any manual schema writing.</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Layer</w:t>
            </w:r>
          </w:p>
        </w:tc>
        <w:tc>
          <w:tcPr>
            <w:tcW w:type="dxa" w:w="20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Technology</w:t>
            </w:r>
          </w:p>
        </w:tc>
        <w:tc>
          <w:tcPr>
            <w:tcW w:type="dxa" w:w="51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Purpose</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API Framework</w:t>
            </w:r>
          </w:p>
        </w:tc>
        <w:tc>
          <w:tcPr>
            <w:tcW w:type="dxa" w:w="2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FastAPI 0.100+</w:t>
            </w:r>
          </w:p>
        </w:tc>
        <w:tc>
          <w:tcPr>
            <w:tcW w:type="dxa" w:w="51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Async HTTP server, automatic OpenAPI docs, type-safe request/response handling.</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Schema Validation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Pydantic v2</w:t>
            </w:r>
          </w:p>
        </w:tc>
        <w:tc>
          <w:tcPr>
            <w:tcW w:type="dxa" w:w="5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Validates and coerces all incoming request fields. Rejects malformed inputs before they reach the model.</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ML Inference</w:t>
            </w:r>
          </w:p>
        </w:tc>
        <w:tc>
          <w:tcPr>
            <w:tcW w:type="dxa" w:w="2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ModelPredictionStage</w:t>
            </w:r>
          </w:p>
        </w:tc>
        <w:tc>
          <w:tcPr>
            <w:tcW w:type="dxa" w:w="51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Loads calibrated model + threshold from joblib, engineers features, returns structured prediction dict.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Experiment Tracking</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MLflow</w:t>
            </w:r>
          </w:p>
        </w:tc>
        <w:tc>
          <w:tcPr>
            <w:tcW w:type="dxa" w:w="5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Reads training run metrics from SQLite backend to populate the dashboard leaderboard.</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Dashboard UI</w:t>
            </w:r>
          </w:p>
        </w:tc>
        <w:tc>
          <w:tcPr>
            <w:tcW w:type="dxa" w:w="2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Vanilla HTML/CSS/JS</w:t>
            </w:r>
          </w:p>
        </w:tc>
        <w:tc>
          <w:tcPr>
            <w:tcW w:type="dxa" w:w="51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Single-page dashboard served at / — no frontend framework needed. Inline in the Python file.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Background Tasks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FastAPI BackgroundTasks</w:t>
            </w:r>
          </w:p>
        </w:tc>
        <w:tc>
          <w:tcPr>
            <w:tcW w:type="dxa" w:w="5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Runs the training pipeline asynchronously without blocking the HTTP server.</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CORS</w:t>
            </w:r>
          </w:p>
        </w:tc>
        <w:tc>
          <w:tcPr>
            <w:tcW w:type="dxa" w:w="2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CORSMiddleware</w:t>
            </w:r>
          </w:p>
        </w:tc>
        <w:tc>
          <w:tcPr>
            <w:tcW w:type="dxa" w:w="51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Allows the dashboard UI and any external client to call the API from any origin.</w:t>
            </w:r>
          </w:p>
        </w:tc>
      </w:tr>
    </w:tbl>
    <w:p>
      <w:r>
        <w:rPr>
          <w:sz w:val="22"/>
          <w:szCs w:val="22"/>
        </w:rPr>
        <w:t xml:space="preserve"/>
      </w:r>
    </w:p>
    <w:p>
      <w:pPr>
        <w:pStyle w:val="Heading1"/>
        <w:pBdr>
          <w:bottom w:val="single" w:color="2E75B6" w:sz="6" w:space="4"/>
        </w:pBdr>
        <w:spacing w:after="160" w:before="360"/>
      </w:pPr>
      <w:r>
        <w:rPr>
          <w:rFonts w:ascii="Arial" w:cs="Arial" w:eastAsia="Arial" w:hAnsi="Arial"/>
          <w:b/>
          <w:bCs/>
          <w:color w:val="1F3864"/>
          <w:sz w:val="36"/>
          <w:szCs w:val="36"/>
        </w:rPr>
        <w:t xml:space="preserve">2. Application Bootstrap — Lifespan &amp; Startup</w:t>
      </w:r>
    </w:p>
    <w:p>
      <w:pPr>
        <w:pStyle w:val="Heading2"/>
        <w:spacing w:after="120" w:before="280"/>
      </w:pPr>
      <w:r>
        <w:rPr>
          <w:rFonts w:ascii="Arial" w:cs="Arial" w:eastAsia="Arial" w:hAnsi="Arial"/>
          <w:b/>
          <w:bCs/>
          <w:color w:val="1F5C99"/>
          <w:sz w:val="28"/>
          <w:szCs w:val="28"/>
        </w:rPr>
        <w:t xml:space="preserve">2.1 The Lifespan Context Manager</w:t>
      </w:r>
    </w:p>
    <w:p>
      <w:pPr>
        <w:spacing w:after="100" w:before="60"/>
        <w:jc w:val="both"/>
      </w:pPr>
      <w:r>
        <w:rPr>
          <w:rFonts w:ascii="Arial" w:cs="Arial" w:eastAsia="Arial" w:hAnsi="Arial"/>
          <w:b w:val="false"/>
          <w:bCs w:val="false"/>
          <w:color w:val="000000"/>
          <w:sz w:val="22"/>
          <w:szCs w:val="22"/>
        </w:rPr>
        <w:t xml:space="preserve">FastAPI applications define startup and shutdown behaviour using a lifespan async context manager. This replaces the older @app.on_event('startup') decorator pattern. The lifespan function runs before the server accepts any requests and again when it shuts down.</w:t>
      </w:r>
    </w:p>
    <w:p>
      <w:r>
        <w:rPr>
          <w:sz w:val="22"/>
          <w:szCs w:val="22"/>
        </w:rPr>
        <w:t xml:space="preserve"/>
      </w:r>
    </w:p>
    <w:p>
      <w:pPr>
        <w:spacing w:after="60" w:before="60"/>
        <w:ind w:left="720"/>
      </w:pPr>
      <w:r>
        <w:rPr>
          <w:rFonts w:ascii="Courier New" w:cs="Courier New" w:eastAsia="Courier New" w:hAnsi="Courier New"/>
          <w:color w:val="1F5C99"/>
          <w:sz w:val="19"/>
          <w:szCs w:val="19"/>
        </w:rPr>
        <w:t xml:space="preserve">@asynccontextmanager</w:t>
      </w:r>
    </w:p>
    <w:p>
      <w:pPr>
        <w:spacing w:after="60" w:before="60"/>
        <w:ind w:left="720"/>
      </w:pPr>
      <w:r>
        <w:rPr>
          <w:rFonts w:ascii="Courier New" w:cs="Courier New" w:eastAsia="Courier New" w:hAnsi="Courier New"/>
          <w:color w:val="1F5C99"/>
          <w:sz w:val="19"/>
          <w:szCs w:val="19"/>
        </w:rPr>
        <w:t xml:space="preserve">async def lifespan(app: FastAPI):</w:t>
      </w:r>
    </w:p>
    <w:p>
      <w:pPr>
        <w:spacing w:after="60" w:before="60"/>
        <w:ind w:left="720"/>
      </w:pPr>
      <w:r>
        <w:rPr>
          <w:rFonts w:ascii="Courier New" w:cs="Courier New" w:eastAsia="Courier New" w:hAnsi="Courier New"/>
          <w:color w:val="1F5C99"/>
          <w:sz w:val="19"/>
          <w:szCs w:val="19"/>
        </w:rPr>
        <w:t xml:space="preserve">    global pipeline</w:t>
      </w:r>
    </w:p>
    <w:p>
      <w:pPr>
        <w:spacing w:after="60" w:before="60"/>
        <w:ind w:left="720"/>
      </w:pPr>
      <w:r>
        <w:rPr>
          <w:rFonts w:ascii="Courier New" w:cs="Courier New" w:eastAsia="Courier New" w:hAnsi="Courier New"/>
          <w:color w:val="1F5C99"/>
          <w:sz w:val="19"/>
          <w:szCs w:val="19"/>
        </w:rPr>
        <w:t xml:space="preserve">    pipeline = ModelPredictionStage()      # loads model, scaler, threshold</w:t>
      </w:r>
    </w:p>
    <w:p>
      <w:pPr>
        <w:spacing w:after="60" w:before="60"/>
        <w:ind w:left="720"/>
      </w:pPr>
      <w:r>
        <w:rPr>
          <w:rFonts w:ascii="Courier New" w:cs="Courier New" w:eastAsia="Courier New" w:hAnsi="Courier New"/>
          <w:color w:val="1F5C99"/>
          <w:sz w:val="19"/>
          <w:szCs w:val="19"/>
        </w:rPr>
        <w:t xml:space="preserve">    yield                                  # server runs here</w:t>
      </w:r>
    </w:p>
    <w:p>
      <w:pPr>
        <w:spacing w:after="60" w:before="60"/>
        <w:ind w:left="720"/>
      </w:pPr>
      <w:r>
        <w:rPr>
          <w:rFonts w:ascii="Courier New" w:cs="Courier New" w:eastAsia="Courier New" w:hAnsi="Courier New"/>
          <w:color w:val="1F5C99"/>
          <w:sz w:val="19"/>
          <w:szCs w:val="19"/>
        </w:rPr>
        <w:t xml:space="preserve">    logger.info('Shutting down...')        # cleanup on exit</w:t>
      </w:r>
    </w:p>
    <w:p>
      <w:r>
        <w:rPr>
          <w:sz w:val="22"/>
          <w:szCs w:val="22"/>
        </w:rPr>
        <w:t xml:space="preserve"/>
      </w:r>
    </w:p>
    <w:p>
      <w:pPr>
        <w:spacing w:after="100" w:before="60"/>
        <w:jc w:val="both"/>
      </w:pPr>
      <w:r>
        <w:rPr>
          <w:rFonts w:ascii="Arial" w:cs="Arial" w:eastAsia="Arial" w:hAnsi="Arial"/>
          <w:b w:val="false"/>
          <w:bCs w:val="false"/>
          <w:color w:val="000000"/>
          <w:sz w:val="22"/>
          <w:szCs w:val="22"/>
        </w:rPr>
        <w:t xml:space="preserve">The yield statement is the dividing line: everything before yield runs at startup, everything after runs at shutdown. The model is loaded once at startup and reused for every request — this is critical for performance since model loading involves disk I/O and deserialization, which takes 1–3 seconds.</w:t>
      </w:r>
    </w:p>
    <w:p>
      <w:pPr>
        <w:pStyle w:val="Heading2"/>
        <w:spacing w:after="120" w:before="280"/>
      </w:pPr>
      <w:r>
        <w:rPr>
          <w:rFonts w:ascii="Arial" w:cs="Arial" w:eastAsia="Arial" w:hAnsi="Arial"/>
          <w:b/>
          <w:bCs/>
          <w:color w:val="1F5C99"/>
          <w:sz w:val="28"/>
          <w:szCs w:val="28"/>
        </w:rPr>
        <w:t xml:space="preserve">2.2 Graceful Degradation on Missing Model</w:t>
      </w:r>
    </w:p>
    <w:p>
      <w:pPr>
        <w:spacing w:after="100" w:before="60"/>
        <w:jc w:val="both"/>
      </w:pPr>
      <w:r>
        <w:rPr>
          <w:rFonts w:ascii="Arial" w:cs="Arial" w:eastAsia="Arial" w:hAnsi="Arial"/>
          <w:b w:val="false"/>
          <w:bCs w:val="false"/>
          <w:color w:val="000000"/>
          <w:sz w:val="22"/>
          <w:szCs w:val="22"/>
        </w:rPr>
        <w:t xml:space="preserve">If model loading fails (e.g. training has not been run yet, or artifact files are missing), the API does not crash. Instead it sets the global pipeline to None and logs a warning. The server starts successfully and all non-prediction endpoints remain available. Any request to /predict or /predict/batch returns HTTP 503 Service Unavailable with a clear message to run the training pipeline first.</w:t>
      </w:r>
    </w:p>
    <w:p>
      <w:pPr>
        <w:pBdr>
          <w:left w:val="single" w:color="1F5C99" w:sz="16" w:space="8"/>
        </w:pBdr>
        <w:shd w:fill="D6E4F0" w:val="clear"/>
        <w:spacing w:after="120" w:before="120"/>
        <w:ind w:left="360" w:right="360"/>
      </w:pPr>
      <w:r>
        <w:rPr>
          <w:rFonts w:ascii="Arial" w:cs="Arial" w:eastAsia="Arial" w:hAnsi="Arial"/>
          <w:b/>
          <w:bCs/>
          <w:color w:val="1F5C99"/>
          <w:sz w:val="21"/>
          <w:szCs w:val="21"/>
        </w:rPr>
        <w:t xml:space="preserve">Design principle: The API is always reachable even without a model. This allows health checks, dashboard browsing, and training triggers to work independently of model availability.</w:t>
      </w:r>
    </w:p>
    <w:p>
      <w:pPr>
        <w:pStyle w:val="Heading2"/>
        <w:spacing w:after="120" w:before="280"/>
      </w:pPr>
      <w:r>
        <w:rPr>
          <w:rFonts w:ascii="Arial" w:cs="Arial" w:eastAsia="Arial" w:hAnsi="Arial"/>
          <w:b/>
          <w:bCs/>
          <w:color w:val="1F5C99"/>
          <w:sz w:val="28"/>
          <w:szCs w:val="28"/>
        </w:rPr>
        <w:t xml:space="preserve">2.3 FastAPI Application Object</w:t>
      </w:r>
    </w:p>
    <w:p>
      <w:pPr>
        <w:spacing w:after="100" w:before="60"/>
        <w:jc w:val="both"/>
      </w:pPr>
      <w:r>
        <w:rPr>
          <w:rFonts w:ascii="Arial" w:cs="Arial" w:eastAsia="Arial" w:hAnsi="Arial"/>
          <w:b w:val="false"/>
          <w:bCs w:val="false"/>
          <w:color w:val="000000"/>
          <w:sz w:val="22"/>
          <w:szCs w:val="22"/>
        </w:rPr>
        <w:t xml:space="preserve">The FastAPI app is instantiated with metadata that populates the auto-generated OpenAPI documentation at /docs:</w:t>
      </w:r>
    </w:p>
    <w:p>
      <w:r>
        <w:rPr>
          <w:sz w:val="22"/>
          <w:szCs w:val="22"/>
        </w:rPr>
        <w:t xml:space="preserve"/>
      </w:r>
    </w:p>
    <w:p>
      <w:pPr>
        <w:spacing w:after="60" w:before="60"/>
        <w:ind w:left="720"/>
      </w:pPr>
      <w:r>
        <w:rPr>
          <w:rFonts w:ascii="Courier New" w:cs="Courier New" w:eastAsia="Courier New" w:hAnsi="Courier New"/>
          <w:color w:val="1F5C99"/>
          <w:sz w:val="19"/>
          <w:szCs w:val="19"/>
        </w:rPr>
        <w:t xml:space="preserve">app = FastAPI(</w:t>
      </w:r>
    </w:p>
    <w:p>
      <w:pPr>
        <w:spacing w:after="60" w:before="60"/>
        <w:ind w:left="720"/>
      </w:pPr>
      <w:r>
        <w:rPr>
          <w:rFonts w:ascii="Courier New" w:cs="Courier New" w:eastAsia="Courier New" w:hAnsi="Courier New"/>
          <w:color w:val="1F5C99"/>
          <w:sz w:val="19"/>
          <w:szCs w:val="19"/>
        </w:rPr>
        <w:t xml:space="preserve">    title       = 'SmartLoan Credit Risk API',</w:t>
      </w:r>
    </w:p>
    <w:p>
      <w:pPr>
        <w:spacing w:after="60" w:before="60"/>
        <w:ind w:left="720"/>
      </w:pPr>
      <w:r>
        <w:rPr>
          <w:rFonts w:ascii="Courier New" w:cs="Courier New" w:eastAsia="Courier New" w:hAnsi="Courier New"/>
          <w:color w:val="1F5C99"/>
          <w:sz w:val="19"/>
          <w:szCs w:val="19"/>
        </w:rPr>
        <w:t xml:space="preserve">    description = 'Production ML API for UCI Credit Card Default prediction.',</w:t>
      </w:r>
    </w:p>
    <w:p>
      <w:pPr>
        <w:spacing w:after="60" w:before="60"/>
        <w:ind w:left="720"/>
      </w:pPr>
      <w:r>
        <w:rPr>
          <w:rFonts w:ascii="Courier New" w:cs="Courier New" w:eastAsia="Courier New" w:hAnsi="Courier New"/>
          <w:color w:val="1F5C99"/>
          <w:sz w:val="19"/>
          <w:szCs w:val="19"/>
        </w:rPr>
        <w:t xml:space="preserve">    version     = '2.0.0',</w:t>
      </w:r>
    </w:p>
    <w:p>
      <w:pPr>
        <w:spacing w:after="60" w:before="60"/>
        <w:ind w:left="720"/>
      </w:pPr>
      <w:r>
        <w:rPr>
          <w:rFonts w:ascii="Courier New" w:cs="Courier New" w:eastAsia="Courier New" w:hAnsi="Courier New"/>
          <w:color w:val="1F5C99"/>
          <w:sz w:val="19"/>
          <w:szCs w:val="19"/>
        </w:rPr>
        <w:t xml:space="preserve">    lifespan    = lifespan,</w:t>
      </w:r>
    </w:p>
    <w:p>
      <w:pPr>
        <w:spacing w:after="60" w:before="60"/>
        <w:ind w:left="720"/>
      </w:pPr>
      <w:r>
        <w:rPr>
          <w:rFonts w:ascii="Courier New" w:cs="Courier New" w:eastAsia="Courier New" w:hAnsi="Courier New"/>
          <w:color w:val="1F5C99"/>
          <w:sz w:val="19"/>
          <w:szCs w:val="19"/>
        </w:rPr>
        <w:t xml:space="preserve">)</w:t>
      </w:r>
    </w:p>
    <w:p>
      <w:r>
        <w:rPr>
          <w:sz w:val="22"/>
          <w:szCs w:val="22"/>
        </w:rPr>
        <w:t xml:space="preserve"/>
      </w:r>
    </w:p>
    <w:p>
      <w:pPr>
        <w:spacing w:after="100" w:before="60"/>
        <w:jc w:val="both"/>
      </w:pPr>
      <w:r>
        <w:rPr>
          <w:rFonts w:ascii="Arial" w:cs="Arial" w:eastAsia="Arial" w:hAnsi="Arial"/>
          <w:b w:val="false"/>
          <w:bCs w:val="false"/>
          <w:color w:val="000000"/>
          <w:sz w:val="22"/>
          <w:szCs w:val="22"/>
        </w:rPr>
        <w:t xml:space="preserve">The lifespan parameter wires in the startup/shutdown lifecycle. The title, description, and version appear at the top of the Swagger UI (/docs) and in the OpenAPI JSON (/openapi.json).</w:t>
      </w:r>
    </w:p>
    <w:p>
      <w:r>
        <w:rPr>
          <w:sz w:val="22"/>
          <w:szCs w:val="22"/>
        </w:rPr>
        <w:t xml:space="preserve"/>
      </w:r>
    </w:p>
    <w:p>
      <w:pPr>
        <w:pStyle w:val="Heading2"/>
        <w:spacing w:after="120" w:before="280"/>
      </w:pPr>
      <w:r>
        <w:rPr>
          <w:rFonts w:ascii="Arial" w:cs="Arial" w:eastAsia="Arial" w:hAnsi="Arial"/>
          <w:b/>
          <w:bCs/>
          <w:color w:val="1F5C99"/>
          <w:sz w:val="28"/>
          <w:szCs w:val="28"/>
        </w:rPr>
        <w:t xml:space="preserve">2.4 Global State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Variable</w:t>
            </w:r>
          </w:p>
        </w:tc>
        <w:tc>
          <w:tcPr>
            <w:tcW w:type="dxa" w:w="18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Type</w:t>
            </w:r>
          </w:p>
        </w:tc>
        <w:tc>
          <w:tcPr>
            <w:tcW w:type="dxa" w:w="51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Purpose</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pipeline</w:t>
            </w:r>
          </w:p>
        </w:tc>
        <w:tc>
          <w:tcPr>
            <w:tcW w:type="dxa" w:w="1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ModelPredictionStage | None</w:t>
            </w:r>
          </w:p>
        </w:tc>
        <w:tc>
          <w:tcPr>
            <w:tcW w:type="dxa" w:w="51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The loaded model pipeline. None if startup failed. All prediction endpoints check this before proceeding.</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_training_status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dict</w:t>
            </w:r>
          </w:p>
        </w:tc>
        <w:tc>
          <w:tcPr>
            <w:tcW w:type="dxa" w:w="5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Tracks background training state: {running: bool, message: str}. Prevents duplicate training runs and allows polling via /api/train/status.</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MLFLOW_URI</w:t>
            </w:r>
          </w:p>
        </w:tc>
        <w:tc>
          <w:tcPr>
            <w:tcW w:type="dxa" w:w="1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w:t>
            </w:r>
          </w:p>
        </w:tc>
        <w:tc>
          <w:tcPr>
            <w:tcW w:type="dxa" w:w="51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MLflow tracking URI. Reads from environment variable MLFLOW_TRACKING_URI with fallback to sqlite:///mlflow.db.</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MLFLOW_EXPERIMENT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w:t>
            </w:r>
          </w:p>
        </w:tc>
        <w:tc>
          <w:tcPr>
            <w:tcW w:type="dxa" w:w="5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Experiment name constant matching model_training.py: 'SmartLoan_UCI_CreditDefault'. Ensures MLflow queries target the correct experiment.</w:t>
            </w:r>
          </w:p>
        </w:tc>
      </w:tr>
    </w:tbl>
    <w:p>
      <w:r>
        <w:rPr>
          <w:sz w:val="22"/>
          <w:szCs w:val="22"/>
        </w:rPr>
        <w:t xml:space="preserve"/>
      </w:r>
    </w:p>
    <w:p>
      <w:r>
        <w:br w:type="page"/>
      </w:r>
    </w:p>
    <w:p>
      <w:pPr>
        <w:pStyle w:val="Heading1"/>
        <w:pBdr>
          <w:bottom w:val="single" w:color="2E75B6" w:sz="6" w:space="4"/>
        </w:pBdr>
        <w:spacing w:after="160" w:before="360"/>
      </w:pPr>
      <w:r>
        <w:rPr>
          <w:rFonts w:ascii="Arial" w:cs="Arial" w:eastAsia="Arial" w:hAnsi="Arial"/>
          <w:b/>
          <w:bCs/>
          <w:color w:val="1F3864"/>
          <w:sz w:val="36"/>
          <w:szCs w:val="36"/>
        </w:rPr>
        <w:t xml:space="preserve">3. CORS Middleware</w:t>
      </w:r>
    </w:p>
    <w:p>
      <w:pPr>
        <w:spacing w:after="100" w:before="60"/>
        <w:jc w:val="both"/>
      </w:pPr>
      <w:r>
        <w:rPr>
          <w:rFonts w:ascii="Arial" w:cs="Arial" w:eastAsia="Arial" w:hAnsi="Arial"/>
          <w:b w:val="false"/>
          <w:bCs w:val="false"/>
          <w:color w:val="000000"/>
          <w:sz w:val="22"/>
          <w:szCs w:val="22"/>
        </w:rPr>
        <w:t xml:space="preserve">Cross-Origin Resource Sharing (CORS) controls which external domains can make HTTP requests to the API. Without CORS headers, browsers block requests from any origin that is not the same as the API server. This would prevent the dashboard's JavaScript (running in the browser) from calling /predict or /api/mlruns.</w:t>
      </w:r>
    </w:p>
    <w:p>
      <w:r>
        <w:rPr>
          <w:sz w:val="22"/>
          <w:szCs w:val="22"/>
        </w:rPr>
        <w:t xml:space="preserve"/>
      </w:r>
    </w:p>
    <w:p>
      <w:pPr>
        <w:spacing w:after="60" w:before="60"/>
        <w:ind w:left="720"/>
      </w:pPr>
      <w:r>
        <w:rPr>
          <w:rFonts w:ascii="Courier New" w:cs="Courier New" w:eastAsia="Courier New" w:hAnsi="Courier New"/>
          <w:color w:val="1F5C99"/>
          <w:sz w:val="19"/>
          <w:szCs w:val="19"/>
        </w:rPr>
        <w:t xml:space="preserve">app.add_middleware(</w:t>
      </w:r>
    </w:p>
    <w:p>
      <w:pPr>
        <w:spacing w:after="60" w:before="60"/>
        <w:ind w:left="720"/>
      </w:pPr>
      <w:r>
        <w:rPr>
          <w:rFonts w:ascii="Courier New" w:cs="Courier New" w:eastAsia="Courier New" w:hAnsi="Courier New"/>
          <w:color w:val="1F5C99"/>
          <w:sz w:val="19"/>
          <w:szCs w:val="19"/>
        </w:rPr>
        <w:t xml:space="preserve">    CORSMiddleware,</w:t>
      </w:r>
    </w:p>
    <w:p>
      <w:pPr>
        <w:spacing w:after="60" w:before="60"/>
        <w:ind w:left="720"/>
      </w:pPr>
      <w:r>
        <w:rPr>
          <w:rFonts w:ascii="Courier New" w:cs="Courier New" w:eastAsia="Courier New" w:hAnsi="Courier New"/>
          <w:color w:val="1F5C99"/>
          <w:sz w:val="19"/>
          <w:szCs w:val="19"/>
        </w:rPr>
        <w:t xml:space="preserve">    allow_origins     = ['*'],   # any domain</w:t>
      </w:r>
    </w:p>
    <w:p>
      <w:pPr>
        <w:spacing w:after="60" w:before="60"/>
        <w:ind w:left="720"/>
      </w:pPr>
      <w:r>
        <w:rPr>
          <w:rFonts w:ascii="Courier New" w:cs="Courier New" w:eastAsia="Courier New" w:hAnsi="Courier New"/>
          <w:color w:val="1F5C99"/>
          <w:sz w:val="19"/>
          <w:szCs w:val="19"/>
        </w:rPr>
        <w:t xml:space="preserve">    allow_credentials = True,</w:t>
      </w:r>
    </w:p>
    <w:p>
      <w:pPr>
        <w:spacing w:after="60" w:before="60"/>
        <w:ind w:left="720"/>
      </w:pPr>
      <w:r>
        <w:rPr>
          <w:rFonts w:ascii="Courier New" w:cs="Courier New" w:eastAsia="Courier New" w:hAnsi="Courier New"/>
          <w:color w:val="1F5C99"/>
          <w:sz w:val="19"/>
          <w:szCs w:val="19"/>
        </w:rPr>
        <w:t xml:space="preserve">    allow_methods     = ['*'],   # GET, POST, OPTIONS, etc.</w:t>
      </w:r>
    </w:p>
    <w:p>
      <w:pPr>
        <w:spacing w:after="60" w:before="60"/>
        <w:ind w:left="720"/>
      </w:pPr>
      <w:r>
        <w:rPr>
          <w:rFonts w:ascii="Courier New" w:cs="Courier New" w:eastAsia="Courier New" w:hAnsi="Courier New"/>
          <w:color w:val="1F5C99"/>
          <w:sz w:val="19"/>
          <w:szCs w:val="19"/>
        </w:rPr>
        <w:t xml:space="preserve">    allow_headers     = ['*'],   # Content-Type, Authorization, etc.</w:t>
      </w:r>
    </w:p>
    <w:p>
      <w:pPr>
        <w:spacing w:after="60" w:before="60"/>
        <w:ind w:left="720"/>
      </w:pPr>
      <w:r>
        <w:rPr>
          <w:rFonts w:ascii="Courier New" w:cs="Courier New" w:eastAsia="Courier New" w:hAnsi="Courier New"/>
          <w:color w:val="1F5C99"/>
          <w:sz w:val="19"/>
          <w:szCs w:val="19"/>
        </w:rPr>
        <w:t xml:space="preserve">)</w:t>
      </w:r>
    </w:p>
    <w:p>
      <w:r>
        <w:rPr>
          <w:sz w:val="22"/>
          <w:szCs w:val="22"/>
        </w:rPr>
        <w:t xml:space="preserve"/>
      </w:r>
    </w:p>
    <w:p>
      <w:pPr>
        <w:pBdr>
          <w:left w:val="single" w:color="C55A11" w:sz="16" w:space="8"/>
        </w:pBdr>
        <w:shd w:fill="FFF2CC" w:val="clear"/>
        <w:spacing w:after="120" w:before="120"/>
        <w:ind w:left="360" w:right="360"/>
      </w:pPr>
      <w:r>
        <w:rPr>
          <w:rFonts w:ascii="Arial" w:cs="Arial" w:eastAsia="Arial" w:hAnsi="Arial"/>
          <w:b/>
          <w:bCs/>
          <w:color w:val="C55A11"/>
          <w:sz w:val="21"/>
          <w:szCs w:val="21"/>
        </w:rPr>
        <w:t xml:space="preserve">allow_origins=['*'] is appropriate for development and internal tooling. For a customer-facing production API, restrict this to specific domains (e.g. ['https://smartloan.example.com']) to prevent unauthorised cross-site requests.</w:t>
      </w:r>
    </w:p>
    <w:p>
      <w:pPr>
        <w:spacing w:after="100" w:before="60"/>
        <w:jc w:val="both"/>
      </w:pPr>
      <w:r>
        <w:rPr>
          <w:rFonts w:ascii="Arial" w:cs="Arial" w:eastAsia="Arial" w:hAnsi="Arial"/>
          <w:b w:val="false"/>
          <w:bCs w:val="false"/>
          <w:color w:val="000000"/>
          <w:sz w:val="22"/>
          <w:szCs w:val="22"/>
        </w:rPr>
        <w:t xml:space="preserve">The middleware automatically handles OPTIONS preflight requests — browser pre-checks sent before POST requests with JSON bodies. FastAPI + CORSMiddleware handles these transparently without any additional endpoint code.</w:t>
      </w:r>
    </w:p>
    <w:p>
      <w:r>
        <w:rPr>
          <w:sz w:val="22"/>
          <w:szCs w:val="22"/>
        </w:rPr>
        <w:t xml:space="preserve"/>
      </w:r>
    </w:p>
    <w:p>
      <w:pPr>
        <w:pStyle w:val="Heading1"/>
        <w:pBdr>
          <w:bottom w:val="single" w:color="2E75B6" w:sz="6" w:space="4"/>
        </w:pBdr>
        <w:spacing w:after="160" w:before="360"/>
      </w:pPr>
      <w:r>
        <w:rPr>
          <w:rFonts w:ascii="Arial" w:cs="Arial" w:eastAsia="Arial" w:hAnsi="Arial"/>
          <w:b/>
          <w:bCs/>
          <w:color w:val="1F3864"/>
          <w:sz w:val="36"/>
          <w:szCs w:val="36"/>
        </w:rPr>
        <w:t xml:space="preserve">4. Pydantic Request &amp; Response Schemas</w:t>
      </w:r>
    </w:p>
    <w:p>
      <w:pPr>
        <w:pStyle w:val="Heading2"/>
        <w:spacing w:after="120" w:before="280"/>
      </w:pPr>
      <w:r>
        <w:rPr>
          <w:rFonts w:ascii="Arial" w:cs="Arial" w:eastAsia="Arial" w:hAnsi="Arial"/>
          <w:b/>
          <w:bCs/>
          <w:color w:val="1F5C99"/>
          <w:sz w:val="28"/>
          <w:szCs w:val="28"/>
        </w:rPr>
        <w:t xml:space="preserve">4.1 Schema Overview</w:t>
      </w:r>
    </w:p>
    <w:p>
      <w:pPr>
        <w:spacing w:after="100" w:before="60"/>
        <w:jc w:val="both"/>
      </w:pPr>
      <w:r>
        <w:rPr>
          <w:rFonts w:ascii="Arial" w:cs="Arial" w:eastAsia="Arial" w:hAnsi="Arial"/>
          <w:b w:val="false"/>
          <w:bCs w:val="false"/>
          <w:color w:val="000000"/>
          <w:sz w:val="22"/>
          <w:szCs w:val="22"/>
        </w:rPr>
        <w:t xml:space="preserve">Pydantic schemas are Python classes that define the expected structure of request and response data. FastAPI uses them automatically — it deserialises incoming JSON into the schema class, runs all field validations, and returns a 422 Unprocessable Entity error with detailed field-level messages if any validation fails. No manual validation code is needed anywhere in the endpoint functions.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c>
          <w:tcPr>
            <w:tcW w:type="dxa" w:w="22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Schema Class</w:t>
            </w:r>
          </w:p>
        </w:tc>
        <w:tc>
          <w:tcPr>
            <w:tcW w:type="dxa" w:w="16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Direction</w:t>
            </w:r>
          </w:p>
        </w:tc>
        <w:tc>
          <w:tcPr>
            <w:tcW w:type="dxa" w:w="18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Used By</w:t>
            </w:r>
          </w:p>
        </w:tc>
        <w:tc>
          <w:tcPr>
            <w:tcW w:type="dxa" w:w="37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Purpose</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CreditCardApplication</w:t>
            </w:r>
          </w:p>
        </w:tc>
        <w:tc>
          <w:tcPr>
            <w:tcW w:type="dxa" w:w="16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Request (IN)</w:t>
            </w:r>
          </w:p>
        </w:tc>
        <w:tc>
          <w:tcPr>
            <w:tcW w:type="dxa" w:w="1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/predict, /predict/batch</w:t>
            </w:r>
          </w:p>
        </w:tc>
        <w:tc>
          <w:tcPr>
            <w:tcW w:type="dxa" w:w="37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Validates all 23 UCI input fields. Enforces ranges, allowed values, and types before any ML code runs.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PredictionResponse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Response (OUT)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/predict</w:t>
            </w:r>
          </w:p>
        </w:tc>
        <w:tc>
          <w:tcPr>
            <w:tcW w:type="dxa" w:w="3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Structures the 5-field prediction result. FastAPI serialises this to JSON automatically.</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BatchPredictionResponse</w:t>
            </w:r>
          </w:p>
        </w:tc>
        <w:tc>
          <w:tcPr>
            <w:tcW w:type="dxa" w:w="16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Response (OUT)</w:t>
            </w:r>
          </w:p>
        </w:tc>
        <w:tc>
          <w:tcPr>
            <w:tcW w:type="dxa" w:w="1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/predict/batch</w:t>
            </w:r>
          </w:p>
        </w:tc>
        <w:tc>
          <w:tcPr>
            <w:tcW w:type="dxa" w:w="37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Wraps list of predictions with count and elapsed_seconds metadata.</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HealthResponse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Response (OUT)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/health</w:t>
            </w:r>
          </w:p>
        </w:tc>
        <w:tc>
          <w:tcPr>
            <w:tcW w:type="dxa" w:w="3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Returns API status, model loaded flag, model name, and threshold.</w:t>
            </w:r>
          </w:p>
        </w:tc>
      </w:tr>
    </w:tbl>
    <w:p>
      <w:r>
        <w:rPr>
          <w:sz w:val="22"/>
          <w:szCs w:val="22"/>
        </w:rPr>
        <w:t xml:space="preserve"/>
      </w:r>
    </w:p>
    <w:p>
      <w:pPr>
        <w:pStyle w:val="Heading2"/>
        <w:spacing w:after="120" w:before="280"/>
      </w:pPr>
      <w:r>
        <w:rPr>
          <w:rFonts w:ascii="Arial" w:cs="Arial" w:eastAsia="Arial" w:hAnsi="Arial"/>
          <w:b/>
          <w:bCs/>
          <w:color w:val="1F5C99"/>
          <w:sz w:val="28"/>
          <w:szCs w:val="28"/>
        </w:rPr>
        <w:t xml:space="preserve">4.2 CreditCardApplication — Field Validation Detail</w:t>
      </w:r>
    </w:p>
    <w:p>
      <w:pPr>
        <w:spacing w:after="100" w:before="60"/>
        <w:jc w:val="both"/>
      </w:pPr>
      <w:r>
        <w:rPr>
          <w:rFonts w:ascii="Arial" w:cs="Arial" w:eastAsia="Arial" w:hAnsi="Arial"/>
          <w:b w:val="false"/>
          <w:bCs w:val="false"/>
          <w:color w:val="000000"/>
          <w:sz w:val="22"/>
          <w:szCs w:val="22"/>
        </w:rPr>
        <w:t xml:space="preserve">Every field in CreditCardApplication uses Pydantic Field() with explicit constraints that match the UCI dataset specification:</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760"/>
      </w:tblGrid>
      <w:tr>
        <w:tc>
          <w:tcPr>
            <w:tcW w:type="dxa" w:w="18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Field</w:t>
            </w:r>
          </w:p>
        </w:tc>
        <w:tc>
          <w:tcPr>
            <w:tcW w:type="dxa" w:w="14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Type</w:t>
            </w:r>
          </w:p>
        </w:tc>
        <w:tc>
          <w:tcPr>
            <w:tcW w:type="dxa" w:w="14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Constraint</w:t>
            </w:r>
          </w:p>
        </w:tc>
        <w:tc>
          <w:tcPr>
            <w:tcW w:type="dxa" w:w="47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Validation Logic</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LIMIT_BAL</w:t>
            </w:r>
          </w:p>
        </w:tc>
        <w:tc>
          <w:tcPr>
            <w:tcW w:type="dxa" w:w="1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float</w:t>
            </w:r>
          </w:p>
        </w:tc>
        <w:tc>
          <w:tcPr>
            <w:tcW w:type="dxa" w:w="1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ge=10000, le=1000000</w:t>
            </w:r>
          </w:p>
        </w:tc>
        <w:tc>
          <w:tcPr>
            <w:tcW w:type="dxa" w:w="47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Rejects credit limits outside NT$10K–NT$1M. Values below 10K do not appear in the dataset; values above 1M are likely data entry errors.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SEX</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Literal[1,2]</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Enum</w:t>
            </w:r>
          </w:p>
        </w:tc>
        <w:tc>
          <w:tcPr>
            <w:tcW w:type="dxa" w:w="4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Only accepts exactly 1 or 2. Any other integer (e.g. 0, 3) raises a 422 Unprocessable Entity error with field-level detail.</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EDUCATION</w:t>
            </w:r>
          </w:p>
        </w:tc>
        <w:tc>
          <w:tcPr>
            <w:tcW w:type="dxa" w:w="1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Literal[0..6]</w:t>
            </w:r>
          </w:p>
        </w:tc>
        <w:tc>
          <w:tcPr>
            <w:tcW w:type="dxa" w:w="1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Enum</w:t>
            </w:r>
          </w:p>
        </w:tc>
        <w:tc>
          <w:tcPr>
            <w:tcW w:type="dxa" w:w="47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Accepts 0–6. Values 0, 5, 6 represent undisclosed/unknown education in the UCI dataset.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MARRIAGE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Literal[0..3]</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Enum</w:t>
            </w:r>
          </w:p>
        </w:tc>
        <w:tc>
          <w:tcPr>
            <w:tcW w:type="dxa" w:w="4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Accepts 0–3. Value 0 represents unknown marital status.</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AGE</w:t>
            </w:r>
          </w:p>
        </w:tc>
        <w:tc>
          <w:tcPr>
            <w:tcW w:type="dxa" w:w="1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int</w:t>
            </w:r>
          </w:p>
        </w:tc>
        <w:tc>
          <w:tcPr>
            <w:tcW w:type="dxa" w:w="1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ge=18, le=100</w:t>
            </w:r>
          </w:p>
        </w:tc>
        <w:tc>
          <w:tcPr>
            <w:tcW w:type="dxa" w:w="47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Rejects minors (under 18 cannot hold credit cards) and unrealistic ages.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PAY_0–PAY_6</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ge=-2, le=9</w:t>
            </w:r>
          </w:p>
        </w:tc>
        <w:tc>
          <w:tcPr>
            <w:tcW w:type="dxa" w:w="4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Delinquency status codes. -2=no use, -1=paid in full, 0=revolving, 1–9=months overdue. Values outside this range are data errors.</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BILL_AMT1–6</w:t>
            </w:r>
          </w:p>
        </w:tc>
        <w:tc>
          <w:tcPr>
            <w:tcW w:type="dxa" w:w="1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float</w:t>
            </w:r>
          </w:p>
        </w:tc>
        <w:tc>
          <w:tcPr>
            <w:tcW w:type="dxa" w:w="1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None</w:t>
            </w:r>
          </w:p>
        </w:tc>
        <w:tc>
          <w:tcPr>
            <w:tcW w:type="dxa" w:w="47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No lower bound — negative values are valid (credit overpayment). No upper bound since very high bill amounts exist in the dataset.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PAY_AMT1–6</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float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ge=0</w:t>
            </w:r>
          </w:p>
        </w:tc>
        <w:tc>
          <w:tcPr>
            <w:tcW w:type="dxa" w:w="4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Payments must be non-negative. A customer cannot make a negative payment.</w:t>
            </w:r>
          </w:p>
        </w:tc>
      </w:tr>
    </w:tbl>
    <w:p>
      <w:r>
        <w:rPr>
          <w:sz w:val="22"/>
          <w:szCs w:val="22"/>
        </w:rPr>
        <w:t xml:space="preserve"/>
      </w:r>
    </w:p>
    <w:p>
      <w:pPr>
        <w:pStyle w:val="Heading2"/>
        <w:spacing w:after="120" w:before="280"/>
      </w:pPr>
      <w:r>
        <w:rPr>
          <w:rFonts w:ascii="Arial" w:cs="Arial" w:eastAsia="Arial" w:hAnsi="Arial"/>
          <w:b/>
          <w:bCs/>
          <w:color w:val="1F5C99"/>
          <w:sz w:val="28"/>
          <w:szCs w:val="28"/>
        </w:rPr>
        <w:t xml:space="preserve">4.3 The model_config Example</w:t>
      </w:r>
    </w:p>
    <w:p>
      <w:pPr>
        <w:spacing w:after="100" w:before="60"/>
        <w:jc w:val="both"/>
      </w:pPr>
      <w:r>
        <w:rPr>
          <w:rFonts w:ascii="Arial" w:cs="Arial" w:eastAsia="Arial" w:hAnsi="Arial"/>
          <w:b w:val="false"/>
          <w:bCs w:val="false"/>
          <w:color w:val="000000"/>
          <w:sz w:val="22"/>
          <w:szCs w:val="22"/>
        </w:rPr>
        <w:t xml:space="preserve">The json_schema_extra key in model_config populates the 'Example Value' section of the Swagger UI (/docs). This means anyone visiting the API documentation can click 'Try it out' and immediately send a valid request with realistic pre-filled values — no manual JSON writing required. The example uses the low-risk customer profile from the prediction pipeline.</w:t>
      </w:r>
    </w:p>
    <w:p>
      <w:pPr>
        <w:pStyle w:val="Heading2"/>
        <w:spacing w:after="120" w:before="280"/>
      </w:pPr>
      <w:r>
        <w:rPr>
          <w:rFonts w:ascii="Arial" w:cs="Arial" w:eastAsia="Arial" w:hAnsi="Arial"/>
          <w:b/>
          <w:bCs/>
          <w:color w:val="1F5C99"/>
          <w:sz w:val="28"/>
          <w:szCs w:val="28"/>
        </w:rPr>
        <w:t xml:space="preserve">4.4 How Pydantic Validation Appears to the Client</w:t>
      </w:r>
    </w:p>
    <w:p>
      <w:pPr>
        <w:spacing w:after="100" w:before="60"/>
        <w:jc w:val="both"/>
      </w:pPr>
      <w:r>
        <w:rPr>
          <w:rFonts w:ascii="Arial" w:cs="Arial" w:eastAsia="Arial" w:hAnsi="Arial"/>
          <w:b w:val="false"/>
          <w:bCs w:val="false"/>
          <w:color w:val="000000"/>
          <w:sz w:val="22"/>
          <w:szCs w:val="22"/>
        </w:rPr>
        <w:t xml:space="preserve">If a client sends an invalid field — for example PAY_0: 15 (above the allowed maximum of 9) — FastAPI returns:</w:t>
      </w:r>
    </w:p>
    <w:p>
      <w:r>
        <w:rPr>
          <w:sz w:val="22"/>
          <w:szCs w:val="22"/>
        </w:rPr>
        <w:t xml:space="preserve"/>
      </w:r>
    </w:p>
    <w:p>
      <w:pPr>
        <w:spacing w:after="60" w:before="60"/>
        <w:ind w:left="720"/>
      </w:pPr>
      <w:r>
        <w:rPr>
          <w:rFonts w:ascii="Courier New" w:cs="Courier New" w:eastAsia="Courier New" w:hAnsi="Courier New"/>
          <w:color w:val="1F5C99"/>
          <w:sz w:val="19"/>
          <w:szCs w:val="19"/>
        </w:rPr>
        <w:t xml:space="preserve">HTTP 422 Unprocessable Entity</w:t>
      </w:r>
    </w:p>
    <w:p>
      <w:pPr>
        <w:spacing w:after="60" w:before="60"/>
        <w:ind w:left="720"/>
      </w:pPr>
      <w:r>
        <w:rPr>
          <w:rFonts w:ascii="Courier New" w:cs="Courier New" w:eastAsia="Courier New" w:hAnsi="Courier New"/>
          <w:color w:val="1F5C99"/>
          <w:sz w:val="19"/>
          <w:szCs w:val="19"/>
        </w:rPr>
        <w:t xml:space="preserve">{</w:t>
      </w:r>
    </w:p>
    <w:p>
      <w:pPr>
        <w:spacing w:after="60" w:before="60"/>
        <w:ind w:left="720"/>
      </w:pPr>
      <w:r>
        <w:rPr>
          <w:rFonts w:ascii="Courier New" w:cs="Courier New" w:eastAsia="Courier New" w:hAnsi="Courier New"/>
          <w:color w:val="1F5C99"/>
          <w:sz w:val="19"/>
          <w:szCs w:val="19"/>
        </w:rPr>
        <w:t xml:space="preserve">  'detail': [</w:t>
      </w:r>
    </w:p>
    <w:p>
      <w:pPr>
        <w:spacing w:after="60" w:before="60"/>
        <w:ind w:left="720"/>
      </w:pPr>
      <w:r>
        <w:rPr>
          <w:rFonts w:ascii="Courier New" w:cs="Courier New" w:eastAsia="Courier New" w:hAnsi="Courier New"/>
          <w:color w:val="1F5C99"/>
          <w:sz w:val="19"/>
          <w:szCs w:val="19"/>
        </w:rPr>
        <w:t xml:space="preserve">    {</w:t>
      </w:r>
    </w:p>
    <w:p>
      <w:pPr>
        <w:spacing w:after="60" w:before="60"/>
        <w:ind w:left="720"/>
      </w:pPr>
      <w:r>
        <w:rPr>
          <w:rFonts w:ascii="Courier New" w:cs="Courier New" w:eastAsia="Courier New" w:hAnsi="Courier New"/>
          <w:color w:val="1F5C99"/>
          <w:sz w:val="19"/>
          <w:szCs w:val="19"/>
        </w:rPr>
        <w:t xml:space="preserve">      'type': 'less_than_equal',</w:t>
      </w:r>
    </w:p>
    <w:p>
      <w:pPr>
        <w:spacing w:after="60" w:before="60"/>
        <w:ind w:left="720"/>
      </w:pPr>
      <w:r>
        <w:rPr>
          <w:rFonts w:ascii="Courier New" w:cs="Courier New" w:eastAsia="Courier New" w:hAnsi="Courier New"/>
          <w:color w:val="1F5C99"/>
          <w:sz w:val="19"/>
          <w:szCs w:val="19"/>
        </w:rPr>
        <w:t xml:space="preserve">      'loc': ['body', 'PAY_0'],</w:t>
      </w:r>
    </w:p>
    <w:p>
      <w:pPr>
        <w:spacing w:after="60" w:before="60"/>
        <w:ind w:left="720"/>
      </w:pPr>
      <w:r>
        <w:rPr>
          <w:rFonts w:ascii="Courier New" w:cs="Courier New" w:eastAsia="Courier New" w:hAnsi="Courier New"/>
          <w:color w:val="1F5C99"/>
          <w:sz w:val="19"/>
          <w:szCs w:val="19"/>
        </w:rPr>
        <w:t xml:space="preserve">      'msg': 'Input should be less than or equal to 9',</w:t>
      </w:r>
    </w:p>
    <w:p>
      <w:pPr>
        <w:spacing w:after="60" w:before="60"/>
        <w:ind w:left="720"/>
      </w:pPr>
      <w:r>
        <w:rPr>
          <w:rFonts w:ascii="Courier New" w:cs="Courier New" w:eastAsia="Courier New" w:hAnsi="Courier New"/>
          <w:color w:val="1F5C99"/>
          <w:sz w:val="19"/>
          <w:szCs w:val="19"/>
        </w:rPr>
        <w:t xml:space="preserve">      'input': 15</w:t>
      </w:r>
    </w:p>
    <w:p>
      <w:pPr>
        <w:spacing w:after="60" w:before="60"/>
        <w:ind w:left="720"/>
      </w:pPr>
      <w:r>
        <w:rPr>
          <w:rFonts w:ascii="Courier New" w:cs="Courier New" w:eastAsia="Courier New" w:hAnsi="Courier New"/>
          <w:color w:val="1F5C99"/>
          <w:sz w:val="19"/>
          <w:szCs w:val="19"/>
        </w:rPr>
        <w:t xml:space="preserve">    }</w:t>
      </w:r>
    </w:p>
    <w:p>
      <w:pPr>
        <w:spacing w:after="60" w:before="60"/>
        <w:ind w:left="720"/>
      </w:pPr>
      <w:r>
        <w:rPr>
          <w:rFonts w:ascii="Courier New" w:cs="Courier New" w:eastAsia="Courier New" w:hAnsi="Courier New"/>
          <w:color w:val="1F5C99"/>
          <w:sz w:val="19"/>
          <w:szCs w:val="19"/>
        </w:rPr>
        <w:t xml:space="preserve">  ]</w:t>
      </w:r>
    </w:p>
    <w:p>
      <w:pPr>
        <w:spacing w:after="60" w:before="60"/>
        <w:ind w:left="720"/>
      </w:pPr>
      <w:r>
        <w:rPr>
          <w:rFonts w:ascii="Courier New" w:cs="Courier New" w:eastAsia="Courier New" w:hAnsi="Courier New"/>
          <w:color w:val="1F5C99"/>
          <w:sz w:val="19"/>
          <w:szCs w:val="19"/>
        </w:rPr>
        <w:t xml:space="preserve">}</w:t>
      </w:r>
    </w:p>
    <w:p>
      <w:r>
        <w:rPr>
          <w:sz w:val="22"/>
          <w:szCs w:val="22"/>
        </w:rPr>
        <w:t xml:space="preserve"/>
      </w:r>
    </w:p>
    <w:p>
      <w:pPr>
        <w:spacing w:after="100" w:before="60"/>
        <w:jc w:val="both"/>
      </w:pPr>
      <w:r>
        <w:rPr>
          <w:rFonts w:ascii="Arial" w:cs="Arial" w:eastAsia="Arial" w:hAnsi="Arial"/>
          <w:b w:val="false"/>
          <w:bCs w:val="false"/>
          <w:color w:val="000000"/>
          <w:sz w:val="22"/>
          <w:szCs w:val="22"/>
        </w:rPr>
        <w:t xml:space="preserve">This happens before the request reaches any endpoint function — the model is never called with invalid data. This is one of the core advantages of FastAPI + Pydantic over raw Flask or plain HTTP frameworks.</w:t>
      </w:r>
    </w:p>
    <w:p>
      <w:r>
        <w:rPr>
          <w:sz w:val="22"/>
          <w:szCs w:val="22"/>
        </w:rPr>
        <w:t xml:space="preserve"/>
      </w:r>
    </w:p>
    <w:p>
      <w:r>
        <w:br w:type="page"/>
      </w:r>
    </w:p>
    <w:p>
      <w:pPr>
        <w:pStyle w:val="Heading1"/>
        <w:pBdr>
          <w:bottom w:val="single" w:color="2E75B6" w:sz="6" w:space="4"/>
        </w:pBdr>
        <w:spacing w:after="160" w:before="360"/>
      </w:pPr>
      <w:r>
        <w:rPr>
          <w:rFonts w:ascii="Arial" w:cs="Arial" w:eastAsia="Arial" w:hAnsi="Arial"/>
          <w:b/>
          <w:bCs/>
          <w:color w:val="1F3864"/>
          <w:sz w:val="36"/>
          <w:szCs w:val="36"/>
        </w:rPr>
        <w:t xml:space="preserve">5. API Endpoints — Complete Reference</w:t>
      </w:r>
    </w:p>
    <w:p>
      <w:pPr>
        <w:pStyle w:val="Heading2"/>
        <w:spacing w:after="120" w:before="280"/>
      </w:pPr>
      <w:r>
        <w:rPr>
          <w:rFonts w:ascii="Arial" w:cs="Arial" w:eastAsia="Arial" w:hAnsi="Arial"/>
          <w:b/>
          <w:bCs/>
          <w:color w:val="1F5C99"/>
          <w:sz w:val="28"/>
          <w:szCs w:val="28"/>
        </w:rPr>
        <w:t xml:space="preserve">5.1 Endpoint Summary</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400"/>
        <w:gridCol w:w="5560"/>
      </w:tblGrid>
      <w:tr>
        <w:tc>
          <w:tcPr>
            <w:tcW w:type="dxa" w:w="8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Method</w:t>
            </w:r>
          </w:p>
        </w:tc>
        <w:tc>
          <w:tcPr>
            <w:tcW w:type="dxa" w:w="16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Path</w:t>
            </w:r>
          </w:p>
        </w:tc>
        <w:tc>
          <w:tcPr>
            <w:tcW w:type="dxa" w:w="14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Tag</w:t>
            </w:r>
          </w:p>
        </w:tc>
        <w:tc>
          <w:tcPr>
            <w:tcW w:type="dxa" w:w="55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r>
      <w:tr>
        <w:tc>
          <w:tcPr>
            <w:tcW w:type="dxa" w:w="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bCs/>
                <w:color w:val="1E7145"/>
                <w:sz w:val="20"/>
                <w:szCs w:val="20"/>
              </w:rPr>
              <w:t xml:space="preserve">GET</w:t>
            </w:r>
          </w:p>
        </w:tc>
        <w:tc>
          <w:tcPr>
            <w:tcW w:type="dxa" w:w="16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t>
            </w:r>
          </w:p>
        </w:tc>
        <w:tc>
          <w:tcPr>
            <w:tcW w:type="dxa" w:w="1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UI</w:t>
            </w:r>
          </w:p>
        </w:tc>
        <w:tc>
          <w:tcPr>
            <w:tcW w:type="dxa" w:w="55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Serves the SmartLoan HTML dashboard. Returns HTMLResponse.</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1E7145"/>
                <w:sz w:val="20"/>
                <w:szCs w:val="20"/>
              </w:rPr>
              <w:t xml:space="preserve">GET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/health</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System</w:t>
            </w:r>
          </w:p>
        </w:tc>
        <w:tc>
          <w:tcPr>
            <w:tcW w:type="dxa" w:w="5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Returns API and model status: loaded flag, model name, threshold. Always returns 200 — never throws.</w:t>
            </w:r>
          </w:p>
        </w:tc>
      </w:tr>
      <w:tr>
        <w:tc>
          <w:tcPr>
            <w:tcW w:type="dxa" w:w="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bCs/>
                <w:color w:val="1E7145"/>
                <w:sz w:val="20"/>
                <w:szCs w:val="20"/>
              </w:rPr>
              <w:t xml:space="preserve">GET</w:t>
            </w:r>
          </w:p>
        </w:tc>
        <w:tc>
          <w:tcPr>
            <w:tcW w:type="dxa" w:w="16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/api/mlruns</w:t>
            </w:r>
          </w:p>
        </w:tc>
        <w:tc>
          <w:tcPr>
            <w:tcW w:type="dxa" w:w="1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MLflow</w:t>
            </w:r>
          </w:p>
        </w:tc>
        <w:tc>
          <w:tcPr>
            <w:tcW w:type="dxa" w:w="55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Fetches all training runs from MLflow ordered by composite_score DESC. Returns full metrics leaderboard.</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1F5C99"/>
                <w:sz w:val="20"/>
                <w:szCs w:val="20"/>
              </w:rPr>
              <w:t xml:space="preserve">POST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/api/train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Training</w:t>
            </w:r>
          </w:p>
        </w:tc>
        <w:tc>
          <w:tcPr>
            <w:tcW w:type="dxa" w:w="5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Triggers the training pipeline in a background task. Returns immediately. Prevents duplicate concurrent runs.</w:t>
            </w:r>
          </w:p>
        </w:tc>
      </w:tr>
      <w:tr>
        <w:tc>
          <w:tcPr>
            <w:tcW w:type="dxa" w:w="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bCs/>
                <w:color w:val="1E7145"/>
                <w:sz w:val="20"/>
                <w:szCs w:val="20"/>
              </w:rPr>
              <w:t xml:space="preserve">GET</w:t>
            </w:r>
          </w:p>
        </w:tc>
        <w:tc>
          <w:tcPr>
            <w:tcW w:type="dxa" w:w="16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/api/train/status</w:t>
            </w:r>
          </w:p>
        </w:tc>
        <w:tc>
          <w:tcPr>
            <w:tcW w:type="dxa" w:w="1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Training</w:t>
            </w:r>
          </w:p>
        </w:tc>
        <w:tc>
          <w:tcPr>
            <w:tcW w:type="dxa" w:w="55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Returns current training status: {running: bool, message: str}. Poll this after triggering /api/train.</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1F5C99"/>
                <w:sz w:val="20"/>
                <w:szCs w:val="20"/>
              </w:rPr>
              <w:t xml:space="preserve">POST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/predict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Prediction</w:t>
            </w:r>
          </w:p>
        </w:tc>
        <w:tc>
          <w:tcPr>
            <w:tcW w:type="dxa" w:w="5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Scores a single credit card client. Body: CreditCardApplication. Response: PredictionResponse.</w:t>
            </w:r>
          </w:p>
        </w:tc>
      </w:tr>
      <w:tr>
        <w:tc>
          <w:tcPr>
            <w:tcW w:type="dxa" w:w="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bCs/>
                <w:color w:val="1F5C99"/>
                <w:sz w:val="20"/>
                <w:szCs w:val="20"/>
              </w:rPr>
              <w:t xml:space="preserve">POST</w:t>
            </w:r>
          </w:p>
        </w:tc>
        <w:tc>
          <w:tcPr>
            <w:tcW w:type="dxa" w:w="16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/predict/batch</w:t>
            </w:r>
          </w:p>
        </w:tc>
        <w:tc>
          <w:tcPr>
            <w:tcW w:type="dxa" w:w="1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Prediction</w:t>
            </w:r>
          </w:p>
        </w:tc>
        <w:tc>
          <w:tcPr>
            <w:tcW w:type="dxa" w:w="55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Scores up to 100 clients in a single request. Failed items return error detail without failing the whole batch.</w:t>
            </w:r>
          </w:p>
        </w:tc>
      </w:tr>
    </w:tbl>
    <w:p>
      <w:r>
        <w:rPr>
          <w:sz w:val="22"/>
          <w:szCs w:val="22"/>
        </w:rPr>
        <w:t xml:space="preserve"/>
      </w:r>
    </w:p>
    <w:p>
      <w:pPr>
        <w:pStyle w:val="Heading2"/>
        <w:spacing w:after="120" w:before="280"/>
      </w:pPr>
      <w:r>
        <w:rPr>
          <w:rFonts w:ascii="Arial" w:cs="Arial" w:eastAsia="Arial" w:hAnsi="Arial"/>
          <w:b/>
          <w:bCs/>
          <w:color w:val="1F5C99"/>
          <w:sz w:val="28"/>
          <w:szCs w:val="28"/>
        </w:rPr>
        <w:t xml:space="preserve">5.2 GET / — Dashboard UI</w:t>
      </w:r>
    </w:p>
    <w:p>
      <w:pPr>
        <w:spacing w:after="100" w:before="60"/>
        <w:jc w:val="both"/>
      </w:pPr>
      <w:r>
        <w:rPr>
          <w:rFonts w:ascii="Arial" w:cs="Arial" w:eastAsia="Arial" w:hAnsi="Arial"/>
          <w:b w:val="false"/>
          <w:bCs w:val="false"/>
          <w:color w:val="000000"/>
          <w:sz w:val="22"/>
          <w:szCs w:val="22"/>
        </w:rPr>
        <w:t xml:space="preserve">Returns the full HTML dashboard as an HTMLResponse. The entire dashboard — HTML, CSS, and JavaScript — is embedded as a Python string constant (DASHBOARD_HTML) in main.py. This makes the API completely self-contained: no static file server, no separate frontend build, no CDN dependencies. A single uvicorn process serves both the API and the UI.</w:t>
      </w:r>
    </w:p>
    <w:p>
      <w:pPr>
        <w:pBdr>
          <w:left w:val="single" w:color="C55A11" w:sz="16" w:space="8"/>
        </w:pBdr>
        <w:shd w:fill="FFF2CC" w:val="clear"/>
        <w:spacing w:after="120" w:before="120"/>
        <w:ind w:left="360" w:right="360"/>
      </w:pPr>
      <w:r>
        <w:rPr>
          <w:rFonts w:ascii="Arial" w:cs="Arial" w:eastAsia="Arial" w:hAnsi="Arial"/>
          <w:b/>
          <w:bCs/>
          <w:color w:val="C55A11"/>
          <w:sz w:val="21"/>
          <w:szCs w:val="21"/>
        </w:rPr>
        <w:t xml:space="preserve">Trade-off: Embedding HTML in Python is excellent for single-developer capstone projects and internal tools. For a production customer-facing frontend, the UI would live in a separate React/Vue repository and be served by a CDN, with the API acting purely as a backend service.</w:t>
      </w:r>
    </w:p>
    <w:p>
      <w:r>
        <w:rPr>
          <w:sz w:val="22"/>
          <w:szCs w:val="22"/>
        </w:rPr>
        <w:t xml:space="preserve"/>
      </w:r>
    </w:p>
    <w:p>
      <w:pPr>
        <w:pStyle w:val="Heading2"/>
        <w:spacing w:after="120" w:before="280"/>
      </w:pPr>
      <w:r>
        <w:rPr>
          <w:rFonts w:ascii="Arial" w:cs="Arial" w:eastAsia="Arial" w:hAnsi="Arial"/>
          <w:b/>
          <w:bCs/>
          <w:color w:val="1F5C99"/>
          <w:sz w:val="28"/>
          <w:szCs w:val="28"/>
        </w:rPr>
        <w:t xml:space="preserve">5.3 GET /health — Health Check</w:t>
      </w:r>
    </w:p>
    <w:p>
      <w:pPr>
        <w:spacing w:after="100" w:before="60"/>
        <w:jc w:val="both"/>
      </w:pPr>
      <w:r>
        <w:rPr>
          <w:rFonts w:ascii="Arial" w:cs="Arial" w:eastAsia="Arial" w:hAnsi="Arial"/>
          <w:b w:val="false"/>
          <w:bCs w:val="false"/>
          <w:color w:val="000000"/>
          <w:sz w:val="22"/>
          <w:szCs w:val="22"/>
        </w:rPr>
        <w:t xml:space="preserve">The health endpoint is designed to always return HTTP 200 — it never raises an exception. Monitoring systems, load balancers, and container orchestrators (Kubernetes liveness/readiness probes) rely on health endpoints to determine whether to route traffic to a pod. A health check that returns 500 when the model is missing would cause Kubernetes to restart the pod in a loop even when the API is perfectly functional.</w:t>
      </w:r>
    </w:p>
    <w:p>
      <w:pPr>
        <w:spacing w:after="100" w:before="60"/>
        <w:jc w:val="both"/>
      </w:pPr>
      <w:r>
        <w:rPr>
          <w:rFonts w:ascii="Arial" w:cs="Arial" w:eastAsia="Arial" w:hAnsi="Arial"/>
          <w:b w:val="false"/>
          <w:bCs w:val="false"/>
          <w:color w:val="000000"/>
          <w:sz w:val="22"/>
          <w:szCs w:val="22"/>
        </w:rPr>
        <w:t xml:space="preserve">Instead, the model_loaded: false response signals to the dashboard and any monitoring system that the model needs to be trained, without taking the API offline.</w:t>
      </w:r>
    </w:p>
    <w:p>
      <w:r>
        <w:rPr>
          <w:sz w:val="22"/>
          <w:szCs w:val="22"/>
        </w:rPr>
        <w:t xml:space="preserve"/>
      </w:r>
    </w:p>
    <w:p>
      <w:pPr>
        <w:pStyle w:val="Heading2"/>
        <w:spacing w:after="120" w:before="280"/>
      </w:pPr>
      <w:r>
        <w:rPr>
          <w:rFonts w:ascii="Arial" w:cs="Arial" w:eastAsia="Arial" w:hAnsi="Arial"/>
          <w:b/>
          <w:bCs/>
          <w:color w:val="1F5C99"/>
          <w:sz w:val="28"/>
          <w:szCs w:val="28"/>
        </w:rPr>
        <w:t xml:space="preserve">5.4 GET /api/mlruns — MLflow Leaderboard</w:t>
      </w:r>
    </w:p>
    <w:p>
      <w:pPr>
        <w:spacing w:after="100" w:before="60"/>
        <w:jc w:val="both"/>
      </w:pPr>
      <w:r>
        <w:rPr>
          <w:rFonts w:ascii="Arial" w:cs="Arial" w:eastAsia="Arial" w:hAnsi="Arial"/>
          <w:b w:val="false"/>
          <w:bCs w:val="false"/>
          <w:color w:val="000000"/>
          <w:sz w:val="22"/>
          <w:szCs w:val="22"/>
        </w:rPr>
        <w:t xml:space="preserve">This endpoint bridges the ML experiment tracking system and the dashboard UI. It queries the SmartLoan_UCI_CreditDefault MLflow experiment and returns all logged runs ordered by composite_score descending — so the best model always appears first.</w:t>
      </w:r>
    </w:p>
    <w:p>
      <w:pPr>
        <w:spacing w:after="100" w:before="60"/>
        <w:jc w:val="both"/>
      </w:pPr>
      <w:r>
        <w:rPr>
          <w:rFonts w:ascii="Arial" w:cs="Arial" w:eastAsia="Arial" w:hAnsi="Arial"/>
          <w:b w:val="false"/>
          <w:bCs w:val="false"/>
          <w:color w:val="000000"/>
          <w:sz w:val="22"/>
          <w:szCs w:val="22"/>
        </w:rPr>
        <w:t xml:space="preserve">The safe_get() helper function handles missing metric columns gracefully — older runs from a different training configuration may not have all metric keys, and accessing a missing key from a pandas DataFrame row would raise a KeyError and return HTTP 500. safe_get() returns 0.0 for any absent metric instead.</w:t>
      </w:r>
    </w:p>
    <w:p>
      <w:r>
        <w:rPr>
          <w:sz w:val="22"/>
          <w:szCs w:val="22"/>
        </w:rPr>
        <w:t xml:space="preserve"/>
      </w:r>
    </w:p>
    <w:p>
      <w:pPr>
        <w:spacing w:after="60" w:before="60"/>
        <w:ind w:left="720"/>
      </w:pPr>
      <w:r>
        <w:rPr>
          <w:rFonts w:ascii="Courier New" w:cs="Courier New" w:eastAsia="Courier New" w:hAnsi="Courier New"/>
          <w:color w:val="1F5C99"/>
          <w:sz w:val="19"/>
          <w:szCs w:val="19"/>
        </w:rPr>
        <w:t xml:space="preserve">def safe_get(row, key, default=0.0):</w:t>
      </w:r>
    </w:p>
    <w:p>
      <w:pPr>
        <w:spacing w:after="60" w:before="60"/>
        <w:ind w:left="720"/>
      </w:pPr>
      <w:r>
        <w:rPr>
          <w:rFonts w:ascii="Courier New" w:cs="Courier New" w:eastAsia="Courier New" w:hAnsi="Courier New"/>
          <w:color w:val="1F5C99"/>
          <w:sz w:val="19"/>
          <w:szCs w:val="19"/>
        </w:rPr>
        <w:t xml:space="preserve">    val = row.get(f'metrics.{key}', default)</w:t>
      </w:r>
    </w:p>
    <w:p>
      <w:pPr>
        <w:spacing w:after="60" w:before="60"/>
        <w:ind w:left="720"/>
      </w:pPr>
      <w:r>
        <w:rPr>
          <w:rFonts w:ascii="Courier New" w:cs="Courier New" w:eastAsia="Courier New" w:hAnsi="Courier New"/>
          <w:color w:val="1F5C99"/>
          <w:sz w:val="19"/>
          <w:szCs w:val="19"/>
        </w:rPr>
        <w:t xml:space="preserve">    return round(float(val), 4) if val is not None else default</w:t>
      </w:r>
    </w:p>
    <w:p>
      <w:r>
        <w:rPr>
          <w:sz w:val="22"/>
          <w:szCs w:val="22"/>
        </w:rPr>
        <w:t xml:space="preserve"/>
      </w:r>
    </w:p>
    <w:p>
      <w:pPr>
        <w:pStyle w:val="Heading2"/>
        <w:spacing w:after="120" w:before="280"/>
      </w:pPr>
      <w:r>
        <w:rPr>
          <w:rFonts w:ascii="Arial" w:cs="Arial" w:eastAsia="Arial" w:hAnsi="Arial"/>
          <w:b/>
          <w:bCs/>
          <w:color w:val="1F5C99"/>
          <w:sz w:val="28"/>
          <w:szCs w:val="28"/>
        </w:rPr>
        <w:t xml:space="preserve">5.5 POST /api/train — Background Training</w:t>
      </w:r>
    </w:p>
    <w:p>
      <w:pPr>
        <w:spacing w:after="100" w:before="60"/>
        <w:jc w:val="both"/>
      </w:pPr>
      <w:r>
        <w:rPr>
          <w:rFonts w:ascii="Arial" w:cs="Arial" w:eastAsia="Arial" w:hAnsi="Arial"/>
          <w:b w:val="false"/>
          <w:bCs w:val="false"/>
          <w:color w:val="000000"/>
          <w:sz w:val="22"/>
          <w:szCs w:val="22"/>
        </w:rPr>
        <w:t xml:space="preserve">Triggering a training pipeline from an HTTP endpoint requires care: training takes several minutes, and holding an HTTP connection open for that duration would time out most clients. The BackgroundTasks pattern solves this by queuing the training function to run after the response is sent:</w:t>
      </w:r>
    </w:p>
    <w:p>
      <w:r>
        <w:rPr>
          <w:sz w:val="22"/>
          <w:szCs w:val="22"/>
        </w:rPr>
        <w:t xml:space="preserve"/>
      </w:r>
    </w:p>
    <w:p>
      <w:pPr>
        <w:spacing w:after="60" w:before="60"/>
        <w:ind w:left="720"/>
      </w:pPr>
      <w:r>
        <w:rPr>
          <w:rFonts w:ascii="Courier New" w:cs="Courier New" w:eastAsia="Courier New" w:hAnsi="Courier New"/>
          <w:color w:val="1F5C99"/>
          <w:sz w:val="19"/>
          <w:szCs w:val="19"/>
        </w:rPr>
        <w:t xml:space="preserve">@app.post('/api/train')</w:t>
      </w:r>
    </w:p>
    <w:p>
      <w:pPr>
        <w:spacing w:after="60" w:before="60"/>
        <w:ind w:left="720"/>
      </w:pPr>
      <w:r>
        <w:rPr>
          <w:rFonts w:ascii="Courier New" w:cs="Courier New" w:eastAsia="Courier New" w:hAnsi="Courier New"/>
          <w:color w:val="1F5C99"/>
          <w:sz w:val="19"/>
          <w:szCs w:val="19"/>
        </w:rPr>
        <w:t xml:space="preserve">def train_model(background_tasks: BackgroundTasks):</w:t>
      </w:r>
    </w:p>
    <w:p>
      <w:pPr>
        <w:spacing w:after="60" w:before="60"/>
        <w:ind w:left="720"/>
      </w:pPr>
      <w:r>
        <w:rPr>
          <w:rFonts w:ascii="Courier New" w:cs="Courier New" w:eastAsia="Courier New" w:hAnsi="Courier New"/>
          <w:color w:val="1F5C99"/>
          <w:sz w:val="19"/>
          <w:szCs w:val="19"/>
        </w:rPr>
        <w:t xml:space="preserve">    if _training_status['running']:</w:t>
      </w:r>
    </w:p>
    <w:p>
      <w:pPr>
        <w:spacing w:after="60" w:before="60"/>
        <w:ind w:left="720"/>
      </w:pPr>
      <w:r>
        <w:rPr>
          <w:rFonts w:ascii="Courier New" w:cs="Courier New" w:eastAsia="Courier New" w:hAnsi="Courier New"/>
          <w:color w:val="1F5C99"/>
          <w:sz w:val="19"/>
          <w:szCs w:val="19"/>
        </w:rPr>
        <w:t xml:space="preserve">        return {'message': 'Training already in progress.'}</w:t>
      </w:r>
    </w:p>
    <w:p>
      <w:pPr>
        <w:spacing w:after="60" w:before="60"/>
        <w:ind w:left="720"/>
      </w:pPr>
      <w:r>
        <w:rPr>
          <w:rFonts w:ascii="Courier New" w:cs="Courier New" w:eastAsia="Courier New" w:hAnsi="Courier New"/>
          <w:color w:val="1F5C99"/>
          <w:sz w:val="19"/>
          <w:szCs w:val="19"/>
        </w:rPr>
        <w:t xml:space="preserve">    background_tasks.add_task(_run_training)</w:t>
      </w:r>
    </w:p>
    <w:p>
      <w:pPr>
        <w:spacing w:after="60" w:before="60"/>
        <w:ind w:left="720"/>
      </w:pPr>
      <w:r>
        <w:rPr>
          <w:rFonts w:ascii="Courier New" w:cs="Courier New" w:eastAsia="Courier New" w:hAnsi="Courier New"/>
          <w:color w:val="1F5C99"/>
          <w:sz w:val="19"/>
          <w:szCs w:val="19"/>
        </w:rPr>
        <w:t xml:space="preserve">    return {'message': 'Training started in background.'}</w:t>
      </w:r>
    </w:p>
    <w:p>
      <w:r>
        <w:rPr>
          <w:sz w:val="22"/>
          <w:szCs w:val="22"/>
        </w:rPr>
        <w:t xml:space="preserve"/>
      </w:r>
    </w:p>
    <w:p>
      <w:pPr>
        <w:spacing w:after="100" w:before="60"/>
        <w:jc w:val="both"/>
      </w:pPr>
      <w:r>
        <w:rPr>
          <w:rFonts w:ascii="Arial" w:cs="Arial" w:eastAsia="Arial" w:hAnsi="Arial"/>
          <w:b w:val="false"/>
          <w:bCs w:val="false"/>
          <w:color w:val="000000"/>
          <w:sz w:val="22"/>
          <w:szCs w:val="22"/>
        </w:rPr>
        <w:t xml:space="preserve">The duplicate-run guard (if _training_status['running']) prevents two simultaneous training runs from launching if the endpoint is called twice. The _run_training() function updates _training_status at the start and end of training, so the client can poll /api/train/status to track progress.</w:t>
      </w:r>
    </w:p>
    <w:p>
      <w:pPr>
        <w:pBdr>
          <w:left w:val="single" w:color="C55A11" w:sz="16" w:space="8"/>
        </w:pBdr>
        <w:shd w:fill="FFF2CC" w:val="clear"/>
        <w:spacing w:after="120" w:before="120"/>
        <w:ind w:left="360" w:right="360"/>
      </w:pPr>
      <w:r>
        <w:rPr>
          <w:rFonts w:ascii="Arial" w:cs="Arial" w:eastAsia="Arial" w:hAnsi="Arial"/>
          <w:b/>
          <w:bCs/>
          <w:color w:val="C55A11"/>
          <w:sz w:val="21"/>
          <w:szCs w:val="21"/>
        </w:rPr>
        <w:t xml:space="preserve">Limitation: _training_status is an in-memory Python dict. If the server restarts during training, the status is lost. For a production system, this would be persisted to a database or Redis. For a capstone project, in-memory state is appropriate.</w:t>
      </w:r>
    </w:p>
    <w:p>
      <w:r>
        <w:rPr>
          <w:sz w:val="22"/>
          <w:szCs w:val="22"/>
        </w:rPr>
        <w:t xml:space="preserve"/>
      </w:r>
    </w:p>
    <w:p>
      <w:pPr>
        <w:pStyle w:val="Heading2"/>
        <w:spacing w:after="120" w:before="280"/>
      </w:pPr>
      <w:r>
        <w:rPr>
          <w:rFonts w:ascii="Arial" w:cs="Arial" w:eastAsia="Arial" w:hAnsi="Arial"/>
          <w:b/>
          <w:bCs/>
          <w:color w:val="1F5C99"/>
          <w:sz w:val="28"/>
          <w:szCs w:val="28"/>
        </w:rPr>
        <w:t xml:space="preserve">5.6 POST /predict — Single Prediction</w:t>
      </w:r>
    </w:p>
    <w:p>
      <w:pPr>
        <w:spacing w:after="100" w:before="60"/>
        <w:jc w:val="both"/>
      </w:pPr>
      <w:r>
        <w:rPr>
          <w:rFonts w:ascii="Arial" w:cs="Arial" w:eastAsia="Arial" w:hAnsi="Arial"/>
          <w:b w:val="false"/>
          <w:bCs w:val="false"/>
          <w:color w:val="000000"/>
          <w:sz w:val="22"/>
          <w:szCs w:val="22"/>
        </w:rPr>
        <w:t xml:space="preserve">This is the primary business endpoint. Its logic follows a strict sequence:</w:t>
      </w:r>
    </w:p>
    <w:p>
      <w:pPr>
        <w:pStyle w:val="ListParagraph"/>
        <w:numPr>
          <w:ilvl w:val="0"/>
          <w:numId w:val="2"/>
        </w:numPr>
        <w:spacing w:after="60" w:before="40"/>
      </w:pPr>
      <w:r>
        <w:rPr>
          <w:rFonts w:ascii="Arial" w:cs="Arial" w:eastAsia="Arial" w:hAnsi="Arial"/>
          <w:sz w:val="22"/>
          <w:szCs w:val="22"/>
        </w:rPr>
        <w:t xml:space="preserve">Guard check: if pipeline is None (model not loaded), immediately return HTTP 503 with a clear message.</w:t>
      </w:r>
    </w:p>
    <w:p>
      <w:pPr>
        <w:pStyle w:val="ListParagraph"/>
        <w:numPr>
          <w:ilvl w:val="0"/>
          <w:numId w:val="2"/>
        </w:numPr>
        <w:spacing w:after="60" w:before="40"/>
      </w:pPr>
      <w:r>
        <w:rPr>
          <w:rFonts w:ascii="Arial" w:cs="Arial" w:eastAsia="Arial" w:hAnsi="Arial"/>
          <w:sz w:val="22"/>
          <w:szCs w:val="22"/>
        </w:rPr>
        <w:t xml:space="preserve">Deserialise: FastAPI automatically converts the JSON body to a CreditCardApplication Pydantic object, running all field validations. Invalid input never reaches the model.</w:t>
      </w:r>
    </w:p>
    <w:p>
      <w:pPr>
        <w:pStyle w:val="ListParagraph"/>
        <w:numPr>
          <w:ilvl w:val="0"/>
          <w:numId w:val="2"/>
        </w:numPr>
        <w:spacing w:after="60" w:before="40"/>
      </w:pPr>
      <w:r>
        <w:rPr>
          <w:rFonts w:ascii="Arial" w:cs="Arial" w:eastAsia="Arial" w:hAnsi="Arial"/>
          <w:sz w:val="22"/>
          <w:szCs w:val="22"/>
        </w:rPr>
        <w:t xml:space="preserve">Convert: application.model_dump() converts the Pydantic object back to a plain dict for the prediction pipeline.</w:t>
      </w:r>
    </w:p>
    <w:p>
      <w:pPr>
        <w:pStyle w:val="ListParagraph"/>
        <w:numPr>
          <w:ilvl w:val="0"/>
          <w:numId w:val="2"/>
        </w:numPr>
        <w:spacing w:after="60" w:before="40"/>
      </w:pPr>
      <w:r>
        <w:rPr>
          <w:rFonts w:ascii="Arial" w:cs="Arial" w:eastAsia="Arial" w:hAnsi="Arial"/>
          <w:sz w:val="22"/>
          <w:szCs w:val="22"/>
        </w:rPr>
        <w:t xml:space="preserve">Predict: pipeline.main(input_data) runs the full inference chain — feature engineering, scaling, probability scoring, threshold application, risk classification.</w:t>
      </w:r>
    </w:p>
    <w:p>
      <w:pPr>
        <w:pStyle w:val="ListParagraph"/>
        <w:numPr>
          <w:ilvl w:val="0"/>
          <w:numId w:val="2"/>
        </w:numPr>
        <w:spacing w:after="60" w:before="40"/>
      </w:pPr>
      <w:r>
        <w:rPr>
          <w:rFonts w:ascii="Arial" w:cs="Arial" w:eastAsia="Arial" w:hAnsi="Arial"/>
          <w:sz w:val="22"/>
          <w:szCs w:val="22"/>
        </w:rPr>
        <w:t xml:space="preserve">Timing: The elapsed time is measured and logged for performance monitoring.</w:t>
      </w:r>
    </w:p>
    <w:p>
      <w:pPr>
        <w:pStyle w:val="ListParagraph"/>
        <w:numPr>
          <w:ilvl w:val="0"/>
          <w:numId w:val="2"/>
        </w:numPr>
        <w:spacing w:after="60" w:before="40"/>
      </w:pPr>
      <w:r>
        <w:rPr>
          <w:rFonts w:ascii="Arial" w:cs="Arial" w:eastAsia="Arial" w:hAnsi="Arial"/>
          <w:sz w:val="22"/>
          <w:szCs w:val="22"/>
        </w:rPr>
        <w:t xml:space="preserve">Respond: The result dict is unpacked into a PredictionResponse object, which FastAPI serialises to JSON.</w:t>
      </w:r>
    </w:p>
    <w:p>
      <w:r>
        <w:rPr>
          <w:sz w:val="22"/>
          <w:szCs w:val="22"/>
        </w:rPr>
        <w:t xml:space="preserve"/>
      </w:r>
    </w:p>
    <w:p>
      <w:pPr>
        <w:spacing w:after="100" w:before="60"/>
        <w:jc w:val="both"/>
      </w:pPr>
      <w:r>
        <w:rPr>
          <w:rFonts w:ascii="Arial" w:cs="Arial" w:eastAsia="Arial" w:hAnsi="Arial"/>
          <w:b w:val="false"/>
          <w:bCs w:val="false"/>
          <w:color w:val="000000"/>
          <w:sz w:val="22"/>
          <w:szCs w:val="22"/>
        </w:rPr>
        <w:t xml:space="preserve">Any exception anywhere in this chain is caught, logged, and returned as HTTP 500 with the error message in the detail field — never as an unhandled Python exception that would crash the worker.</w:t>
      </w:r>
    </w:p>
    <w:p>
      <w:r>
        <w:rPr>
          <w:sz w:val="22"/>
          <w:szCs w:val="22"/>
        </w:rPr>
        <w:t xml:space="preserve"/>
      </w:r>
    </w:p>
    <w:p>
      <w:pPr>
        <w:pStyle w:val="Heading2"/>
        <w:spacing w:after="120" w:before="280"/>
      </w:pPr>
      <w:r>
        <w:rPr>
          <w:rFonts w:ascii="Arial" w:cs="Arial" w:eastAsia="Arial" w:hAnsi="Arial"/>
          <w:b/>
          <w:bCs/>
          <w:color w:val="1F5C99"/>
          <w:sz w:val="28"/>
          <w:szCs w:val="28"/>
        </w:rPr>
        <w:t xml:space="preserve">5.7 POST /predict/batch — Batch Prediction</w:t>
      </w:r>
    </w:p>
    <w:p>
      <w:pPr>
        <w:spacing w:after="100" w:before="60"/>
        <w:jc w:val="both"/>
      </w:pPr>
      <w:r>
        <w:rPr>
          <w:rFonts w:ascii="Arial" w:cs="Arial" w:eastAsia="Arial" w:hAnsi="Arial"/>
          <w:b w:val="false"/>
          <w:bCs w:val="false"/>
          <w:color w:val="000000"/>
          <w:sz w:val="22"/>
          <w:szCs w:val="22"/>
        </w:rPr>
        <w:t xml:space="preserve">The batch endpoint accepts a list of CreditCardApplication objects and scores each independently. Three guard checks run before any prediction:</w:t>
      </w:r>
    </w:p>
    <w:p>
      <w:pPr>
        <w:pStyle w:val="ListParagraph"/>
        <w:numPr>
          <w:ilvl w:val="0"/>
          <w:numId w:val="2"/>
        </w:numPr>
        <w:spacing w:after="60" w:before="40"/>
      </w:pPr>
      <w:r>
        <w:rPr>
          <w:rFonts w:ascii="Arial" w:cs="Arial" w:eastAsia="Arial" w:hAnsi="Arial"/>
          <w:sz w:val="22"/>
          <w:szCs w:val="22"/>
        </w:rPr>
        <w:t xml:space="preserve">Model not loaded → HTTP 503</w:t>
      </w:r>
    </w:p>
    <w:p>
      <w:pPr>
        <w:pStyle w:val="ListParagraph"/>
        <w:numPr>
          <w:ilvl w:val="0"/>
          <w:numId w:val="2"/>
        </w:numPr>
        <w:spacing w:after="60" w:before="40"/>
      </w:pPr>
      <w:r>
        <w:rPr>
          <w:rFonts w:ascii="Arial" w:cs="Arial" w:eastAsia="Arial" w:hAnsi="Arial"/>
          <w:sz w:val="22"/>
          <w:szCs w:val="22"/>
        </w:rPr>
        <w:t xml:space="preserve">Empty list → HTTP 400 (Bad Request — no point processing an empty batch)</w:t>
      </w:r>
    </w:p>
    <w:p>
      <w:pPr>
        <w:pStyle w:val="ListParagraph"/>
        <w:numPr>
          <w:ilvl w:val="0"/>
          <w:numId w:val="2"/>
        </w:numPr>
        <w:spacing w:after="60" w:before="40"/>
      </w:pPr>
      <w:r>
        <w:rPr>
          <w:rFonts w:ascii="Arial" w:cs="Arial" w:eastAsia="Arial" w:hAnsi="Arial"/>
          <w:sz w:val="22"/>
          <w:szCs w:val="22"/>
        </w:rPr>
        <w:t xml:space="preserve">More than 100 items → HTTP 400 (prevents memory exhaustion from arbitrarily large batches)</w:t>
      </w:r>
    </w:p>
    <w:p>
      <w:r>
        <w:rPr>
          <w:sz w:val="22"/>
          <w:szCs w:val="22"/>
        </w:rPr>
        <w:t xml:space="preserve"/>
      </w:r>
    </w:p>
    <w:p>
      <w:pPr>
        <w:spacing w:after="100" w:before="60"/>
        <w:jc w:val="both"/>
      </w:pPr>
      <w:r>
        <w:rPr>
          <w:rFonts w:ascii="Arial" w:cs="Arial" w:eastAsia="Arial" w:hAnsi="Arial"/>
          <w:b w:val="false"/>
          <w:bCs w:val="false"/>
          <w:color w:val="000000"/>
          <w:sz w:val="22"/>
          <w:szCs w:val="22"/>
        </w:rPr>
        <w:t xml:space="preserve">The critical design decision is per-item error isolation: if one record fails (e.g. due to an unexpected feature value that causes a numpy error), that item's result contains an 'error' key with the exception message, but all other items in the batch continue processing normally. The batch response always has count equal to the number of input items.</w:t>
      </w:r>
    </w:p>
    <w:p>
      <w:pPr>
        <w:pBdr>
          <w:left w:val="single" w:color="1F5C99" w:sz="16" w:space="8"/>
        </w:pBdr>
        <w:shd w:fill="D6E4F0" w:val="clear"/>
        <w:spacing w:after="120" w:before="120"/>
        <w:ind w:left="360" w:right="360"/>
      </w:pPr>
      <w:r>
        <w:rPr>
          <w:rFonts w:ascii="Arial" w:cs="Arial" w:eastAsia="Arial" w:hAnsi="Arial"/>
          <w:b/>
          <w:bCs/>
          <w:color w:val="1F5C99"/>
          <w:sz w:val="21"/>
          <w:szCs w:val="21"/>
        </w:rPr>
        <w:t xml:space="preserve">This is sometimes called 'partial success' or 'best-effort' semantics. The alternative — failing the entire batch on any single error — would be unacceptable for a loan officer processing 50 applications if one has a data entry error.</w:t>
      </w:r>
    </w:p>
    <w:p>
      <w:r>
        <w:rPr>
          <w:sz w:val="22"/>
          <w:szCs w:val="22"/>
        </w:rPr>
        <w:t xml:space="preserve"/>
      </w:r>
    </w:p>
    <w:p>
      <w:r>
        <w:br w:type="page"/>
      </w:r>
    </w:p>
    <w:p>
      <w:pPr>
        <w:pStyle w:val="Heading1"/>
        <w:pBdr>
          <w:bottom w:val="single" w:color="2E75B6" w:sz="6" w:space="4"/>
        </w:pBdr>
        <w:spacing w:after="160" w:before="360"/>
      </w:pPr>
      <w:r>
        <w:rPr>
          <w:rFonts w:ascii="Arial" w:cs="Arial" w:eastAsia="Arial" w:hAnsi="Arial"/>
          <w:b/>
          <w:bCs/>
          <w:color w:val="1F3864"/>
          <w:sz w:val="36"/>
          <w:szCs w:val="36"/>
        </w:rPr>
        <w:t xml:space="preserve">6. Complete Request Lifecycle — /predict</w:t>
      </w:r>
    </w:p>
    <w:p>
      <w:pPr>
        <w:spacing w:after="100" w:before="60"/>
        <w:jc w:val="both"/>
      </w:pPr>
      <w:r>
        <w:rPr>
          <w:rFonts w:ascii="Arial" w:cs="Arial" w:eastAsia="Arial" w:hAnsi="Arial"/>
          <w:b w:val="false"/>
          <w:bCs w:val="false"/>
          <w:color w:val="000000"/>
          <w:sz w:val="22"/>
          <w:szCs w:val="22"/>
        </w:rPr>
        <w:t xml:space="preserve">The following table traces the complete journey of a single POST /predict request from TCP packet to JSON response: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c>
          <w:tcPr>
            <w:tcW w:type="dxa" w:w="4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Step</w:t>
            </w:r>
          </w:p>
        </w:tc>
        <w:tc>
          <w:tcPr>
            <w:tcW w:type="dxa" w:w="22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Component</w:t>
            </w:r>
          </w:p>
        </w:tc>
        <w:tc>
          <w:tcPr>
            <w:tcW w:type="dxa" w:w="67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What Happens</w:t>
            </w:r>
          </w:p>
        </w:tc>
      </w:tr>
      <w:tr>
        <w:tc>
          <w:tcPr>
            <w:tcW w:type="dxa" w:w="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2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HTTP Server (uvicorn)</w:t>
            </w:r>
          </w:p>
        </w:tc>
        <w:tc>
          <w:tcPr>
            <w:tcW w:type="dxa" w:w="67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Client sends POST /predict with JSON body. uvicorn receives the raw TCP bytes and passes them to FastAPI's ASGI handler.</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CORSMiddleware</w:t>
            </w:r>
          </w:p>
        </w:tc>
        <w:tc>
          <w:tcPr>
            <w:tcW w:type="dxa" w:w="6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Checks the Origin header. Adds Access-Control-Allow-Origin: * to the response headers. For OPTIONS preflight, returns 200 immediately.</w:t>
            </w:r>
          </w:p>
        </w:tc>
      </w:tr>
      <w:tr>
        <w:tc>
          <w:tcPr>
            <w:tcW w:type="dxa" w:w="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w:t>
            </w:r>
          </w:p>
        </w:tc>
        <w:tc>
          <w:tcPr>
            <w:tcW w:type="dxa" w:w="22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FastAPI Router</w:t>
            </w:r>
          </w:p>
        </w:tc>
        <w:tc>
          <w:tcPr>
            <w:tcW w:type="dxa" w:w="67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Matches the path /predict and method POST. Identifies the predict() function as the handler.</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4</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Pydantic (auto)</w:t>
            </w:r>
          </w:p>
        </w:tc>
        <w:tc>
          <w:tcPr>
            <w:tcW w:type="dxa" w:w="6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Deserialises the JSON body into CreditCardApplication. Validates all 23 fields. If any fail, immediately returns HTTP 422 with field-level error details. predict() is never called.</w:t>
            </w:r>
          </w:p>
        </w:tc>
      </w:tr>
      <w:tr>
        <w:tc>
          <w:tcPr>
            <w:tcW w:type="dxa" w:w="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5</w:t>
            </w:r>
          </w:p>
        </w:tc>
        <w:tc>
          <w:tcPr>
            <w:tcW w:type="dxa" w:w="22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predict() guard</w:t>
            </w:r>
          </w:p>
        </w:tc>
        <w:tc>
          <w:tcPr>
            <w:tcW w:type="dxa" w:w="67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Checks pipeline is not None. If None, returns HTTP 503. Otherwise proceeds.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6</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application.model_dump()</w:t>
            </w:r>
          </w:p>
        </w:tc>
        <w:tc>
          <w:tcPr>
            <w:tcW w:type="dxa" w:w="6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Converts validated Pydantic object to plain Python dict for the prediction pipeline.</w:t>
            </w:r>
          </w:p>
        </w:tc>
      </w:tr>
      <w:tr>
        <w:tc>
          <w:tcPr>
            <w:tcW w:type="dxa" w:w="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7</w:t>
            </w:r>
          </w:p>
        </w:tc>
        <w:tc>
          <w:tcPr>
            <w:tcW w:type="dxa" w:w="22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pipeline.main()</w:t>
            </w:r>
          </w:p>
        </w:tc>
        <w:tc>
          <w:tcPr>
            <w:tcW w:type="dxa" w:w="67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Calls ModelPredictionStage.main() → ModelPrediction.predict() → _engineer_features() → scaler.transform() → model.predict_proba() → threshold application → risk label.</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8</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PredictionResponse</w:t>
            </w:r>
          </w:p>
        </w:tc>
        <w:tc>
          <w:tcPr>
            <w:tcW w:type="dxa" w:w="6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Result dict is unpacked into PredictionResponse(**result). Pydantic validates the output fields.</w:t>
            </w:r>
          </w:p>
        </w:tc>
      </w:tr>
      <w:tr>
        <w:tc>
          <w:tcPr>
            <w:tcW w:type="dxa" w:w="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9</w:t>
            </w:r>
          </w:p>
        </w:tc>
        <w:tc>
          <w:tcPr>
            <w:tcW w:type="dxa" w:w="22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FastAPI serialiser</w:t>
            </w:r>
          </w:p>
        </w:tc>
        <w:tc>
          <w:tcPr>
            <w:tcW w:type="dxa" w:w="67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PredictionResponse is serialised to JSON. Content-Type: application/json header is set. HTTP 200 returned to client.</w:t>
            </w:r>
          </w:p>
        </w:tc>
      </w:tr>
    </w:tbl>
    <w:p>
      <w:r>
        <w:rPr>
          <w:sz w:val="22"/>
          <w:szCs w:val="22"/>
        </w:rPr>
        <w:t xml:space="preserve"/>
      </w:r>
    </w:p>
    <w:p>
      <w:pPr>
        <w:spacing w:after="100" w:before="60"/>
        <w:jc w:val="both"/>
      </w:pPr>
      <w:r>
        <w:rPr>
          <w:rFonts w:ascii="Arial" w:cs="Arial" w:eastAsia="Arial" w:hAnsi="Arial"/>
          <w:b w:val="false"/>
          <w:bCs w:val="false"/>
          <w:color w:val="000000"/>
          <w:sz w:val="22"/>
          <w:szCs w:val="22"/>
        </w:rPr>
        <w:t xml:space="preserve">Total elapsed time for a single prediction is typically 10–80 milliseconds, dominated by the sklearn Random Forest predict_proba() call across 300 trees. The API overhead (parsing, validation, serialisation) adds roughly 2–5 milliseconds.</w:t>
      </w:r>
    </w:p>
    <w:p>
      <w:r>
        <w:rPr>
          <w:sz w:val="22"/>
          <w:szCs w:val="22"/>
        </w:rPr>
        <w:t xml:space="preserve"/>
      </w:r>
    </w:p>
    <w:p>
      <w:pPr>
        <w:pStyle w:val="Heading1"/>
        <w:pBdr>
          <w:bottom w:val="single" w:color="2E75B6" w:sz="6" w:space="4"/>
        </w:pBdr>
        <w:spacing w:after="160" w:before="360"/>
      </w:pPr>
      <w:r>
        <w:rPr>
          <w:rFonts w:ascii="Arial" w:cs="Arial" w:eastAsia="Arial" w:hAnsi="Arial"/>
          <w:b/>
          <w:bCs/>
          <w:color w:val="1F3864"/>
          <w:sz w:val="36"/>
          <w:szCs w:val="36"/>
        </w:rPr>
        <w:t xml:space="preserve">7. Dashboard UI — Architecture &amp; Components</w:t>
      </w:r>
    </w:p>
    <w:p>
      <w:pPr>
        <w:pStyle w:val="Heading2"/>
        <w:spacing w:after="120" w:before="280"/>
      </w:pPr>
      <w:r>
        <w:rPr>
          <w:rFonts w:ascii="Arial" w:cs="Arial" w:eastAsia="Arial" w:hAnsi="Arial"/>
          <w:b/>
          <w:bCs/>
          <w:color w:val="1F5C99"/>
          <w:sz w:val="28"/>
          <w:szCs w:val="28"/>
        </w:rPr>
        <w:t xml:space="preserve">7.1 Technology Choice</w:t>
      </w:r>
    </w:p>
    <w:p>
      <w:pPr>
        <w:spacing w:after="100" w:before="60"/>
        <w:jc w:val="both"/>
      </w:pPr>
      <w:r>
        <w:rPr>
          <w:rFonts w:ascii="Arial" w:cs="Arial" w:eastAsia="Arial" w:hAnsi="Arial"/>
          <w:b w:val="false"/>
          <w:bCs w:val="false"/>
          <w:color w:val="000000"/>
          <w:sz w:val="22"/>
          <w:szCs w:val="22"/>
        </w:rPr>
        <w:t xml:space="preserve">The dashboard is built with vanilla HTML, CSS, and JavaScript — no React, Vue, or any frontend framework. The entire UI is a single Python string constant (DASHBOARD_HTML) embedded in main.py and served at GET /. This approach was chosen to keep the project as a single deployable unit: one Python process serves both the ML API and the UI with zero frontend build tooling.</w:t>
      </w:r>
    </w:p>
    <w:p>
      <w:pPr>
        <w:spacing w:after="100" w:before="60"/>
        <w:jc w:val="both"/>
      </w:pPr>
      <w:r>
        <w:rPr>
          <w:rFonts w:ascii="Arial" w:cs="Arial" w:eastAsia="Arial" w:hAnsi="Arial"/>
          <w:b w:val="false"/>
          <w:bCs w:val="false"/>
          <w:color w:val="000000"/>
          <w:sz w:val="22"/>
          <w:szCs w:val="22"/>
        </w:rPr>
        <w:t xml:space="preserve">The CSS uses CSS custom properties (variables) for a dark-themed design system with consistent spacing, colour tokens, and interactive states. The JavaScript is entirely event-driven with no dependencies beyond the browser's native fetch() API.</w:t>
      </w:r>
    </w:p>
    <w:p>
      <w:r>
        <w:rPr>
          <w:sz w:val="22"/>
          <w:szCs w:val="22"/>
        </w:rPr>
        <w:t xml:space="preserve"/>
      </w:r>
    </w:p>
    <w:p>
      <w:pPr>
        <w:pStyle w:val="Heading2"/>
        <w:spacing w:after="120" w:before="280"/>
      </w:pPr>
      <w:r>
        <w:rPr>
          <w:rFonts w:ascii="Arial" w:cs="Arial" w:eastAsia="Arial" w:hAnsi="Arial"/>
          <w:b/>
          <w:bCs/>
          <w:color w:val="1F5C99"/>
          <w:sz w:val="28"/>
          <w:szCs w:val="28"/>
        </w:rPr>
        <w:t xml:space="preserve">7.2 UI Component Breakdown</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UI Component</w:t>
            </w:r>
          </w:p>
        </w:tc>
        <w:tc>
          <w:tcPr>
            <w:tcW w:type="dxa" w:w="71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Header bar</w:t>
            </w:r>
          </w:p>
        </w:tc>
        <w:tc>
          <w:tcPr>
            <w:tcW w:type="dxa" w:w="71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Bank emoji logo, title, and subtitle. Fixed at top of page using CSS flexbox.</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Action buttons</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Two large buttons: 'MLflow Model Comparison' and 'Predict Default Risk'. Clicking toggles the corresponding panel via showPanel().</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MLflow panel</w:t>
            </w:r>
          </w:p>
        </w:tc>
        <w:tc>
          <w:tcPr>
            <w:tcW w:type="dxa" w:w="71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Hidden by default. On activation, fetchRuns() sends GET /api/mlruns and renders the leaderboard table with colour-coded metric pills and a 🥇 Best badge on the top composite score.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Prediction panel</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Hidden by default. Contains 23 labelled input fields matching the UCI schema, organised into 4 sections with section dividers.</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Quick-fill presets</w:t>
            </w:r>
          </w:p>
        </w:tc>
        <w:tc>
          <w:tcPr>
            <w:tcW w:type="dxa" w:w="71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Three buttons: Low Risk, High Risk, Medium Risk. fillPreset() populates all 23 form fields at once from hardcoded PRESETS objects — allows immediate testing without manual data entry.</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Prediction result cards</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After clicking Predict, renderPrediction() displays 5 cards: Verdict, Default Probability, Risk Band, Threshold, Model Used.</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Probability bar</w:t>
            </w:r>
          </w:p>
        </w:tc>
        <w:tc>
          <w:tcPr>
            <w:tcW w:type="dxa" w:w="71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Visual bar from 0% to 100% showing the raw probability with a coloured fill. A vertical amber line marks the decision threshold. Bar colour changes: green=Low, amber=Medium, red=High.</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Error/success boxes</w:t>
            </w:r>
          </w:p>
        </w:tc>
        <w:tc>
          <w:tcPr>
            <w:tcW w:type="dxa" w:w="7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Styled alert boxes for API errors (red border) and success messages (green border). Shown instead of the result cards on HTTP errors.</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Loading spinners</w:t>
            </w:r>
          </w:p>
        </w:tc>
        <w:tc>
          <w:tcPr>
            <w:tcW w:type="dxa" w:w="71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CSS-animated rotating border shown while fetch() is in flight. Replaced by results or errors on completion.</w:t>
            </w:r>
          </w:p>
        </w:tc>
      </w:tr>
    </w:tbl>
    <w:p>
      <w:r>
        <w:rPr>
          <w:sz w:val="22"/>
          <w:szCs w:val="22"/>
        </w:rPr>
        <w:t xml:space="preserve"/>
      </w:r>
    </w:p>
    <w:p>
      <w:pPr>
        <w:pStyle w:val="Heading2"/>
        <w:spacing w:after="120" w:before="280"/>
      </w:pPr>
      <w:r>
        <w:rPr>
          <w:rFonts w:ascii="Arial" w:cs="Arial" w:eastAsia="Arial" w:hAnsi="Arial"/>
          <w:b/>
          <w:bCs/>
          <w:color w:val="1F5C99"/>
          <w:sz w:val="28"/>
          <w:szCs w:val="28"/>
        </w:rPr>
        <w:t xml:space="preserve">7.3 JavaScript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Function</w:t>
            </w:r>
          </w:p>
        </w:tc>
        <w:tc>
          <w:tcPr>
            <w:tcW w:type="dxa" w:w="69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What It Does</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showPanel(name)</w:t>
            </w:r>
          </w:p>
        </w:tc>
        <w:tc>
          <w:tcPr>
            <w:tcW w:type="dxa" w:w="69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Hides all .panel elements, then shows the panel matching the name. If name is 'runs', also calls fetchRuns() to load fresh MLflow data.</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fillPreset(key)</w:t>
            </w:r>
          </w:p>
        </w:tc>
        <w:tc>
          <w:tcPr>
            <w:tcW w:type="dxa" w:w="6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Looks up the PRESETS object by key (low/high/medium) and sets the value of all 23 form input elements in a single function call.</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fetchRuns()</w:t>
            </w:r>
          </w:p>
        </w:tc>
        <w:tc>
          <w:tcPr>
            <w:tcW w:type="dxa" w:w="69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Async function. Shows a spinner, calls GET /api/mlruns, and on success calls renderRunsTable(). On failure, shows an error box.</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renderRunsTable(runs, el)</w:t>
            </w:r>
          </w:p>
        </w:tc>
        <w:tc>
          <w:tcPr>
            <w:tcW w:type="dxa" w:w="6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Builds an HTML table string from the runs array. Identifies the best model by highest composite_score and applies the 🥇 Best badge. Uses template literals for readability.</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buildPayload()</w:t>
            </w:r>
          </w:p>
        </w:tc>
        <w:tc>
          <w:tcPr>
            <w:tcW w:type="dxa" w:w="69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Reads all 23 form input values, parses them to the correct types (parseInt/parseFloat), and returns a plain JavaScript object ready to JSON.stringify().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runPrediction()</w:t>
            </w:r>
          </w:p>
        </w:tc>
        <w:tc>
          <w:tcPr>
            <w:tcW w:type="dxa" w:w="6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Async function. Disables the submit button, shows a spinner, calls POST /predict with the buildPayload() result, then calls renderPrediction() or shows an error box. Re-enables the button in the finally block regardless of outcome.</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renderPrediction(d, el)</w:t>
            </w:r>
          </w:p>
        </w:tc>
        <w:tc>
          <w:tcPr>
            <w:tcW w:type="dxa" w:w="69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Builds the result card HTML from the prediction response. Applies risk-colour CSS classes (risk-low, risk-medium, risk-high). Renders the probability bar with a percentage-positioned threshold line.</w:t>
            </w:r>
          </w:p>
        </w:tc>
      </w:tr>
    </w:tbl>
    <w:p>
      <w:r>
        <w:rPr>
          <w:sz w:val="22"/>
          <w:szCs w:val="22"/>
        </w:rPr>
        <w:t xml:space="preserve"/>
      </w:r>
    </w:p>
    <w:p>
      <w:pPr>
        <w:pStyle w:val="Heading2"/>
        <w:spacing w:after="120" w:before="280"/>
      </w:pPr>
      <w:r>
        <w:rPr>
          <w:rFonts w:ascii="Arial" w:cs="Arial" w:eastAsia="Arial" w:hAnsi="Arial"/>
          <w:b/>
          <w:bCs/>
          <w:color w:val="1F5C99"/>
          <w:sz w:val="28"/>
          <w:szCs w:val="28"/>
        </w:rPr>
        <w:t xml:space="preserve">7.4 The Three Quick-Fill Presets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Preset</w:t>
            </w:r>
          </w:p>
        </w:tc>
        <w:tc>
          <w:tcPr>
            <w:tcW w:type="dxa" w:w="20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PAY_0–PAY_6</w:t>
            </w:r>
          </w:p>
        </w:tc>
        <w:tc>
          <w:tcPr>
            <w:tcW w:type="dxa" w:w="20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PAY_AMT pattern</w:t>
            </w:r>
          </w:p>
        </w:tc>
        <w:tc>
          <w:tcPr>
            <w:tcW w:type="dxa" w:w="37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Expected Result</w:t>
            </w:r>
          </w:p>
        </w:tc>
      </w:tr>
      <w:tr>
        <w:tc>
          <w:tcPr>
            <w:tcW w:type="dxa" w:w="1600"/>
            <w:tcBorders>
              <w:top w:val="single" w:color="BBBBBB" w:sz="1"/>
              <w:left w:val="single" w:color="BBBBBB" w:sz="1"/>
              <w:bottom w:val="single" w:color="BBBBBB" w:sz="1"/>
              <w:right w:val="single" w:color="BBBBBB" w:sz="1"/>
            </w:tcBorders>
            <w:shd w:fill="E2EFDA" w:val="clear"/>
            <w:tcMar>
              <w:top w:type="dxa" w:w="80"/>
              <w:left w:type="dxa" w:w="140"/>
              <w:bottom w:type="dxa" w:w="80"/>
              <w:right w:type="dxa" w:w="140"/>
            </w:tcMar>
            <w:vAlign w:val="center"/>
          </w:tcPr>
          <w:p>
            <w:pPr>
              <w:jc w:val="left"/>
            </w:pPr>
            <w:r>
              <w:rPr>
                <w:rFonts w:ascii="Arial" w:cs="Arial" w:eastAsia="Arial" w:hAnsi="Arial"/>
                <w:b/>
                <w:bCs/>
                <w:color w:val="1E7145"/>
                <w:sz w:val="20"/>
                <w:szCs w:val="20"/>
              </w:rPr>
              <w:t xml:space="preserve">Low Risk</w:t>
            </w:r>
          </w:p>
        </w:tc>
        <w:tc>
          <w:tcPr>
            <w:tcW w:type="dxa" w:w="2000"/>
            <w:tcBorders>
              <w:top w:val="single" w:color="BBBBBB" w:sz="1"/>
              <w:left w:val="single" w:color="BBBBBB" w:sz="1"/>
              <w:bottom w:val="single" w:color="BBBBBB" w:sz="1"/>
              <w:right w:val="single" w:color="BBBBBB" w:sz="1"/>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All -1 (paid in full)</w:t>
            </w:r>
          </w:p>
        </w:tc>
        <w:tc>
          <w:tcPr>
            <w:tcW w:type="dxa" w:w="2000"/>
            <w:tcBorders>
              <w:top w:val="single" w:color="BBBBBB" w:sz="1"/>
              <w:left w:val="single" w:color="BBBBBB" w:sz="1"/>
              <w:bottom w:val="single" w:color="BBBBBB" w:sz="1"/>
              <w:right w:val="single" w:color="BBBBBB" w:sz="1"/>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NT$15,500–19,000 (90%+ of bill)</w:t>
            </w:r>
          </w:p>
        </w:tc>
        <w:tc>
          <w:tcPr>
            <w:tcW w:type="dxa" w:w="3760"/>
            <w:tcBorders>
              <w:top w:val="single" w:color="BBBBBB" w:sz="1"/>
              <w:left w:val="single" w:color="BBBBBB" w:sz="1"/>
              <w:bottom w:val="single" w:color="BBBBBB" w:sz="1"/>
              <w:right w:val="single" w:color="BBBBBB" w:sz="1"/>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prediction=0, risk=Low, prob well below threshold</w:t>
            </w:r>
          </w:p>
        </w:tc>
      </w:tr>
      <w:tr>
        <w:tc>
          <w:tcPr>
            <w:tcW w:type="dxa" w:w="1600"/>
            <w:tcBorders>
              <w:top w:val="single" w:color="BBBBBB" w:sz="1"/>
              <w:left w:val="single" w:color="BBBBBB" w:sz="1"/>
              <w:bottom w:val="single" w:color="BBBBBB" w:sz="1"/>
              <w:right w:val="single" w:color="BBBBBB" w:sz="1"/>
            </w:tcBorders>
            <w:shd w:fill="FFF2CC" w:val="clear"/>
            <w:tcMar>
              <w:top w:type="dxa" w:w="80"/>
              <w:left w:type="dxa" w:w="140"/>
              <w:bottom w:type="dxa" w:w="80"/>
              <w:right w:type="dxa" w:w="140"/>
            </w:tcMar>
            <w:vAlign w:val="center"/>
          </w:tcPr>
          <w:p>
            <w:pPr>
              <w:jc w:val="left"/>
            </w:pPr>
            <w:r>
              <w:rPr>
                <w:rFonts w:ascii="Arial" w:cs="Arial" w:eastAsia="Arial" w:hAnsi="Arial"/>
                <w:b/>
                <w:bCs/>
                <w:color w:val="C55A11"/>
                <w:sz w:val="20"/>
                <w:szCs w:val="20"/>
              </w:rPr>
              <w:t xml:space="preserve">Medium Risk</w:t>
            </w:r>
          </w:p>
        </w:tc>
        <w:tc>
          <w:tcPr>
            <w:tcW w:type="dxa" w:w="2000"/>
            <w:tcBorders>
              <w:top w:val="single" w:color="BBBBBB" w:sz="1"/>
              <w:left w:val="single" w:color="BBBBBB" w:sz="1"/>
              <w:bottom w:val="single" w:color="BBBBBB" w:sz="1"/>
              <w:right w:val="single" w:color="BBBBBB" w:sz="1"/>
            </w:tcBorders>
            <w:shd w:fill="FFF2CC"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Mix of 0 and -1 (revolving/on-time)</w:t>
            </w:r>
          </w:p>
        </w:tc>
        <w:tc>
          <w:tcPr>
            <w:tcW w:type="dxa" w:w="2000"/>
            <w:tcBorders>
              <w:top w:val="single" w:color="BBBBBB" w:sz="1"/>
              <w:left w:val="single" w:color="BBBBBB" w:sz="1"/>
              <w:bottom w:val="single" w:color="BBBBBB" w:sz="1"/>
              <w:right w:val="single" w:color="BBBBBB" w:sz="1"/>
            </w:tcBorders>
            <w:shd w:fill="FFF2CC"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NT$2,000–5,000 on NT$45K–60K bills (5–10%)</w:t>
            </w:r>
          </w:p>
        </w:tc>
        <w:tc>
          <w:tcPr>
            <w:tcW w:type="dxa" w:w="3760"/>
            <w:tcBorders>
              <w:top w:val="single" w:color="BBBBBB" w:sz="1"/>
              <w:left w:val="single" w:color="BBBBBB" w:sz="1"/>
              <w:bottom w:val="single" w:color="BBBBBB" w:sz="1"/>
              <w:right w:val="single" w:color="BBBBBB" w:sz="1"/>
            </w:tcBorders>
            <w:shd w:fill="FFF2CC"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prediction near threshold, risk=Medium, borderline probability</w:t>
            </w:r>
          </w:p>
        </w:tc>
      </w:tr>
      <w:tr>
        <w:tc>
          <w:tcPr>
            <w:tcW w:type="dxa" w:w="1600"/>
            <w:tcBorders>
              <w:top w:val="single" w:color="BBBBBB" w:sz="1"/>
              <w:left w:val="single" w:color="BBBBBB" w:sz="1"/>
              <w:bottom w:val="single" w:color="BBBBBB" w:sz="1"/>
              <w:right w:val="single" w:color="BBBBBB" w:sz="1"/>
            </w:tcBorders>
            <w:shd w:fill="FCE4D6" w:val="clear"/>
            <w:tcMar>
              <w:top w:type="dxa" w:w="80"/>
              <w:left w:type="dxa" w:w="140"/>
              <w:bottom w:type="dxa" w:w="80"/>
              <w:right w:type="dxa" w:w="140"/>
            </w:tcMar>
            <w:vAlign w:val="center"/>
          </w:tcPr>
          <w:p>
            <w:pPr>
              <w:jc w:val="left"/>
            </w:pPr>
            <w:r>
              <w:rPr>
                <w:rFonts w:ascii="Arial" w:cs="Arial" w:eastAsia="Arial" w:hAnsi="Arial"/>
                <w:b/>
                <w:bCs/>
                <w:color w:val="C00000"/>
                <w:sz w:val="20"/>
                <w:szCs w:val="20"/>
              </w:rPr>
              <w:t xml:space="preserve">High Risk</w:t>
            </w:r>
          </w:p>
        </w:tc>
        <w:tc>
          <w:tcPr>
            <w:tcW w:type="dxa" w:w="2000"/>
            <w:tcBorders>
              <w:top w:val="single" w:color="BBBBBB" w:sz="1"/>
              <w:left w:val="single" w:color="BBBBBB" w:sz="1"/>
              <w:bottom w:val="single" w:color="BBBBBB" w:sz="1"/>
              <w:right w:val="single" w:color="BBBBBB"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PAY_0=3, PAY_2–3=2 (months overdue)</w:t>
            </w:r>
          </w:p>
        </w:tc>
        <w:tc>
          <w:tcPr>
            <w:tcW w:type="dxa" w:w="2000"/>
            <w:tcBorders>
              <w:top w:val="single" w:color="BBBBBB" w:sz="1"/>
              <w:left w:val="single" w:color="BBBBBB" w:sz="1"/>
              <w:bottom w:val="single" w:color="BBBBBB" w:sz="1"/>
              <w:right w:val="single" w:color="BBBBBB"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NT$0–1,500 on NT$37K–49K bills (&lt;3%)</w:t>
            </w:r>
          </w:p>
        </w:tc>
        <w:tc>
          <w:tcPr>
            <w:tcW w:type="dxa" w:w="3760"/>
            <w:tcBorders>
              <w:top w:val="single" w:color="BBBBBB" w:sz="1"/>
              <w:left w:val="single" w:color="BBBBBB" w:sz="1"/>
              <w:bottom w:val="single" w:color="BBBBBB" w:sz="1"/>
              <w:right w:val="single" w:color="BBBBBB"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prediction=1, risk=High, prob well above threshold</w:t>
            </w:r>
          </w:p>
        </w:tc>
      </w:tr>
    </w:tbl>
    <w:p>
      <w:r>
        <w:rPr>
          <w:sz w:val="22"/>
          <w:szCs w:val="22"/>
        </w:rPr>
        <w:t xml:space="preserve"/>
      </w:r>
    </w:p>
    <w:p>
      <w:r>
        <w:br w:type="page"/>
      </w:r>
    </w:p>
    <w:p>
      <w:pPr>
        <w:pStyle w:val="Heading1"/>
        <w:pBdr>
          <w:bottom w:val="single" w:color="2E75B6" w:sz="6" w:space="4"/>
        </w:pBdr>
        <w:spacing w:after="160" w:before="360"/>
      </w:pPr>
      <w:r>
        <w:rPr>
          <w:rFonts w:ascii="Arial" w:cs="Arial" w:eastAsia="Arial" w:hAnsi="Arial"/>
          <w:b/>
          <w:bCs/>
          <w:color w:val="1F3864"/>
          <w:sz w:val="36"/>
          <w:szCs w:val="36"/>
        </w:rPr>
        <w:t xml:space="preserve">8. Error Handling Strategy</w:t>
      </w:r>
    </w:p>
    <w:p>
      <w:pPr>
        <w:spacing w:after="100" w:before="60"/>
        <w:jc w:val="both"/>
      </w:pPr>
      <w:r>
        <w:rPr>
          <w:rFonts w:ascii="Arial" w:cs="Arial" w:eastAsia="Arial" w:hAnsi="Arial"/>
          <w:b w:val="false"/>
          <w:bCs w:val="false"/>
          <w:color w:val="000000"/>
          <w:sz w:val="22"/>
          <w:szCs w:val="22"/>
        </w:rPr>
        <w:t xml:space="preserve">FastAPI + Pydantic provides three distinct error handling layers, each catching a different class of problem:</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560"/>
      </w:tblGrid>
      <w:tr>
        <w:tc>
          <w:tcPr>
            <w:tcW w:type="dxa" w:w="10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HTTP Code</w:t>
            </w:r>
          </w:p>
        </w:tc>
        <w:tc>
          <w:tcPr>
            <w:tcW w:type="dxa" w:w="18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Triggered By</w:t>
            </w:r>
          </w:p>
        </w:tc>
        <w:tc>
          <w:tcPr>
            <w:tcW w:type="dxa" w:w="65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Response Body</w:t>
            </w:r>
          </w:p>
        </w:tc>
      </w:tr>
      <w:tr>
        <w:tc>
          <w:tcPr>
            <w:tcW w:type="dxa" w:w="1000"/>
            <w:tcBorders>
              <w:top w:val="single" w:color="BBBBBB" w:sz="1"/>
              <w:left w:val="single" w:color="BBBBBB" w:sz="1"/>
              <w:bottom w:val="single" w:color="BBBBBB" w:sz="1"/>
              <w:right w:val="single" w:color="BBBBBB" w:sz="1"/>
            </w:tcBorders>
            <w:shd w:fill="E2EFDA" w:val="clear"/>
            <w:tcMar>
              <w:top w:type="dxa" w:w="80"/>
              <w:left w:type="dxa" w:w="140"/>
              <w:bottom w:type="dxa" w:w="80"/>
              <w:right w:type="dxa" w:w="140"/>
            </w:tcMar>
            <w:vAlign w:val="center"/>
          </w:tcPr>
          <w:p>
            <w:pPr>
              <w:jc w:val="left"/>
            </w:pPr>
            <w:r>
              <w:rPr>
                <w:rFonts w:ascii="Arial" w:cs="Arial" w:eastAsia="Arial" w:hAnsi="Arial"/>
                <w:b/>
                <w:bCs/>
                <w:color w:val="1E7145"/>
                <w:sz w:val="20"/>
                <w:szCs w:val="20"/>
              </w:rPr>
              <w:t xml:space="preserve">200</w:t>
            </w:r>
          </w:p>
        </w:tc>
        <w:tc>
          <w:tcPr>
            <w:tcW w:type="dxa" w:w="1800"/>
            <w:tcBorders>
              <w:top w:val="single" w:color="BBBBBB" w:sz="1"/>
              <w:left w:val="single" w:color="BBBBBB" w:sz="1"/>
              <w:bottom w:val="single" w:color="BBBBBB" w:sz="1"/>
              <w:right w:val="single" w:color="BBBBBB" w:sz="1"/>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Successful request</w:t>
            </w:r>
          </w:p>
        </w:tc>
        <w:tc>
          <w:tcPr>
            <w:tcW w:type="dxa" w:w="6560"/>
            <w:tcBorders>
              <w:top w:val="single" w:color="BBBBBB" w:sz="1"/>
              <w:left w:val="single" w:color="BBBBBB" w:sz="1"/>
              <w:bottom w:val="single" w:color="BBBBBB" w:sz="1"/>
              <w:right w:val="single" w:color="BBBBBB" w:sz="1"/>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Structured JSON matching the response_model schema.</w:t>
            </w:r>
          </w:p>
        </w:tc>
      </w:tr>
      <w:tr>
        <w:tc>
          <w:tcPr>
            <w:tcW w:type="dxa" w:w="1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400</w:t>
            </w:r>
          </w:p>
        </w:tc>
        <w:tc>
          <w:tcPr>
            <w:tcW w:type="dxa" w:w="1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/predict/batch</w:t>
            </w:r>
          </w:p>
        </w:tc>
        <w:tc>
          <w:tcPr>
            <w:tcW w:type="dxa" w:w="65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{detail: 'Request body cannot be empty.'} or {detail: 'Batch limit is 100. You sent N.'}</w:t>
            </w:r>
          </w:p>
        </w:tc>
      </w:tr>
      <w:tr>
        <w:tc>
          <w:tcPr>
            <w:tcW w:type="dxa" w:w="1000"/>
            <w:tcBorders>
              <w:top w:val="single" w:color="BBBBBB" w:sz="1"/>
              <w:left w:val="single" w:color="BBBBBB" w:sz="1"/>
              <w:bottom w:val="single" w:color="BBBBBB" w:sz="1"/>
              <w:right w:val="single" w:color="BBBBBB" w:sz="1"/>
            </w:tcBorders>
            <w:shd w:fill="FFF2CC" w:val="clear"/>
            <w:tcMar>
              <w:top w:type="dxa" w:w="80"/>
              <w:left w:type="dxa" w:w="140"/>
              <w:bottom w:type="dxa" w:w="80"/>
              <w:right w:type="dxa" w:w="140"/>
            </w:tcMar>
            <w:vAlign w:val="center"/>
          </w:tcPr>
          <w:p>
            <w:pPr>
              <w:jc w:val="left"/>
            </w:pPr>
            <w:r>
              <w:rPr>
                <w:rFonts w:ascii="Arial" w:cs="Arial" w:eastAsia="Arial" w:hAnsi="Arial"/>
                <w:b/>
                <w:bCs/>
                <w:color w:val="C55A11"/>
                <w:sz w:val="20"/>
                <w:szCs w:val="20"/>
              </w:rPr>
              <w:t xml:space="preserve">422</w:t>
            </w:r>
          </w:p>
        </w:tc>
        <w:tc>
          <w:tcPr>
            <w:tcW w:type="dxa" w:w="1800"/>
            <w:tcBorders>
              <w:top w:val="single" w:color="BBBBBB" w:sz="1"/>
              <w:left w:val="single" w:color="BBBBBB" w:sz="1"/>
              <w:bottom w:val="single" w:color="BBBBBB" w:sz="1"/>
              <w:right w:val="single" w:color="BBBBBB" w:sz="1"/>
            </w:tcBorders>
            <w:shd w:fill="FFF2CC"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Pydantic validation</w:t>
            </w:r>
          </w:p>
        </w:tc>
        <w:tc>
          <w:tcPr>
            <w:tcW w:type="dxa" w:w="6560"/>
            <w:tcBorders>
              <w:top w:val="single" w:color="BBBBBB" w:sz="1"/>
              <w:left w:val="single" w:color="BBBBBB" w:sz="1"/>
              <w:bottom w:val="single" w:color="BBBBBB" w:sz="1"/>
              <w:right w:val="single" w:color="BBBBBB" w:sz="1"/>
            </w:tcBorders>
            <w:shd w:fill="FFF2CC"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{detail: [{type, loc, msg, input}]} — field-level validation errors. Generated by FastAPI/Pydantic automatically.</w:t>
            </w:r>
          </w:p>
        </w:tc>
      </w:tr>
      <w:tr>
        <w:tc>
          <w:tcPr>
            <w:tcW w:type="dxa" w:w="1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500</w:t>
            </w:r>
          </w:p>
        </w:tc>
        <w:tc>
          <w:tcPr>
            <w:tcW w:type="dxa" w:w="1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Prediction or MLflow error</w:t>
            </w:r>
          </w:p>
        </w:tc>
        <w:tc>
          <w:tcPr>
            <w:tcW w:type="dxa" w:w="65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{detail: 'Prediction error: &lt;exception message&gt;'} — logged server-side, exception message sent to client.</w:t>
            </w:r>
          </w:p>
        </w:tc>
      </w:tr>
      <w:tr>
        <w:tc>
          <w:tcPr>
            <w:tcW w:type="dxa" w:w="1000"/>
            <w:tcBorders>
              <w:top w:val="single" w:color="BBBBBB" w:sz="1"/>
              <w:left w:val="single" w:color="BBBBBB" w:sz="1"/>
              <w:bottom w:val="single" w:color="BBBBBB" w:sz="1"/>
              <w:right w:val="single" w:color="BBBBBB" w:sz="1"/>
            </w:tcBorders>
            <w:shd w:fill="FCE4D6" w:val="clear"/>
            <w:tcMar>
              <w:top w:type="dxa" w:w="80"/>
              <w:left w:type="dxa" w:w="140"/>
              <w:bottom w:type="dxa" w:w="80"/>
              <w:right w:type="dxa" w:w="140"/>
            </w:tcMar>
            <w:vAlign w:val="center"/>
          </w:tcPr>
          <w:p>
            <w:pPr>
              <w:jc w:val="left"/>
            </w:pPr>
            <w:r>
              <w:rPr>
                <w:rFonts w:ascii="Arial" w:cs="Arial" w:eastAsia="Arial" w:hAnsi="Arial"/>
                <w:b/>
                <w:bCs/>
                <w:color w:val="C00000"/>
                <w:sz w:val="20"/>
                <w:szCs w:val="20"/>
              </w:rPr>
              <w:t xml:space="preserve">503</w:t>
            </w:r>
          </w:p>
        </w:tc>
        <w:tc>
          <w:tcPr>
            <w:tcW w:type="dxa" w:w="1800"/>
            <w:tcBorders>
              <w:top w:val="single" w:color="BBBBBB" w:sz="1"/>
              <w:left w:val="single" w:color="BBBBBB" w:sz="1"/>
              <w:bottom w:val="single" w:color="BBBBBB" w:sz="1"/>
              <w:right w:val="single" w:color="BBBBBB"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Model not loaded</w:t>
            </w:r>
          </w:p>
        </w:tc>
        <w:tc>
          <w:tcPr>
            <w:tcW w:type="dxa" w:w="6560"/>
            <w:tcBorders>
              <w:top w:val="single" w:color="BBBBBB" w:sz="1"/>
              <w:left w:val="single" w:color="BBBBBB" w:sz="1"/>
              <w:bottom w:val="single" w:color="BBBBBB" w:sz="1"/>
              <w:right w:val="single" w:color="BBBBBB" w:sz="1"/>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{detail: 'Model not loaded. Run the training pipeline first, then restart the API.'}</w:t>
            </w:r>
          </w:p>
        </w:tc>
      </w:tr>
    </w:tbl>
    <w:p>
      <w:r>
        <w:rPr>
          <w:sz w:val="22"/>
          <w:szCs w:val="22"/>
        </w:rPr>
        <w:t xml:space="preserve"/>
      </w:r>
    </w:p>
    <w:p>
      <w:pPr>
        <w:spacing w:after="100" w:before="60"/>
        <w:jc w:val="both"/>
      </w:pPr>
      <w:r>
        <w:rPr>
          <w:rFonts w:ascii="Arial" w:cs="Arial" w:eastAsia="Arial" w:hAnsi="Arial"/>
          <w:b w:val="false"/>
          <w:bCs w:val="false"/>
          <w:color w:val="000000"/>
          <w:sz w:val="22"/>
          <w:szCs w:val="22"/>
        </w:rPr>
        <w:t xml:space="preserve">The 503 pattern for missing models is particularly important — it cleanly separates 'the API is broken' (500) from 'the API is fine but a dependency is not ready' (503). Monitoring systems that check HTTP status codes can distinguish these without parsing the response body.</w:t>
      </w:r>
    </w:p>
    <w:p>
      <w:pPr>
        <w:spacing w:after="100" w:before="60"/>
        <w:jc w:val="both"/>
      </w:pPr>
      <w:r>
        <w:rPr>
          <w:rFonts w:ascii="Arial" w:cs="Arial" w:eastAsia="Arial" w:hAnsi="Arial"/>
          <w:b w:val="false"/>
          <w:bCs w:val="false"/>
          <w:color w:val="000000"/>
          <w:sz w:val="22"/>
          <w:szCs w:val="22"/>
        </w:rPr>
        <w:t xml:space="preserve">In the batch endpoint, individual item failures are isolated at the Python level using try/except inside the for loop, returning error-keyed dicts for failed items rather than propagating exceptions up to the HTTP layer. This prevents a single bad record from affecting the HTTP response code for the rest of the batch.</w:t>
      </w:r>
    </w:p>
    <w:p>
      <w:r>
        <w:rPr>
          <w:sz w:val="22"/>
          <w:szCs w:val="22"/>
        </w:rPr>
        <w:t xml:space="preserve"/>
      </w:r>
    </w:p>
    <w:p>
      <w:pPr>
        <w:pStyle w:val="Heading1"/>
        <w:pBdr>
          <w:bottom w:val="single" w:color="2E75B6" w:sz="6" w:space="4"/>
        </w:pBdr>
        <w:spacing w:after="160" w:before="360"/>
      </w:pPr>
      <w:r>
        <w:rPr>
          <w:rFonts w:ascii="Arial" w:cs="Arial" w:eastAsia="Arial" w:hAnsi="Arial"/>
          <w:b/>
          <w:bCs/>
          <w:color w:val="1F3864"/>
          <w:sz w:val="36"/>
          <w:szCs w:val="36"/>
        </w:rPr>
        <w:t xml:space="preserve">9. Running &amp; Deployment</w:t>
      </w:r>
    </w:p>
    <w:p>
      <w:pPr>
        <w:pStyle w:val="Heading2"/>
        <w:spacing w:after="120" w:before="280"/>
      </w:pPr>
      <w:r>
        <w:rPr>
          <w:rFonts w:ascii="Arial" w:cs="Arial" w:eastAsia="Arial" w:hAnsi="Arial"/>
          <w:b/>
          <w:bCs/>
          <w:color w:val="1F5C99"/>
          <w:sz w:val="28"/>
          <w:szCs w:val="28"/>
        </w:rPr>
        <w:t xml:space="preserve">9.1 Starting the API</w:t>
      </w:r>
    </w:p>
    <w:p>
      <w:pPr>
        <w:spacing w:after="100" w:before="60"/>
        <w:jc w:val="both"/>
      </w:pPr>
      <w:r>
        <w:rPr>
          <w:rFonts w:ascii="Arial" w:cs="Arial" w:eastAsia="Arial" w:hAnsi="Arial"/>
          <w:b w:val="false"/>
          <w:bCs w:val="false"/>
          <w:color w:val="000000"/>
          <w:sz w:val="22"/>
          <w:szCs w:val="22"/>
        </w:rPr>
        <w:t xml:space="preserve">The API is started with uvicorn, the ASGI server that FastAPI requires:</w:t>
      </w:r>
    </w:p>
    <w:p>
      <w:r>
        <w:rPr>
          <w:sz w:val="22"/>
          <w:szCs w:val="22"/>
        </w:rPr>
        <w:t xml:space="preserve"/>
      </w:r>
    </w:p>
    <w:p>
      <w:pPr>
        <w:spacing w:after="60" w:before="60"/>
        <w:ind w:left="720"/>
      </w:pPr>
      <w:r>
        <w:rPr>
          <w:rFonts w:ascii="Courier New" w:cs="Courier New" w:eastAsia="Courier New" w:hAnsi="Courier New"/>
          <w:color w:val="1F5C99"/>
          <w:sz w:val="19"/>
          <w:szCs w:val="19"/>
        </w:rPr>
        <w:t xml:space="preserve">uvicorn api.main:app --host 0.0.0.0 --port 8000 --reload</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Flag</w:t>
            </w:r>
          </w:p>
        </w:tc>
        <w:tc>
          <w:tcPr>
            <w:tcW w:type="dxa" w:w="69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Purpose</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api.main:app</w:t>
            </w:r>
          </w:p>
        </w:tc>
        <w:tc>
          <w:tcPr>
            <w:tcW w:type="dxa" w:w="69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Module path to the FastAPI app object. api/main.py → app variable.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--host 0.0.0.0</w:t>
            </w:r>
          </w:p>
        </w:tc>
        <w:tc>
          <w:tcPr>
            <w:tcW w:type="dxa" w:w="6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Binds to all network interfaces. Without this, the server is only accessible on localhost.</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--port 8000</w:t>
            </w:r>
          </w:p>
        </w:tc>
        <w:tc>
          <w:tcPr>
            <w:tcW w:type="dxa" w:w="69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HTTP port. Default FastAPI port. Change if 8000 is already in use.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--reload</w:t>
            </w:r>
          </w:p>
        </w:tc>
        <w:tc>
          <w:tcPr>
            <w:tcW w:type="dxa" w:w="6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Auto-restarts on code changes. For development only — do not use in production as it adds overhead.</w:t>
            </w:r>
          </w:p>
        </w:tc>
      </w:tr>
    </w:tbl>
    <w:p>
      <w:r>
        <w:rPr>
          <w:sz w:val="22"/>
          <w:szCs w:val="22"/>
        </w:rPr>
        <w:t xml:space="preserve"/>
      </w:r>
    </w:p>
    <w:p>
      <w:pPr>
        <w:pStyle w:val="Heading2"/>
        <w:spacing w:after="120" w:before="280"/>
      </w:pPr>
      <w:r>
        <w:rPr>
          <w:rFonts w:ascii="Arial" w:cs="Arial" w:eastAsia="Arial" w:hAnsi="Arial"/>
          <w:b/>
          <w:bCs/>
          <w:color w:val="1F5C99"/>
          <w:sz w:val="28"/>
          <w:szCs w:val="28"/>
        </w:rPr>
        <w:t xml:space="preserve">9.2 Available URLs After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URL</w:t>
            </w:r>
          </w:p>
        </w:tc>
        <w:tc>
          <w:tcPr>
            <w:tcW w:type="dxa" w:w="63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What You See</w:t>
            </w:r>
          </w:p>
        </w:tc>
      </w:tr>
      <w:tr>
        <w:tc>
          <w:tcPr>
            <w:tcW w:type="dxa" w:w="3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http://localhost:8000/</w:t>
            </w:r>
          </w:p>
        </w:tc>
        <w:tc>
          <w:tcPr>
            <w:tcW w:type="dxa" w:w="63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SmartLoan dashboard UI — model comparison leaderboard and prediction form.</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http://localhost:8000/docs</w:t>
            </w:r>
          </w:p>
        </w:tc>
        <w:tc>
          <w:tcPr>
            <w:tcW w:type="dxa" w:w="6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Swagger UI — interactive API documentation. Try every endpoint directly in the browser.</w:t>
            </w:r>
          </w:p>
        </w:tc>
      </w:tr>
      <w:tr>
        <w:tc>
          <w:tcPr>
            <w:tcW w:type="dxa" w:w="3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http://localhost:8000/redoc</w:t>
            </w:r>
          </w:p>
        </w:tc>
        <w:tc>
          <w:tcPr>
            <w:tcW w:type="dxa" w:w="63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ReDoc — alternative API documentation with a cleaner reading layout.</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http://localhost:8000/openapi.json</w:t>
            </w:r>
          </w:p>
        </w:tc>
        <w:tc>
          <w:tcPr>
            <w:tcW w:type="dxa" w:w="6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Raw OpenAPI 3.0 schema JSON — import into Postman, Insomnia, or any API client.</w:t>
            </w:r>
          </w:p>
        </w:tc>
      </w:tr>
      <w:tr>
        <w:tc>
          <w:tcPr>
            <w:tcW w:type="dxa" w:w="3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http://localhost:8000/health</w:t>
            </w:r>
          </w:p>
        </w:tc>
        <w:tc>
          <w:tcPr>
            <w:tcW w:type="dxa" w:w="63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API health status — model loaded flag, model name, threshold.</w:t>
            </w:r>
          </w:p>
        </w:tc>
      </w:tr>
    </w:tbl>
    <w:p>
      <w:r>
        <w:rPr>
          <w:sz w:val="22"/>
          <w:szCs w:val="22"/>
        </w:rPr>
        <w:t xml:space="preserve"/>
      </w:r>
    </w:p>
    <w:p>
      <w:pPr>
        <w:pStyle w:val="Heading2"/>
        <w:spacing w:after="120" w:before="280"/>
      </w:pPr>
      <w:r>
        <w:rPr>
          <w:rFonts w:ascii="Arial" w:cs="Arial" w:eastAsia="Arial" w:hAnsi="Arial"/>
          <w:b/>
          <w:bCs/>
          <w:color w:val="1F5C99"/>
          <w:sz w:val="28"/>
          <w:szCs w:val="28"/>
        </w:rPr>
        <w:t xml:space="preserve">9.3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Variable</w:t>
            </w:r>
          </w:p>
        </w:tc>
        <w:tc>
          <w:tcPr>
            <w:tcW w:type="dxa" w:w="20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Default</w:t>
            </w:r>
          </w:p>
        </w:tc>
        <w:tc>
          <w:tcPr>
            <w:tcW w:type="dxa" w:w="41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Purpose</w:t>
            </w:r>
          </w:p>
        </w:tc>
      </w:tr>
      <w:tr>
        <w:tc>
          <w:tcPr>
            <w:tcW w:type="dxa" w:w="32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MLFLOW_TRACKING_URI</w:t>
            </w:r>
          </w:p>
        </w:tc>
        <w:tc>
          <w:tcPr>
            <w:tcW w:type="dxa" w:w="2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sqlite:///mlflow.db</w:t>
            </w:r>
          </w:p>
        </w:tc>
        <w:tc>
          <w:tcPr>
            <w:tcW w:type="dxa" w:w="41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MLflow backend store. Change to a remote URI for multi-user deployments.</w:t>
            </w:r>
          </w:p>
        </w:tc>
      </w:tr>
    </w:tbl>
    <w:p>
      <w:r>
        <w:rPr>
          <w:sz w:val="22"/>
          <w:szCs w:val="22"/>
        </w:rPr>
        <w:t xml:space="preserve"/>
      </w:r>
    </w:p>
    <w:p>
      <w:pPr>
        <w:pStyle w:val="Heading1"/>
        <w:pBdr>
          <w:bottom w:val="single" w:color="2E75B6" w:sz="6" w:space="4"/>
        </w:pBdr>
        <w:spacing w:after="160" w:before="360"/>
      </w:pPr>
      <w:r>
        <w:rPr>
          <w:rFonts w:ascii="Arial" w:cs="Arial" w:eastAsia="Arial" w:hAnsi="Arial"/>
          <w:b/>
          <w:bCs/>
          <w:color w:val="1F3864"/>
          <w:sz w:val="36"/>
          <w:szCs w:val="36"/>
        </w:rPr>
        <w:t xml:space="preserve">10. End-to-End Workflow Summary</w:t>
      </w:r>
    </w:p>
    <w:p>
      <w:pPr>
        <w:spacing w:after="100" w:before="60"/>
        <w:jc w:val="both"/>
      </w:pPr>
      <w:r>
        <w:rPr>
          <w:rFonts w:ascii="Arial" w:cs="Arial" w:eastAsia="Arial" w:hAnsi="Arial"/>
          <w:b w:val="false"/>
          <w:bCs w:val="false"/>
          <w:color w:val="000000"/>
          <w:sz w:val="22"/>
          <w:szCs w:val="22"/>
        </w:rPr>
        <w:t xml:space="preserve">The complete SmartLoan system workflow from cold start to production prediction:</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560"/>
      </w:tblGrid>
      <w:tr>
        <w:tc>
          <w:tcPr>
            <w:tcW w:type="dxa" w:w="4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Phase</w:t>
            </w:r>
          </w:p>
        </w:tc>
        <w:tc>
          <w:tcPr>
            <w:tcW w:type="dxa" w:w="24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Action</w:t>
            </w:r>
          </w:p>
        </w:tc>
        <w:tc>
          <w:tcPr>
            <w:tcW w:type="dxa" w:w="65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Component</w:t>
            </w:r>
          </w:p>
        </w:tc>
      </w:tr>
      <w:tr>
        <w:tc>
          <w:tcPr>
            <w:tcW w:type="dxa" w:w="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Data Ingestion</w:t>
            </w:r>
          </w:p>
        </w:tc>
        <w:tc>
          <w:tcPr>
            <w:tcW w:type="dxa" w:w="65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DataIngestion loads raw UCI CSV from source and saves to artifacts/raw/.</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Data Transformation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DataTransformation engineers features, fits StandardScaler, saves x_train.csv, x_test.csv, y_train.csv, y_test.csv, scaler.pkl, training_columns.txt to artifacts/processed/.</w:t>
            </w:r>
          </w:p>
        </w:tc>
      </w:tr>
      <w:tr>
        <w:tc>
          <w:tcPr>
            <w:tcW w:type="dxa" w:w="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w:t>
            </w:r>
          </w:p>
        </w:tc>
        <w:tc>
          <w:tcPr>
            <w:tcW w:type="dxa" w:w="2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Model Training</w:t>
            </w:r>
          </w:p>
        </w:tc>
        <w:tc>
          <w:tcPr>
            <w:tcW w:type="dxa" w:w="65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ModelTrainer loads processed data, applies SMOTE, trains 4 models, calibrates probabilities, finds optimal thresholds on validation set, logs all metrics to MLflow, saves best_model.pkl and best_model_info.json to artifacts/models/.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4</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API Startup</w:t>
            </w:r>
          </w:p>
        </w:tc>
        <w:tc>
          <w:tcPr>
            <w:tcW w:type="dxa" w:w="6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uvicorn starts FastAPI. Lifespan loads ModelPredictionStage which reads best_model.pkl, scaler.pkl, training_columns.txt. Model is ready for inference.</w:t>
            </w:r>
          </w:p>
        </w:tc>
      </w:tr>
      <w:tr>
        <w:tc>
          <w:tcPr>
            <w:tcW w:type="dxa" w:w="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5</w:t>
            </w:r>
          </w:p>
        </w:tc>
        <w:tc>
          <w:tcPr>
            <w:tcW w:type="dxa" w:w="2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Dashboard Browse</w:t>
            </w:r>
          </w:p>
        </w:tc>
        <w:tc>
          <w:tcPr>
            <w:tcW w:type="dxa" w:w="65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User visits localhost:8000. GET / returns DASHBOARD_HTML. User clicks MLflow Comparison. fetchRuns() calls GET /api/mlruns. Leaderboard renders with all 4 models ranked by composite score.</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6</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Prediction</w:t>
            </w:r>
          </w:p>
        </w:tc>
        <w:tc>
          <w:tcPr>
            <w:tcW w:type="dxa" w:w="6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User fills the prediction form (or clicks a preset). runPrediction() sends POST /predict. FastAPI validates via Pydantic, calls pipeline.main(), returns PredictionResponse. renderPrediction() shows result cards and probability bar.</w:t>
            </w:r>
          </w:p>
        </w:tc>
      </w:tr>
      <w:tr>
        <w:tc>
          <w:tcPr>
            <w:tcW w:type="dxa" w:w="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7</w:t>
            </w:r>
          </w:p>
        </w:tc>
        <w:tc>
          <w:tcPr>
            <w:tcW w:type="dxa" w:w="2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Retrain (optional)</w:t>
            </w:r>
          </w:p>
        </w:tc>
        <w:tc>
          <w:tcPr>
            <w:tcW w:type="dxa" w:w="65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User clicks Retrain on dashboard. POST /api/train fires _run_training() in background. User polls GET /api/train/status. On completion, server restarts to pick up new model artifacts.</w:t>
            </w:r>
          </w:p>
        </w:tc>
      </w:tr>
    </w:tbl>
    <w:p>
      <w:r>
        <w:rPr>
          <w:sz w:val="22"/>
          <w:szCs w:val="22"/>
        </w:rPr>
        <w:t xml:space="preserve"/>
      </w:r>
    </w:p>
    <w:p>
      <w:pPr>
        <w:pStyle w:val="Heading1"/>
        <w:pBdr>
          <w:bottom w:val="single" w:color="2E75B6" w:sz="6" w:space="4"/>
        </w:pBdr>
        <w:spacing w:after="160" w:before="360"/>
      </w:pPr>
      <w:r>
        <w:rPr>
          <w:rFonts w:ascii="Arial" w:cs="Arial" w:eastAsia="Arial" w:hAnsi="Arial"/>
          <w:b/>
          <w:bCs/>
          <w:color w:val="1F3864"/>
          <w:sz w:val="36"/>
          <w:szCs w:val="36"/>
        </w:rPr>
        <w:t xml:space="preserve">11. Conclusion</w:t>
      </w:r>
    </w:p>
    <w:p>
      <w:pPr>
        <w:spacing w:after="100" w:before="60"/>
        <w:jc w:val="both"/>
      </w:pPr>
      <w:r>
        <w:rPr>
          <w:rFonts w:ascii="Arial" w:cs="Arial" w:eastAsia="Arial" w:hAnsi="Arial"/>
          <w:b w:val="false"/>
          <w:bCs w:val="false"/>
          <w:color w:val="000000"/>
          <w:sz w:val="22"/>
          <w:szCs w:val="22"/>
        </w:rPr>
        <w:t xml:space="preserve">The SmartLoan FastAPI serving layer translates a trained scikit-learn credit default model into a production-ready REST API with full input validation, structured output, error handling, background training, MLflow integration, and a self-contained dashboard UI.</w:t>
      </w:r>
    </w:p>
    <w:p>
      <w:pPr>
        <w:pStyle w:val="ListParagraph"/>
        <w:numPr>
          <w:ilvl w:val="0"/>
          <w:numId w:val="2"/>
        </w:numPr>
        <w:spacing w:after="60" w:before="40"/>
      </w:pPr>
      <w:r>
        <w:rPr>
          <w:rFonts w:ascii="Arial" w:cs="Arial" w:eastAsia="Arial" w:hAnsi="Arial"/>
          <w:sz w:val="22"/>
          <w:szCs w:val="22"/>
        </w:rPr>
        <w:t xml:space="preserve">FastAPI + Pydantic provides automatic validation, serialisation, and OpenAPI documentation with zero boilerplate code.</w:t>
      </w:r>
    </w:p>
    <w:p>
      <w:pPr>
        <w:pStyle w:val="ListParagraph"/>
        <w:numPr>
          <w:ilvl w:val="0"/>
          <w:numId w:val="2"/>
        </w:numPr>
        <w:spacing w:after="60" w:before="40"/>
      </w:pPr>
      <w:r>
        <w:rPr>
          <w:rFonts w:ascii="Arial" w:cs="Arial" w:eastAsia="Arial" w:hAnsi="Arial"/>
          <w:sz w:val="22"/>
          <w:szCs w:val="22"/>
        </w:rPr>
        <w:t xml:space="preserve">The lifespan context manager loads the model once at startup, avoiding per-request disk I/O overhead.</w:t>
      </w:r>
    </w:p>
    <w:p>
      <w:pPr>
        <w:pStyle w:val="ListParagraph"/>
        <w:numPr>
          <w:ilvl w:val="0"/>
          <w:numId w:val="2"/>
        </w:numPr>
        <w:spacing w:after="60" w:before="40"/>
      </w:pPr>
      <w:r>
        <w:rPr>
          <w:rFonts w:ascii="Arial" w:cs="Arial" w:eastAsia="Arial" w:hAnsi="Arial"/>
          <w:sz w:val="22"/>
          <w:szCs w:val="22"/>
        </w:rPr>
        <w:t xml:space="preserve">Graceful degradation (HTTP 503 instead of crashes) keeps the API accessible even when the model is not yet trained.</w:t>
      </w:r>
    </w:p>
    <w:p>
      <w:pPr>
        <w:pStyle w:val="ListParagraph"/>
        <w:numPr>
          <w:ilvl w:val="0"/>
          <w:numId w:val="2"/>
        </w:numPr>
        <w:spacing w:after="60" w:before="40"/>
      </w:pPr>
      <w:r>
        <w:rPr>
          <w:rFonts w:ascii="Arial" w:cs="Arial" w:eastAsia="Arial" w:hAnsi="Arial"/>
          <w:sz w:val="22"/>
          <w:szCs w:val="22"/>
        </w:rPr>
        <w:t xml:space="preserve">The background training pattern allows the full pipeline to be triggered from the UI without blocking the HTTP server.</w:t>
      </w:r>
    </w:p>
    <w:p>
      <w:pPr>
        <w:pStyle w:val="ListParagraph"/>
        <w:numPr>
          <w:ilvl w:val="0"/>
          <w:numId w:val="2"/>
        </w:numPr>
        <w:spacing w:after="60" w:before="40"/>
      </w:pPr>
      <w:r>
        <w:rPr>
          <w:rFonts w:ascii="Arial" w:cs="Arial" w:eastAsia="Arial" w:hAnsi="Arial"/>
          <w:sz w:val="22"/>
          <w:szCs w:val="22"/>
        </w:rPr>
        <w:t xml:space="preserve">Per-item error isolation in the batch endpoint implements partial success semantics appropriate for batch loan processing.</w:t>
      </w:r>
    </w:p>
    <w:p>
      <w:pPr>
        <w:pStyle w:val="ListParagraph"/>
        <w:numPr>
          <w:ilvl w:val="0"/>
          <w:numId w:val="2"/>
        </w:numPr>
        <w:spacing w:after="60" w:before="40"/>
      </w:pPr>
      <w:r>
        <w:rPr>
          <w:rFonts w:ascii="Arial" w:cs="Arial" w:eastAsia="Arial" w:hAnsi="Arial"/>
          <w:sz w:val="22"/>
          <w:szCs w:val="22"/>
        </w:rPr>
        <w:t xml:space="preserve">The embedded dashboard UI makes the project completely self-contained — one process, one port, zero frontend build tooling.</w:t>
      </w:r>
    </w:p>
    <w:p>
      <w:pPr>
        <w:pStyle w:val="ListParagraph"/>
        <w:numPr>
          <w:ilvl w:val="0"/>
          <w:numId w:val="2"/>
        </w:numPr>
        <w:spacing w:after="60" w:before="40"/>
      </w:pPr>
      <w:r>
        <w:rPr>
          <w:rFonts w:ascii="Arial" w:cs="Arial" w:eastAsia="Arial" w:hAnsi="Arial"/>
          <w:sz w:val="22"/>
          <w:szCs w:val="22"/>
        </w:rPr>
        <w:t xml:space="preserve">The probability bar with threshold marker gives loan officers an immediate visual understanding of where a customer stands relative to the operating decision point.</w:t>
      </w:r>
    </w:p>
    <w:p>
      <w:r>
        <w:rPr>
          <w:sz w:val="22"/>
          <w:szCs w:val="22"/>
        </w:rPr>
        <w:t xml:space="preserve"/>
      </w:r>
    </w:p>
    <w:p>
      <w:pPr>
        <w:spacing w:after="100" w:before="60"/>
        <w:jc w:val="both"/>
      </w:pPr>
      <w:r>
        <w:rPr>
          <w:rFonts w:ascii="Arial" w:cs="Arial" w:eastAsia="Arial" w:hAnsi="Arial"/>
          <w:b w:val="false"/>
          <w:bCs w:val="false"/>
          <w:color w:val="000000"/>
          <w:sz w:val="22"/>
          <w:szCs w:val="22"/>
        </w:rPr>
        <w:t xml:space="preserve">The API is ready for containerisation (Docker), cloud deployment (Azure App Service, AWS ECS, GCP Cloud Run), and integration with upstream data systems that can POST customer records to /predict or /predict/batch.</w:t>
      </w:r>
    </w:p>
    <w:p>
      <w:r>
        <w:rPr>
          <w:sz w:val="22"/>
          <w:szCs w:val="22"/>
        </w:rPr>
        <w:t xml:space="preserve"/>
      </w:r>
    </w:p>
    <w:sectPr>
      <w:footerReference w:type="default" r:id="rId7"/>
      <w:pgSz w:w="12240" w:h="15840" w:orient="portrait"/>
      <w:pgMar w:top="144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595959"/>
        <w:sz w:val="18"/>
        <w:szCs w:val="18"/>
      </w:rPr>
      <w:t xml:space="preserve">SmartLoan FastAPI Serving Report | Confidential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5C9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2026-04-13T05:57:45.197Z</dcterms:created>
  <dcterms:modified xsi:type="dcterms:W3CDTF">2026-04-13T05:57:45.198Z</dcterms:modified>
</cp:coreProperties>
</file>

<file path=docProps/custom.xml><?xml version="1.0" encoding="utf-8"?>
<Properties xmlns="http://schemas.openxmlformats.org/officeDocument/2006/custom-properties" xmlns:vt="http://schemas.openxmlformats.org/officeDocument/2006/docPropsVTypes"/>
</file>