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after="80" w:before="0"/>
        <w:jc w:val="center"/>
      </w:pPr>
      <w:r>
        <w:rPr>
          <w:rFonts w:ascii="Arial" w:cs="Arial" w:eastAsia="Arial" w:hAnsi="Arial"/>
          <w:b/>
          <w:bCs/>
          <w:color w:val="1F3864"/>
          <w:sz w:val="56"/>
          <w:szCs w:val="56"/>
        </w:rPr>
        <w:t xml:space="preserve">SmartLoan Credit Default Prediction</w:t>
      </w:r>
    </w:p>
    <w:p>
      <w:pPr>
        <w:pBdr>
          <w:bottom w:val="single" w:color="2E75B6" w:sz="8" w:space="6"/>
        </w:pBdr>
        <w:spacing w:after="200" w:before="0"/>
        <w:jc w:val="center"/>
      </w:pPr>
      <w:r>
        <w:rPr>
          <w:rFonts w:ascii="Arial" w:cs="Arial" w:eastAsia="Arial" w:hAnsi="Arial"/>
          <w:b w:val="false"/>
          <w:bCs w:val="false"/>
          <w:color w:val="2E75B6"/>
          <w:sz w:val="36"/>
          <w:szCs w:val="36"/>
        </w:rPr>
        <w:t xml:space="preserve">Model Design, Selection &amp; Evaluation Report</w:t>
      </w:r>
    </w:p>
    <w:p>
      <w:r>
        <w:rPr>
          <w:sz w:val="44"/>
          <w:szCs w:val="44"/>
        </w:rPr>
        <w:t xml:space="preserve"/>
      </w:r>
    </w:p>
    <w:p>
      <w:pPr>
        <w:jc w:val="center"/>
      </w:pPr>
      <w:r>
        <w:rPr>
          <w:rFonts w:ascii="Arial" w:cs="Arial" w:eastAsia="Arial" w:hAnsi="Arial"/>
          <w:color w:val="595959"/>
          <w:sz w:val="24"/>
          <w:szCs w:val="24"/>
        </w:rPr>
        <w:t xml:space="preserve">Dataset: UCI Credit Card Default (Taiwan)</w:t>
      </w:r>
    </w:p>
    <w:p>
      <w:pPr>
        <w:jc w:val="center"/>
      </w:pPr>
      <w:r>
        <w:rPr>
          <w:rFonts w:ascii="Arial" w:cs="Arial" w:eastAsia="Arial" w:hAnsi="Arial"/>
          <w:color w:val="595959"/>
          <w:sz w:val="22"/>
          <w:szCs w:val="22"/>
        </w:rPr>
        <w:t xml:space="preserve">Pipeline: MLflow · SMOTE · Isotonic Calibration · Optimal Thresholding</w:t>
      </w:r>
    </w:p>
    <w:p>
      <w:r>
        <w:rPr>
          <w:sz w:val="44"/>
          <w:szCs w:val="44"/>
        </w:rPr>
        <w:t xml:space="preserve"/>
      </w:r>
    </w:p>
    <w:p>
      <w:pPr>
        <w:jc w:val="center"/>
      </w:pPr>
      <w:r>
        <w:rPr>
          <w:rFonts w:ascii="Arial" w:cs="Arial" w:eastAsia="Arial" w:hAnsi="Arial"/>
          <w:color w:val="595959"/>
          <w:sz w:val="22"/>
          <w:szCs w:val="22"/>
        </w:rPr>
        <w:t xml:space="preserve">April 2026</w:t>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1. Executive Summary</w:t>
      </w:r>
    </w:p>
    <w:p>
      <w:pPr>
        <w:spacing w:after="100" w:before="60"/>
        <w:jc w:val="both"/>
      </w:pPr>
      <w:r>
        <w:rPr>
          <w:rFonts w:ascii="Arial" w:cs="Arial" w:eastAsia="Arial" w:hAnsi="Arial"/>
          <w:b w:val="false"/>
          <w:bCs w:val="false"/>
          <w:color w:val="000000"/>
          <w:sz w:val="22"/>
          <w:szCs w:val="22"/>
        </w:rPr>
        <w:t xml:space="preserve">This report documents the end-to-end model development process for the SmartLoan credit default prediction system. The goal is to predict whether a credit card customer will default on their payment in the following month, using the UCI Credit Card Default dataset comprising 30,000 records from a Taiwanese bank.</w:t>
      </w:r>
    </w:p>
    <w:p>
      <w:pPr>
        <w:spacing w:after="100" w:before="60"/>
        <w:jc w:val="both"/>
      </w:pPr>
      <w:r>
        <w:rPr>
          <w:rFonts w:ascii="Arial" w:cs="Arial" w:eastAsia="Arial" w:hAnsi="Arial"/>
          <w:b w:val="false"/>
          <w:bCs w:val="false"/>
          <w:color w:val="000000"/>
          <w:sz w:val="22"/>
          <w:szCs w:val="22"/>
        </w:rPr>
        <w:t xml:space="preserve">Four machine learning models were selected, trained, calibrated, and evaluated: Logistic Regression, Random Forest, LightGBM, and XGBoost. Each model was chosen for a specific reason — covering the spectrum from interpretable linear baselines to high-capacity gradient-boosted ensembles. The evaluation framework was designed specifically for imbalanced classification in a financial context, prioritising recall and F2 score over raw accuracy.</w:t>
      </w:r>
    </w:p>
    <w:p>
      <w:pPr>
        <w:spacing w:after="100" w:before="60"/>
        <w:jc w:val="both"/>
      </w:pPr>
      <w:r>
        <w:rPr>
          <w:rFonts w:ascii="Arial" w:cs="Arial" w:eastAsia="Arial" w:hAnsi="Arial"/>
          <w:b w:val="false"/>
          <w:bCs w:val="false"/>
          <w:color w:val="000000"/>
          <w:sz w:val="22"/>
          <w:szCs w:val="22"/>
        </w:rPr>
        <w:t xml:space="preserve">The best-performing model was Random Forest with a composite score of 0.6504, achieving 70.3% accuracy, 0.778 ROC-AUC, 0.696 recall, and 0.607 F2 score at an optimal decision threshold of 0.339. All models were logged, tracked, and registered using MLflow.</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2. Dataset Overview</w:t>
      </w:r>
    </w:p>
    <w:p>
      <w:pPr>
        <w:spacing w:after="100" w:before="60"/>
        <w:jc w:val="both"/>
      </w:pPr>
      <w:r>
        <w:rPr>
          <w:rFonts w:ascii="Arial" w:cs="Arial" w:eastAsia="Arial" w:hAnsi="Arial"/>
          <w:b w:val="false"/>
          <w:bCs w:val="false"/>
          <w:color w:val="000000"/>
          <w:sz w:val="22"/>
          <w:szCs w:val="22"/>
        </w:rPr>
        <w:t xml:space="preserve">The UCI Credit Card Default dataset captures financial behaviour of credit card holders in Taiwan. The dataset is moderately imbalanced — approximately 78% of customers did not default, while 22% did. This imbalance is a critical design constraint that influenced every modelling decision made in this project.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Source</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UCI Machine Learning Repository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Records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30,000 credit card customers</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Features</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 features (payment history, bill amounts, demographics)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Binary — default payment next month (1 = default, 0 = no default)</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Class Ratio</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78% non-default (0) : 22% default (1) — moderately imbalanced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Train / Test Split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80% train (24,000) / 20% test (6,000), stratified</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Validation Split</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 carved from train before SMOTE for threshold tuning (3,600 records)</w:t>
            </w:r>
          </w:p>
        </w:tc>
      </w:tr>
    </w:tbl>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Key feature groups include: demographic variables (gender, education, marital status, age), credit limit (LIMIT_BAL), repayment status for the past 6 months (PAY_0 to PAY_6), bill statement amounts (BILL_AMT1–6), and previous payment amounts (PAY_AMT1–6). The PAY_0–PAY_6 columns are particularly informative as they capture payment delinquency patterns directly correlated with default risk.</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3. Model Selection</w:t>
      </w:r>
    </w:p>
    <w:p>
      <w:pPr>
        <w:pStyle w:val="Heading2"/>
        <w:spacing w:after="120" w:before="280"/>
      </w:pPr>
      <w:r>
        <w:rPr>
          <w:rFonts w:ascii="Arial" w:cs="Arial" w:eastAsia="Arial" w:hAnsi="Arial"/>
          <w:b/>
          <w:bCs/>
          <w:color w:val="1F5C99"/>
          <w:sz w:val="28"/>
          <w:szCs w:val="28"/>
        </w:rPr>
        <w:t xml:space="preserve">3.1 Why These Four Models</w:t>
      </w:r>
    </w:p>
    <w:p>
      <w:pPr>
        <w:spacing w:after="100" w:before="60"/>
        <w:jc w:val="both"/>
      </w:pPr>
      <w:r>
        <w:rPr>
          <w:rFonts w:ascii="Arial" w:cs="Arial" w:eastAsia="Arial" w:hAnsi="Arial"/>
          <w:b w:val="false"/>
          <w:bCs w:val="false"/>
          <w:color w:val="000000"/>
          <w:sz w:val="22"/>
          <w:szCs w:val="22"/>
        </w:rPr>
        <w:t xml:space="preserve">The selection of Logistic Regression, Random Forest, LightGBM, and XGBoost was intentional and covers the full complexity spectrum of machine learning approaches for tabular binary classification. Together, they form a principled model family that progresses from interpretable linear models to high-capacity ensembles, allowing the evaluation to identify the best bias-variance tradeoff for this specific dataset.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Family</w:t>
            </w:r>
          </w:p>
        </w:tc>
        <w:tc>
          <w:tcPr>
            <w:tcW w:type="dxa" w:w="25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Strength</w:t>
            </w:r>
          </w:p>
        </w:tc>
        <w:tc>
          <w:tcPr>
            <w:tcW w:type="dxa" w:w="25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 in Pipeline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Logistic Regression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Linear</w:t>
            </w:r>
          </w:p>
        </w:tc>
        <w:tc>
          <w:tcPr>
            <w:tcW w:type="dxa" w:w="25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Interpretability, speed</w:t>
            </w:r>
          </w:p>
        </w:tc>
        <w:tc>
          <w:tcPr>
            <w:tcW w:type="dxa" w:w="25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Calibrated baseline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 Forest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Ensemble (Bagging)</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Robustness, low variance</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 non-linear baseline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LightGBM</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Gradient Boosting</w:t>
            </w:r>
          </w:p>
        </w:tc>
        <w:tc>
          <w:tcPr>
            <w:tcW w:type="dxa" w:w="25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Speed, large datasets</w:t>
            </w:r>
          </w:p>
        </w:tc>
        <w:tc>
          <w:tcPr>
            <w:tcW w:type="dxa" w:w="25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 boosted model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XGBoost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Gradient Boosting</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Regularisation, accuracy</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Regularised boosted model</w:t>
            </w:r>
          </w:p>
        </w:tc>
      </w:tr>
    </w:tbl>
    <w:p>
      <w:r>
        <w:rPr>
          <w:sz w:val="22"/>
          <w:szCs w:val="22"/>
        </w:rPr>
        <w:t xml:space="preserve"/>
      </w:r>
    </w:p>
    <w:p>
      <w:pPr>
        <w:pStyle w:val="Heading3"/>
        <w:spacing w:after="80" w:before="200"/>
      </w:pPr>
      <w:r>
        <w:rPr>
          <w:rFonts w:ascii="Arial" w:cs="Arial" w:eastAsia="Arial" w:hAnsi="Arial"/>
          <w:b/>
          <w:bCs/>
          <w:color w:val="595959"/>
          <w:sz w:val="24"/>
          <w:szCs w:val="24"/>
        </w:rPr>
        <w:t xml:space="preserve">3.1.1 Logistic Regression — Interpretable Baseline</w:t>
      </w:r>
    </w:p>
    <w:p>
      <w:pPr>
        <w:spacing w:after="100" w:before="60"/>
        <w:jc w:val="both"/>
      </w:pPr>
      <w:r>
        <w:rPr>
          <w:rFonts w:ascii="Arial" w:cs="Arial" w:eastAsia="Arial" w:hAnsi="Arial"/>
          <w:b w:val="false"/>
          <w:bCs w:val="false"/>
          <w:color w:val="000000"/>
          <w:sz w:val="22"/>
          <w:szCs w:val="22"/>
        </w:rPr>
        <w:t xml:space="preserve">Logistic Regression serves as the interpretable baseline. It is the industry standard first model in credit scoring for a reason: its coefficients can be directly mapped to feature importance and risk factors, satisfying regulatory interpretability requirements (such as Basel III model documentation). In this project, it is configured with L2 regularisation (C=0.1) and class_weight='balanced' to handle imbalance without resampling, and uses the lbfgs solver which is efficient for multi-dimensional problems. While it is not expected to achieve the highest F2, its performance provides a floor against which tree models are compared.</w:t>
      </w:r>
    </w:p>
    <w:p>
      <w:pPr>
        <w:pStyle w:val="Heading3"/>
        <w:spacing w:after="80" w:before="200"/>
      </w:pPr>
      <w:r>
        <w:rPr>
          <w:rFonts w:ascii="Arial" w:cs="Arial" w:eastAsia="Arial" w:hAnsi="Arial"/>
          <w:b/>
          <w:bCs/>
          <w:color w:val="595959"/>
          <w:sz w:val="24"/>
          <w:szCs w:val="24"/>
        </w:rPr>
        <w:t xml:space="preserve">3.1.2 Random Forest — Robust Non-Linear Baseline</w:t>
      </w:r>
    </w:p>
    <w:p>
      <w:pPr>
        <w:spacing w:after="100" w:before="60"/>
        <w:jc w:val="both"/>
      </w:pPr>
      <w:r>
        <w:rPr>
          <w:rFonts w:ascii="Arial" w:cs="Arial" w:eastAsia="Arial" w:hAnsi="Arial"/>
          <w:b w:val="false"/>
          <w:bCs w:val="false"/>
          <w:color w:val="000000"/>
          <w:sz w:val="22"/>
          <w:szCs w:val="22"/>
        </w:rPr>
        <w:t xml:space="preserve">Random Forest is a bagging ensemble of decision trees, each trained on a bootstrap sample with a random feature subset. It is highly robust to outliers and overfitting, provides built-in feature importance, and generalises well without extensive hyperparameter tuning. For the UCI dataset — which contains correlated PAY columns and non-linear interactions between payment history and bill amounts — a forest of 300 trees with max_depth=10 captures these relationships without memorising the training data. It ultimately achieved the best composite score (0.6504) in this project.</w:t>
      </w:r>
    </w:p>
    <w:p>
      <w:pPr>
        <w:pStyle w:val="Heading3"/>
        <w:spacing w:after="80" w:before="200"/>
      </w:pPr>
      <w:r>
        <w:rPr>
          <w:rFonts w:ascii="Arial" w:cs="Arial" w:eastAsia="Arial" w:hAnsi="Arial"/>
          <w:b/>
          <w:bCs/>
          <w:color w:val="595959"/>
          <w:sz w:val="24"/>
          <w:szCs w:val="24"/>
        </w:rPr>
        <w:t xml:space="preserve">3.1.3 LightGBM — Fast Gradient Boosting</w:t>
      </w:r>
    </w:p>
    <w:p>
      <w:pPr>
        <w:spacing w:after="100" w:before="60"/>
        <w:jc w:val="both"/>
      </w:pPr>
      <w:r>
        <w:rPr>
          <w:rFonts w:ascii="Arial" w:cs="Arial" w:eastAsia="Arial" w:hAnsi="Arial"/>
          <w:b w:val="false"/>
          <w:bCs w:val="false"/>
          <w:color w:val="000000"/>
          <w:sz w:val="22"/>
          <w:szCs w:val="22"/>
        </w:rPr>
        <w:t xml:space="preserve">LightGBM uses leaf-wise tree growth (as opposed to level-wise), making it significantly faster than XGBoost on datasets with many features. It is the preferred gradient boosting library for large structured datasets. The key distinction from XGBoost here is the use of is_unbalance=False — since data has already been resampled with SMOTE, double-counting the imbalance correction would miscalibrate probabilities. LightGBM is regularised with both L1 (reg_alpha=0.1) and L2 (reg_lambda=0.1) to prevent overfitting on the correlated PAY features.</w:t>
      </w:r>
    </w:p>
    <w:p>
      <w:pPr>
        <w:pStyle w:val="Heading3"/>
        <w:spacing w:after="80" w:before="200"/>
      </w:pPr>
      <w:r>
        <w:rPr>
          <w:rFonts w:ascii="Arial" w:cs="Arial" w:eastAsia="Arial" w:hAnsi="Arial"/>
          <w:b/>
          <w:bCs/>
          <w:color w:val="595959"/>
          <w:sz w:val="24"/>
          <w:szCs w:val="24"/>
        </w:rPr>
        <w:t xml:space="preserve">3.1.4 XGBoost — Regularised Gradient Boosting</w:t>
      </w:r>
    </w:p>
    <w:p>
      <w:pPr>
        <w:spacing w:after="100" w:before="60"/>
        <w:jc w:val="both"/>
      </w:pPr>
      <w:r>
        <w:rPr>
          <w:rFonts w:ascii="Arial" w:cs="Arial" w:eastAsia="Arial" w:hAnsi="Arial"/>
          <w:b w:val="false"/>
          <w:bCs w:val="false"/>
          <w:color w:val="000000"/>
          <w:sz w:val="22"/>
          <w:szCs w:val="22"/>
        </w:rPr>
        <w:t xml:space="preserve">XGBoost is the canonical regularised gradient boosting implementation. It differs from LightGBM in its level-wise tree growth strategy, which tends to produce more stable trees at the cost of slightly higher training time. The scale_pos_weight parameter is set dynamically based on the post-SMOTE class ratio (approximately 2.0), adding a second layer of imbalance correction complementary to the resampling. eval_metric='aucpr' focuses training optimisation on the Precision-Recall AUC — more appropriate than log-loss for imbalanced data.</w:t>
      </w:r>
    </w:p>
    <w:p>
      <w:r>
        <w:rPr>
          <w:sz w:val="22"/>
          <w:szCs w:val="22"/>
        </w:rPr>
        <w:t xml:space="preserve"/>
      </w:r>
    </w:p>
    <w:p>
      <w:pPr>
        <w:pStyle w:val="Heading2"/>
        <w:spacing w:after="120" w:before="280"/>
      </w:pPr>
      <w:r>
        <w:rPr>
          <w:rFonts w:ascii="Arial" w:cs="Arial" w:eastAsia="Arial" w:hAnsi="Arial"/>
          <w:b/>
          <w:bCs/>
          <w:color w:val="1F5C99"/>
          <w:sz w:val="28"/>
          <w:szCs w:val="28"/>
        </w:rPr>
        <w:t xml:space="preserve">3.2 Models Considered but Rejected</w:t>
      </w:r>
    </w:p>
    <w:p>
      <w:pPr>
        <w:spacing w:after="100" w:before="60"/>
        <w:jc w:val="both"/>
      </w:pPr>
      <w:r>
        <w:rPr>
          <w:rFonts w:ascii="Arial" w:cs="Arial" w:eastAsia="Arial" w:hAnsi="Arial"/>
          <w:b w:val="false"/>
          <w:bCs w:val="false"/>
          <w:color w:val="000000"/>
          <w:sz w:val="22"/>
          <w:szCs w:val="22"/>
        </w:rPr>
        <w:t xml:space="preserve">The following candidate models were evaluated at a design level and excluded for the reasons described: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 Considered</w:t>
            </w:r>
          </w:p>
        </w:tc>
        <w:tc>
          <w:tcPr>
            <w:tcW w:type="dxa" w:w="6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 for Exclusion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SVM</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Does not natively support predict_proba; poor scalability on 24,000+ rows without kernel tricks; calibration adds overhead without meaningful gain over tree ensembles on tabular data.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Naive Bayes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Assumes feature independence which is strongly violated — PAY columns are correlated with each other and with BILL_AMT columns. Produces poorly calibrated probabilities on structured financial data.</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KNN</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Computationally expensive at inference on 6,000+ test records with 23 features. Sensitive to irrelevant features and scale — unsuitable for a production loan scoring pipeline.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Neural Networks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Overkill for 30,000 tabular records. Gradient boosted trees consistently outperform MLPs on structured financial data (see tabular benchmarks). Interpretability also suffers without SHAP overhead.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CatBoost</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 performer, but LightGBM and XGBoost cover the gradient boosting family with more community tooling, better MLflow integration, and comparable performance on this dataset size.</w:t>
            </w:r>
          </w:p>
        </w:tc>
      </w:tr>
    </w:tbl>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4. Resampling Strategy — SMOTE Pipeline</w:t>
      </w:r>
    </w:p>
    <w:p>
      <w:pPr>
        <w:spacing w:after="100" w:before="60"/>
        <w:jc w:val="both"/>
      </w:pPr>
      <w:r>
        <w:rPr>
          <w:rFonts w:ascii="Arial" w:cs="Arial" w:eastAsia="Arial" w:hAnsi="Arial"/>
          <w:b w:val="false"/>
          <w:bCs w:val="false"/>
          <w:color w:val="000000"/>
          <w:sz w:val="22"/>
          <w:szCs w:val="22"/>
        </w:rPr>
        <w:t xml:space="preserve">The UCI dataset has a 78:22 class ratio. Left untreated, most models will optimise for the majority class, achieving high accuracy while predicting almost no defaults. A dedicated resampling strategy was designed to address this without introducing excessive artificial data.</w:t>
      </w:r>
    </w:p>
    <w:p>
      <w:pPr>
        <w:pStyle w:val="Heading2"/>
        <w:spacing w:after="120" w:before="280"/>
      </w:pPr>
      <w:r>
        <w:rPr>
          <w:rFonts w:ascii="Arial" w:cs="Arial" w:eastAsia="Arial" w:hAnsi="Arial"/>
          <w:b/>
          <w:bCs/>
          <w:color w:val="1F5C99"/>
          <w:sz w:val="28"/>
          <w:szCs w:val="28"/>
        </w:rPr>
        <w:t xml:space="preserve">4.1 The SMOTE + Under-Sampling Pipeline</w:t>
      </w:r>
    </w:p>
    <w:p>
      <w:pPr>
        <w:spacing w:after="100" w:before="60"/>
        <w:jc w:val="both"/>
      </w:pPr>
      <w:r>
        <w:rPr>
          <w:rFonts w:ascii="Arial" w:cs="Arial" w:eastAsia="Arial" w:hAnsi="Arial"/>
          <w:b w:val="false"/>
          <w:bCs w:val="false"/>
          <w:color w:val="000000"/>
          <w:sz w:val="22"/>
          <w:szCs w:val="22"/>
        </w:rPr>
        <w:t xml:space="preserve">Rather than a naive 1:1 SMOTE that would double the minority class, a two-stage pipeline was used:</w:t>
      </w:r>
    </w:p>
    <w:p>
      <w:pPr>
        <w:pStyle w:val="ListParagraph"/>
        <w:numPr>
          <w:ilvl w:val="0"/>
          <w:numId w:val="2"/>
        </w:numPr>
        <w:spacing w:after="60" w:before="40"/>
      </w:pPr>
      <w:r>
        <w:rPr>
          <w:rFonts w:ascii="Arial" w:cs="Arial" w:eastAsia="Arial" w:hAnsi="Arial"/>
          <w:sz w:val="22"/>
          <w:szCs w:val="22"/>
        </w:rPr>
        <w:t xml:space="preserve">Stage 1 — SMOTE (sampling_strategy=0.3): Generates synthetic minority samples until the minority class reaches 30% of the majority class size. Synthetic samples are created by interpolating between existing minority class feature vectors, preserving the underlying distribution.</w:t>
      </w:r>
    </w:p>
    <w:p>
      <w:pPr>
        <w:pStyle w:val="ListParagraph"/>
        <w:numPr>
          <w:ilvl w:val="0"/>
          <w:numId w:val="2"/>
        </w:numPr>
        <w:spacing w:after="60" w:before="40"/>
      </w:pPr>
      <w:r>
        <w:rPr>
          <w:rFonts w:ascii="Arial" w:cs="Arial" w:eastAsia="Arial" w:hAnsi="Arial"/>
          <w:sz w:val="22"/>
          <w:szCs w:val="22"/>
        </w:rPr>
        <w:t xml:space="preserve">Stage 2 — RandomUnderSampler (sampling_strategy=0.5): Removes majority class samples until the class ratio reaches 2:1 (negative:positive). This keeps the total training set size manageable (~16,000 records) and prevents over-representation of synthetic data.</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Final post-resampling class distribution: approximately 11,214 non-defaults and 5,607 defaults. This mild 2:1 ratio is intentional — over-resampling to 1:1 would produce a training distribution that does not reflect the true base rate of 22% defaults, causing calibrated probability outputs to be systematically overconfident.</w:t>
      </w:r>
    </w:p>
    <w:p>
      <w:pPr>
        <w:pStyle w:val="Heading2"/>
        <w:spacing w:after="120" w:before="280"/>
      </w:pPr>
      <w:r>
        <w:rPr>
          <w:rFonts w:ascii="Arial" w:cs="Arial" w:eastAsia="Arial" w:hAnsi="Arial"/>
          <w:b/>
          <w:bCs/>
          <w:color w:val="1F5C99"/>
          <w:sz w:val="28"/>
          <w:szCs w:val="28"/>
        </w:rPr>
        <w:t xml:space="preserve">4.2 Why SMOTE is Applied Only to Training Data</w:t>
      </w:r>
    </w:p>
    <w:p>
      <w:pPr>
        <w:spacing w:after="100" w:before="60"/>
        <w:jc w:val="both"/>
      </w:pPr>
      <w:r>
        <w:rPr>
          <w:rFonts w:ascii="Arial" w:cs="Arial" w:eastAsia="Arial" w:hAnsi="Arial"/>
          <w:b w:val="false"/>
          <w:bCs w:val="false"/>
          <w:color w:val="000000"/>
          <w:sz w:val="22"/>
          <w:szCs w:val="22"/>
        </w:rPr>
        <w:t xml:space="preserve">SMOTE is applied exclusively to the training split, never to the validation or test sets. The validation set (15% of original training data) is carved out before SMOTE runs, and the test set is kept entirely separate. This is critical: if synthetic samples from the same real data point appeared in both train and validation sets, it would constitute data leakage, producing optimistic threshold and metric estimates.</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5. Hyperparameter Configuration &amp; Tuning</w:t>
      </w:r>
    </w:p>
    <w:p>
      <w:pPr>
        <w:pStyle w:val="Heading2"/>
        <w:spacing w:after="120" w:before="280"/>
      </w:pPr>
      <w:r>
        <w:rPr>
          <w:rFonts w:ascii="Arial" w:cs="Arial" w:eastAsia="Arial" w:hAnsi="Arial"/>
          <w:b/>
          <w:bCs/>
          <w:color w:val="1F5C99"/>
          <w:sz w:val="28"/>
          <w:szCs w:val="28"/>
        </w:rPr>
        <w:t xml:space="preserve">5.1 Purpose of Hyperparameter Tuning</w:t>
      </w:r>
    </w:p>
    <w:p>
      <w:pPr>
        <w:spacing w:after="100" w:before="60"/>
        <w:jc w:val="both"/>
      </w:pPr>
      <w:r>
        <w:rPr>
          <w:rFonts w:ascii="Arial" w:cs="Arial" w:eastAsia="Arial" w:hAnsi="Arial"/>
          <w:b w:val="false"/>
          <w:bCs w:val="false"/>
          <w:color w:val="000000"/>
          <w:sz w:val="22"/>
          <w:szCs w:val="22"/>
        </w:rPr>
        <w:t xml:space="preserve">Hyperparameter tuning controls the complexity, regularisation, and learning behaviour of each model. Without tuning, default parameters are designed for balanced, general-purpose datasets — not for the specific constraints of credit default prediction on moderately imbalanced data with correlated features. The parameters were set based on domain knowledge, dataset size, and the SMOTE resampling applied, rather than a brute-force grid search. This approach is deliberate: grid search on SMOTE-resampled data with cross-validation is computationally expensive and prone to overfitting the CV procedure itself.</w:t>
      </w:r>
    </w:p>
    <w:p>
      <w:pPr>
        <w:pStyle w:val="Heading2"/>
        <w:spacing w:after="120" w:before="280"/>
      </w:pPr>
      <w:r>
        <w:rPr>
          <w:rFonts w:ascii="Arial" w:cs="Arial" w:eastAsia="Arial" w:hAnsi="Arial"/>
          <w:b/>
          <w:bCs/>
          <w:color w:val="1F5C99"/>
          <w:sz w:val="28"/>
          <w:szCs w:val="28"/>
        </w:rPr>
        <w:t xml:space="preserve">5.2 Logistic Regression Parameters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 (regularisation)</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 L2 regularisation. The PAY_0–PAY_6 columns are correlated; without regularisation, coefficients inflate and destabilise. C=0.1 keeps them bounded.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solver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lbfgs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L-BFGS-B is the most efficient solver for L2-penalised logistic regression on datasets with ~20 features. Converges in fewer iterations than liblinear.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max_iter</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100 is insufficient for convergence on resampled data with 27 features. 1000 guarantees convergence.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class_weight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balanced</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Automatically inversely weights samples by class frequency. Provides a second layer of imbalance handling on top of SMOTE.</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5.3 Random Forest Parameters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n_estimators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300 trees provides stable variance reduction. Beyond 500, gains are marginal for this dataset size while compute cost increases linearly.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max_depth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Limits tree depth to prevent overfitting on the ~16,000 resampled rows. Shallow trees (depth 5–6) underfit; deep trees (20+) memorise. Depth 10 balances these.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min_samples_leaf</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Requires at least 10 samples per leaf node. This smooths the decision boundary and prevents tiny leaf splits driven by SMOTE synthetic outliers.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class_weight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balanced</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Each tree weights minority class samples more heavily during split criterion calculation, complementing the SMOTE resampling.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max_features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sqrt</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sqrt(27) ≈ 5 features per split. Standard choice that ensures tree decorrelation — the key property that makes bagging effective.</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5.4 LightGBM Parameters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n_estimators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More trees are needed for boosting than bagging as each tree corrects residuals. 500 is standard for datasets of this size.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learning_rate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0.05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Low learning rate with more trees. Standard boosting practice: smaller steps produce better-generalising models than fewer large steps.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num_leaves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LightGBM default. Controls maximum tree complexity. 31 leaves provides sufficient capacity without overfitting on 16K rows.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min_child_samples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Minimum number of samples per leaf. Higher value (30 vs default 20) reduces overfit on SMOTE synthetic samples.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reg_alpha / reg_lambda</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 / 0.1</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L1 + L2 regularisation. L1 induces sparsity (irrelevant features get zero weight); L2 controls coefficient magnitude. Both are applied together for robustness.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is_unbalance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False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Disabled intentionally. Data is already resampled with SMOTE. Enabling this would double-count the correction, producing miscalibrated probabilities.</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5.5 XGBoost Parameters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n_estimators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Consistent with LightGBM. Enough trees to correct residuals across all feature interactions.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learning_rate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0.05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Conservative step size. Higher rates (0.1–0.3) converge faster but overfit more on the correlated PAY features.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max_depth</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XGBoost uses level-wise growth; depth 6 is the standard well-validated setting for tabular binary classification tasks.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min_child_weight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Minimum sum of instance weights per leaf. Higher value (5 vs default 1) prevents splits driven by small groups of SMOTE outliers.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subsample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0.8</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Row sampling per tree. Sampling 80% of rows per tree introduces stochasticity that acts as implicit regularisation and reduces variance.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colsample_bytree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0.8</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 sampling per tree. Sampling 80% of features per tree prevents co-adaptation between features and improves generalisation.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scale_pos_weight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(dynamic)</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Computed as neg_count / pos_count after SMOTE. Tells XGBoost to weight positive (default) samples 2x more in gradient computation.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eval_metric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aucpr</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Optimises training on Precision-Recall AUC. More appropriate than logloss for imbalanced classification where ROC-AUC can be misleadingly optimistic.</w:t>
            </w:r>
          </w:p>
        </w:tc>
      </w:tr>
    </w:tbl>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6. Metric Selection &amp; Justification</w:t>
      </w:r>
    </w:p>
    <w:p>
      <w:pPr>
        <w:pStyle w:val="Heading2"/>
        <w:spacing w:after="120" w:before="280"/>
      </w:pPr>
      <w:r>
        <w:rPr>
          <w:rFonts w:ascii="Arial" w:cs="Arial" w:eastAsia="Arial" w:hAnsi="Arial"/>
          <w:b/>
          <w:bCs/>
          <w:color w:val="1F5C99"/>
          <w:sz w:val="28"/>
          <w:szCs w:val="28"/>
        </w:rPr>
        <w:t xml:space="preserve">6.1 Why Standard Accuracy is Misleading Here</w:t>
      </w:r>
    </w:p>
    <w:p>
      <w:pPr>
        <w:spacing w:after="100" w:before="60"/>
        <w:jc w:val="both"/>
      </w:pPr>
      <w:r>
        <w:rPr>
          <w:rFonts w:ascii="Arial" w:cs="Arial" w:eastAsia="Arial" w:hAnsi="Arial"/>
          <w:b w:val="false"/>
          <w:bCs w:val="false"/>
          <w:color w:val="000000"/>
          <w:sz w:val="22"/>
          <w:szCs w:val="22"/>
        </w:rPr>
        <w:t xml:space="preserve">The UCI dataset has approximately 78% non-defaulters. A trivial classifier that predicts no-default for every customer achieves 78% accuracy without learning a single pattern. Optimising for accuracy in this context is equivalent to optimising for how well the model ignores the minority class. This is why accuracy is reported but never used as a selection criterion.</w:t>
      </w:r>
    </w:p>
    <w:p>
      <w:pPr>
        <w:pStyle w:val="Heading2"/>
        <w:spacing w:after="120" w:before="280"/>
      </w:pPr>
      <w:r>
        <w:rPr>
          <w:rFonts w:ascii="Arial" w:cs="Arial" w:eastAsia="Arial" w:hAnsi="Arial"/>
          <w:b/>
          <w:bCs/>
          <w:color w:val="1F5C99"/>
          <w:sz w:val="28"/>
          <w:szCs w:val="28"/>
        </w:rPr>
        <w:t xml:space="preserve">6.2 Composite Scoring Framework</w:t>
      </w:r>
    </w:p>
    <w:p>
      <w:pPr>
        <w:spacing w:after="100" w:before="60"/>
        <w:jc w:val="both"/>
      </w:pPr>
      <w:r>
        <w:rPr>
          <w:rFonts w:ascii="Arial" w:cs="Arial" w:eastAsia="Arial" w:hAnsi="Arial"/>
          <w:b w:val="false"/>
          <w:bCs w:val="false"/>
          <w:color w:val="000000"/>
          <w:sz w:val="22"/>
          <w:szCs w:val="22"/>
        </w:rPr>
        <w:t xml:space="preserve">A composite score aggregates four complementary metrics into a single selection criterion. Each metric captures a different dimension of model quality, and no single metric tells the complete story for imbalanced credit risk data: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1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Weight</w:t>
            </w:r>
          </w:p>
        </w:tc>
        <w:tc>
          <w:tcPr>
            <w:tcW w:type="dxa" w:w="6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Why It Was Chosen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F2 Score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40%</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 METRIC. Fβ with β=2 weights recall twice as heavily as precision. In credit default, a missed defaulter (false negative) costs the bank the entire loan principal. A wrongly flagged non-defaulter (false positive) costs only the opportunity of that loan. Asymmetric business cost justifies heavier recall weighting.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PR-AUC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25%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Precision-Recall AUC summarises model performance across all possible thresholds without requiring a fixed cutoff. Stricter than ROC-AUC for imbalanced data — a random classifier achieves ROC-AUC of 0.5 but PR-AUC equal to the class prevalence (~0.22). PR-AUC of 0.54 means meaningful signal above random.</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CV ROC-AUC</w:t>
            </w:r>
          </w:p>
        </w:tc>
        <w:tc>
          <w:tcPr>
            <w:tcW w:type="dxa" w:w="1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20%</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Cross-validated ROC-AUC measures generalisation stability, not just held-out test set performance. A model with high test ROC-AUC but high CV standard deviation is unreliable — it may have gotten lucky on the test split. CV-AUC ± std quantifies this.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ROC-AUC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Threshold-independent ranking metric on the held-out test set. Measures how well the model separates defaulters from non-defaulters across all possible thresholds. Included to capture overall discrimination ability.</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Accuracy</w:t>
            </w:r>
          </w:p>
        </w:tc>
        <w:tc>
          <w:tcPr>
            <w:tcW w:type="dxa" w:w="1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Excluded</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Deliberately excluded from composite scoring. At 78% class imbalance, a model that always predicts no-default achieves 78% accuracy with zero recall. Accuracy is reported for transparency but does not influence model selection.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Precision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Excluded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Excluded from composite to avoid the model gaming the metric by only flagging the most obvious defaulters (high precision, low recall). The precision floor of 0.40 in threshold optimisation ensures minimum operational viability without making precision a primary objective.</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6.3 The F2 Score — Mathematical Basis</w:t>
      </w:r>
    </w:p>
    <w:p>
      <w:pPr>
        <w:spacing w:after="100" w:before="60"/>
        <w:jc w:val="both"/>
      </w:pPr>
      <w:r>
        <w:rPr>
          <w:rFonts w:ascii="Arial" w:cs="Arial" w:eastAsia="Arial" w:hAnsi="Arial"/>
          <w:b w:val="false"/>
          <w:bCs w:val="false"/>
          <w:color w:val="000000"/>
          <w:sz w:val="22"/>
          <w:szCs w:val="22"/>
        </w:rPr>
        <w:t xml:space="preserve">The F2 score is a specific case of the general Fβ score formula:</w:t>
      </w:r>
    </w:p>
    <w:p>
      <w:pPr>
        <w:spacing w:after="120" w:before="120"/>
        <w:jc w:val="center"/>
      </w:pPr>
      <w:r>
        <w:rPr>
          <w:rFonts w:ascii="Courier New" w:cs="Courier New" w:eastAsia="Courier New" w:hAnsi="Courier New"/>
          <w:b/>
          <w:bCs/>
          <w:sz w:val="22"/>
          <w:szCs w:val="22"/>
        </w:rPr>
        <w:t xml:space="preserve">F2 = (1 + 4) × Precision × Recall / (4 × Precision + Recall)</w:t>
      </w:r>
    </w:p>
    <w:p>
      <w:pPr>
        <w:spacing w:after="100" w:before="60"/>
        <w:jc w:val="both"/>
      </w:pPr>
      <w:r>
        <w:rPr>
          <w:rFonts w:ascii="Arial" w:cs="Arial" w:eastAsia="Arial" w:hAnsi="Arial"/>
          <w:b w:val="false"/>
          <w:bCs w:val="false"/>
          <w:color w:val="000000"/>
          <w:sz w:val="22"/>
          <w:szCs w:val="22"/>
        </w:rPr>
        <w:t xml:space="preserve">Setting β=2 means recall is weighted four times as much as precision in the denominator (4×P vs 1×R). This directly reflects the asymmetric cost structure of credit default: missing a defaulter costs approximately 4–5× more than unnecessarily rejecting a good borrower, based on typical loss-given-default rates in consumer credit markets.</w:t>
      </w:r>
    </w:p>
    <w:p>
      <w:pPr>
        <w:pStyle w:val="Heading2"/>
        <w:spacing w:after="120" w:before="280"/>
      </w:pPr>
      <w:r>
        <w:rPr>
          <w:rFonts w:ascii="Arial" w:cs="Arial" w:eastAsia="Arial" w:hAnsi="Arial"/>
          <w:b/>
          <w:bCs/>
          <w:color w:val="1F5C99"/>
          <w:sz w:val="28"/>
          <w:szCs w:val="28"/>
        </w:rPr>
        <w:t xml:space="preserve">6.4 Threshold Optimisation with Precision Floor</w:t>
      </w:r>
    </w:p>
    <w:p>
      <w:pPr>
        <w:spacing w:after="100" w:before="60"/>
        <w:jc w:val="both"/>
      </w:pPr>
      <w:r>
        <w:rPr>
          <w:rFonts w:ascii="Arial" w:cs="Arial" w:eastAsia="Arial" w:hAnsi="Arial"/>
          <w:b w:val="false"/>
          <w:bCs w:val="false"/>
          <w:color w:val="000000"/>
          <w:sz w:val="22"/>
          <w:szCs w:val="22"/>
        </w:rPr>
        <w:t xml:space="preserve">Instead of using the default 0.5 decision threshold, an optimal threshold is identified by sweeping the precision-recall curve and selecting the threshold that maximises F2 score subject to the constraint that precision is at least 40%. This constraint prevents the optimiser from selecting absurdly low thresholds (such as 0.02) that would flag almost everyone as a defaulter — maximising recall at the cost of making the model operationally useless.</w:t>
      </w:r>
    </w:p>
    <w:p>
      <w:pPr>
        <w:spacing w:after="100" w:before="60"/>
        <w:jc w:val="both"/>
      </w:pPr>
      <w:r>
        <w:rPr>
          <w:rFonts w:ascii="Arial" w:cs="Arial" w:eastAsia="Arial" w:hAnsi="Arial"/>
          <w:b w:val="false"/>
          <w:bCs w:val="false"/>
          <w:color w:val="000000"/>
          <w:sz w:val="22"/>
          <w:szCs w:val="22"/>
        </w:rPr>
        <w:t xml:space="preserve">The threshold is tuned on the held-out validation set (not the test set) and applied to the test set for final evaluation. This separation prevents threshold leakage — a subtle form of data leakage where optimising the decision boundary on the same data used for evaluation produces falsely optimistic metrics.</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7. Probability Calibration</w:t>
      </w:r>
    </w:p>
    <w:p>
      <w:pPr>
        <w:pStyle w:val="Heading2"/>
        <w:spacing w:after="120" w:before="280"/>
      </w:pPr>
      <w:r>
        <w:rPr>
          <w:rFonts w:ascii="Arial" w:cs="Arial" w:eastAsia="Arial" w:hAnsi="Arial"/>
          <w:b/>
          <w:bCs/>
          <w:color w:val="1F5C99"/>
          <w:sz w:val="28"/>
          <w:szCs w:val="28"/>
        </w:rPr>
        <w:t xml:space="preserve">7.1 Why Calibration is Necessary</w:t>
      </w:r>
    </w:p>
    <w:p>
      <w:pPr>
        <w:spacing w:after="100" w:before="60"/>
        <w:jc w:val="both"/>
      </w:pPr>
      <w:r>
        <w:rPr>
          <w:rFonts w:ascii="Arial" w:cs="Arial" w:eastAsia="Arial" w:hAnsi="Arial"/>
          <w:b w:val="false"/>
          <w:bCs w:val="false"/>
          <w:color w:val="000000"/>
          <w:sz w:val="22"/>
          <w:szCs w:val="22"/>
        </w:rPr>
        <w:t xml:space="preserve">After SMOTE resampling, raw model probability outputs are systematically overconfident. A model trained on artificially balanced data learns that defaults are more common than they actually are, causing it to output inflated default probabilities. For example, if the model outputs P(default)=0.7, this should mean approximately 70% of customers with that score actually default — but without calibration, it may only be 40%.</w:t>
      </w:r>
    </w:p>
    <w:p>
      <w:pPr>
        <w:spacing w:after="100" w:before="60"/>
        <w:jc w:val="both"/>
      </w:pPr>
      <w:r>
        <w:rPr>
          <w:rFonts w:ascii="Arial" w:cs="Arial" w:eastAsia="Arial" w:hAnsi="Arial"/>
          <w:b w:val="false"/>
          <w:bCs w:val="false"/>
          <w:color w:val="000000"/>
          <w:sz w:val="22"/>
          <w:szCs w:val="22"/>
        </w:rPr>
        <w:t xml:space="preserve">In a loan approval pipeline, uncalibrated probabilities are dangerous: risk-based pricing, portfolio-level loss estimates, and regulatory capital calculations all depend on reliable probability outputs. A model with excellent discrimination (high ROC-AUC) but poor calibration can still produce misleading risk scores.</w:t>
      </w:r>
    </w:p>
    <w:p>
      <w:pPr>
        <w:pStyle w:val="Heading2"/>
        <w:spacing w:after="120" w:before="280"/>
      </w:pPr>
      <w:r>
        <w:rPr>
          <w:rFonts w:ascii="Arial" w:cs="Arial" w:eastAsia="Arial" w:hAnsi="Arial"/>
          <w:b/>
          <w:bCs/>
          <w:color w:val="1F5C99"/>
          <w:sz w:val="28"/>
          <w:szCs w:val="28"/>
        </w:rPr>
        <w:t xml:space="preserve">7.2 Isotonic Calibration — Method and Choice</w:t>
      </w:r>
    </w:p>
    <w:p>
      <w:pPr>
        <w:spacing w:after="100" w:before="60"/>
        <w:jc w:val="both"/>
      </w:pPr>
      <w:r>
        <w:rPr>
          <w:rFonts w:ascii="Arial" w:cs="Arial" w:eastAsia="Arial" w:hAnsi="Arial"/>
          <w:b w:val="false"/>
          <w:bCs w:val="false"/>
          <w:color w:val="000000"/>
          <w:sz w:val="22"/>
          <w:szCs w:val="22"/>
        </w:rPr>
        <w:t xml:space="preserve">Isotonic regression calibration (cv='prefit') is applied to each model after it is fitted on the full resampled training set. The calibration fitting uses the same resampled training data via the 'prefit' mode, which means the base model's parameters are frozen and only the calibration mapping is learned.</w:t>
      </w:r>
    </w:p>
    <w:p>
      <w:pPr>
        <w:spacing w:after="100" w:before="60"/>
        <w:jc w:val="both"/>
      </w:pPr>
      <w:r>
        <w:rPr>
          <w:rFonts w:ascii="Arial" w:cs="Arial" w:eastAsia="Arial" w:hAnsi="Arial"/>
          <w:b w:val="false"/>
          <w:bCs w:val="false"/>
          <w:color w:val="000000"/>
          <w:sz w:val="22"/>
          <w:szCs w:val="22"/>
        </w:rPr>
        <w:t xml:space="preserve">Isotonic calibration was chosen over Platt scaling (sigmoid calibration) because: (1) it is non-parametric and makes no assumption about the shape of the calibration curve, (2) it consistently outperforms Platt scaling when the calibration dataset has more than ~1,000 samples, and (3) it handles the non-monotonic miscalibration introduced by SMOTE more effectively than a simple sigmoid transformation.</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8. Cross-Validation Strategy</w:t>
      </w:r>
    </w:p>
    <w:p>
      <w:pPr>
        <w:pStyle w:val="Heading2"/>
        <w:spacing w:after="120" w:before="280"/>
      </w:pPr>
      <w:r>
        <w:rPr>
          <w:rFonts w:ascii="Arial" w:cs="Arial" w:eastAsia="Arial" w:hAnsi="Arial"/>
          <w:b/>
          <w:bCs/>
          <w:color w:val="1F5C99"/>
          <w:sz w:val="28"/>
          <w:szCs w:val="28"/>
        </w:rPr>
        <w:t xml:space="preserve">8.1 Stratified K-Fold CV</w:t>
      </w:r>
    </w:p>
    <w:p>
      <w:pPr>
        <w:spacing w:after="100" w:before="60"/>
        <w:jc w:val="both"/>
      </w:pPr>
      <w:r>
        <w:rPr>
          <w:rFonts w:ascii="Arial" w:cs="Arial" w:eastAsia="Arial" w:hAnsi="Arial"/>
          <w:b w:val="false"/>
          <w:bCs w:val="false"/>
          <w:color w:val="000000"/>
          <w:sz w:val="22"/>
          <w:szCs w:val="22"/>
        </w:rPr>
        <w:t xml:space="preserve">Five-fold stratified cross-validation is performed on the resampled training data before the final model fit. Stratified folds preserve the class ratio in each fold — essential for imbalanced data where random folds could place all minorities in one fold. Five folds were chosen as the standard balance between variance (too few folds) and computation (too many folds).</w:t>
      </w:r>
    </w:p>
    <w:p>
      <w:pPr>
        <w:spacing w:after="100" w:before="60"/>
        <w:jc w:val="both"/>
      </w:pPr>
      <w:r>
        <w:rPr>
          <w:rFonts w:ascii="Arial" w:cs="Arial" w:eastAsia="Arial" w:hAnsi="Arial"/>
          <w:b w:val="false"/>
          <w:bCs w:val="false"/>
          <w:color w:val="000000"/>
          <w:sz w:val="22"/>
          <w:szCs w:val="22"/>
        </w:rPr>
        <w:t xml:space="preserve">Cross-validation is performed on the resampled data (post-SMOTE) rather than the original training data. This is intentional: the model will ultimately be trained on resampled data, so CV should simulate the same training distribution. The metrics collected are ROC-AUC and F2 across all five folds.</w:t>
      </w:r>
    </w:p>
    <w:p>
      <w:pPr>
        <w:pStyle w:val="Heading2"/>
        <w:spacing w:after="120" w:before="280"/>
      </w:pPr>
      <w:r>
        <w:rPr>
          <w:rFonts w:ascii="Arial" w:cs="Arial" w:eastAsia="Arial" w:hAnsi="Arial"/>
          <w:b/>
          <w:bCs/>
          <w:color w:val="1F5C99"/>
          <w:sz w:val="28"/>
          <w:szCs w:val="28"/>
        </w:rPr>
        <w:t xml:space="preserve">8.2 What CV Metrics Tell Us</w:t>
      </w:r>
    </w:p>
    <w:p>
      <w:pPr>
        <w:spacing w:after="100" w:before="60"/>
        <w:jc w:val="both"/>
      </w:pPr>
      <w:r>
        <w:rPr>
          <w:rFonts w:ascii="Arial" w:cs="Arial" w:eastAsia="Arial" w:hAnsi="Arial"/>
          <w:b w:val="false"/>
          <w:bCs w:val="false"/>
          <w:color w:val="000000"/>
          <w:sz w:val="22"/>
          <w:szCs w:val="22"/>
        </w:rPr>
        <w:t xml:space="preserve">The mean and standard deviation of CV ROC-AUC across folds reveal two things: (1) the mean indicates expected generalisation performance, and (2) the standard deviation indicates stability. A model with mean CV-AUC 0.78 and std 0.013 is meaningfully different from one with mean 0.78 and std 0.05 — the latter is unreliable and sensitive to which data it sees during training.</w:t>
      </w:r>
    </w:p>
    <w:p>
      <w:pPr>
        <w:spacing w:after="100" w:before="60"/>
        <w:jc w:val="both"/>
      </w:pPr>
      <w:r>
        <w:rPr>
          <w:rFonts w:ascii="Arial" w:cs="Arial" w:eastAsia="Arial" w:hAnsi="Arial"/>
          <w:b w:val="false"/>
          <w:bCs w:val="false"/>
          <w:color w:val="000000"/>
          <w:sz w:val="22"/>
          <w:szCs w:val="22"/>
        </w:rPr>
        <w:t xml:space="preserve">All four models in this project exhibited low CV standard deviation (0.013–0.016), indicating stable generalisation and low sensitivity to training data splits — a desirable property for a production credit risk model.</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9. Model Evaluation Pipeline</w:t>
      </w:r>
    </w:p>
    <w:p>
      <w:pPr>
        <w:pStyle w:val="Heading2"/>
        <w:spacing w:after="120" w:before="280"/>
      </w:pPr>
      <w:r>
        <w:rPr>
          <w:rFonts w:ascii="Arial" w:cs="Arial" w:eastAsia="Arial" w:hAnsi="Arial"/>
          <w:b/>
          <w:bCs/>
          <w:color w:val="1F5C99"/>
          <w:sz w:val="28"/>
          <w:szCs w:val="28"/>
        </w:rPr>
        <w:t xml:space="preserve">9.1 Evaluation Workflow</w:t>
      </w:r>
    </w:p>
    <w:p>
      <w:pPr>
        <w:spacing w:after="100" w:before="60"/>
        <w:jc w:val="both"/>
      </w:pPr>
      <w:r>
        <w:rPr>
          <w:rFonts w:ascii="Arial" w:cs="Arial" w:eastAsia="Arial" w:hAnsi="Arial"/>
          <w:b w:val="false"/>
          <w:bCs w:val="false"/>
          <w:color w:val="000000"/>
          <w:sz w:val="22"/>
          <w:szCs w:val="22"/>
        </w:rPr>
        <w:t xml:space="preserve">The evaluation pipeline (ModelEvaluator) runs after training and performs the following steps in sequence:</w:t>
      </w:r>
    </w:p>
    <w:p>
      <w:pPr>
        <w:pStyle w:val="ListParagraph"/>
        <w:numPr>
          <w:ilvl w:val="0"/>
          <w:numId w:val="2"/>
        </w:numPr>
        <w:spacing w:after="60" w:before="40"/>
      </w:pPr>
      <w:r>
        <w:rPr>
          <w:rFonts w:ascii="Arial" w:cs="Arial" w:eastAsia="Arial" w:hAnsi="Arial"/>
          <w:sz w:val="22"/>
          <w:szCs w:val="22"/>
        </w:rPr>
        <w:t xml:space="preserve">Loads the test set (x_test, y_test) from the processed artifacts directory — data that no model has ever seen during training, resampling, or threshold tuning.</w:t>
      </w:r>
    </w:p>
    <w:p>
      <w:pPr>
        <w:pStyle w:val="ListParagraph"/>
        <w:numPr>
          <w:ilvl w:val="0"/>
          <w:numId w:val="2"/>
        </w:numPr>
        <w:spacing w:after="60" w:before="40"/>
      </w:pPr>
      <w:r>
        <w:rPr>
          <w:rFonts w:ascii="Arial" w:cs="Arial" w:eastAsia="Arial" w:hAnsi="Arial"/>
          <w:sz w:val="22"/>
          <w:szCs w:val="22"/>
        </w:rPr>
        <w:t xml:space="preserve">Loads each model's joblib payload: a dictionary containing the calibrated model object and the optimal threshold identified on the validation set.</w:t>
      </w:r>
    </w:p>
    <w:p>
      <w:pPr>
        <w:pStyle w:val="ListParagraph"/>
        <w:numPr>
          <w:ilvl w:val="0"/>
          <w:numId w:val="2"/>
        </w:numPr>
        <w:spacing w:after="60" w:before="40"/>
      </w:pPr>
      <w:r>
        <w:rPr>
          <w:rFonts w:ascii="Arial" w:cs="Arial" w:eastAsia="Arial" w:hAnsi="Arial"/>
          <w:sz w:val="22"/>
          <w:szCs w:val="22"/>
        </w:rPr>
        <w:t xml:space="preserve">Applies the stored threshold (not 0.5) to model probabilities, producing predictions that reflect the business-optimised operating point.</w:t>
      </w:r>
    </w:p>
    <w:p>
      <w:pPr>
        <w:pStyle w:val="ListParagraph"/>
        <w:numPr>
          <w:ilvl w:val="0"/>
          <w:numId w:val="2"/>
        </w:numPr>
        <w:spacing w:after="60" w:before="40"/>
      </w:pPr>
      <w:r>
        <w:rPr>
          <w:rFonts w:ascii="Arial" w:cs="Arial" w:eastAsia="Arial" w:hAnsi="Arial"/>
          <w:sz w:val="22"/>
          <w:szCs w:val="22"/>
        </w:rPr>
        <w:t xml:space="preserve">Computes all metrics: accuracy, precision, recall, F1, F2, ROC-AUC, PR-AUC, and composite score.</w:t>
      </w:r>
    </w:p>
    <w:p>
      <w:pPr>
        <w:pStyle w:val="ListParagraph"/>
        <w:numPr>
          <w:ilvl w:val="0"/>
          <w:numId w:val="2"/>
        </w:numPr>
        <w:spacing w:after="60" w:before="40"/>
      </w:pPr>
      <w:r>
        <w:rPr>
          <w:rFonts w:ascii="Arial" w:cs="Arial" w:eastAsia="Arial" w:hAnsi="Arial"/>
          <w:sz w:val="22"/>
          <w:szCs w:val="22"/>
        </w:rPr>
        <w:t xml:space="preserve">Generates a confusion matrix for each model saved to artifacts/evaluation/, using the optimal threshold.</w:t>
      </w:r>
    </w:p>
    <w:p>
      <w:pPr>
        <w:pStyle w:val="ListParagraph"/>
        <w:numPr>
          <w:ilvl w:val="0"/>
          <w:numId w:val="2"/>
        </w:numPr>
        <w:spacing w:after="60" w:before="40"/>
      </w:pPr>
      <w:r>
        <w:rPr>
          <w:rFonts w:ascii="Arial" w:cs="Arial" w:eastAsia="Arial" w:hAnsi="Arial"/>
          <w:sz w:val="22"/>
          <w:szCs w:val="22"/>
        </w:rPr>
        <w:t xml:space="preserve">Saves a leaderboard CSV and a full evaluation JSON report for audit and reproducibility.</w:t>
      </w:r>
    </w:p>
    <w:p>
      <w:pPr>
        <w:pStyle w:val="ListParagraph"/>
        <w:numPr>
          <w:ilvl w:val="0"/>
          <w:numId w:val="2"/>
        </w:numPr>
        <w:spacing w:after="60" w:before="40"/>
      </w:pPr>
      <w:r>
        <w:rPr>
          <w:rFonts w:ascii="Arial" w:cs="Arial" w:eastAsia="Arial" w:hAnsi="Arial"/>
          <w:sz w:val="22"/>
          <w:szCs w:val="22"/>
        </w:rPr>
        <w:t xml:space="preserve">Registers the best model (by composite score) in the MLflow Model Registry as 'SmartLoan_BestModel'.</w:t>
      </w:r>
    </w:p>
    <w:p>
      <w:pPr>
        <w:pStyle w:val="Heading2"/>
        <w:spacing w:after="120" w:before="280"/>
      </w:pPr>
      <w:r>
        <w:rPr>
          <w:rFonts w:ascii="Arial" w:cs="Arial" w:eastAsia="Arial" w:hAnsi="Arial"/>
          <w:b/>
          <w:bCs/>
          <w:color w:val="1F5C99"/>
          <w:sz w:val="28"/>
          <w:szCs w:val="28"/>
        </w:rPr>
        <w:t xml:space="preserve">9.2 Final Results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30"/>
        <w:gridCol w:w="1130"/>
      </w:tblGrid>
      <w:tr>
        <w:tc>
          <w:tcPr>
            <w:tcW w:type="dxa" w:w="17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w:t>
            </w:r>
          </w:p>
        </w:tc>
        <w:tc>
          <w:tcPr>
            <w:tcW w:type="dxa" w:w="11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Threshold</w:t>
            </w:r>
          </w:p>
        </w:tc>
        <w:tc>
          <w:tcPr>
            <w:tcW w:type="dxa" w:w="11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Accuracy</w:t>
            </w:r>
          </w:p>
        </w:tc>
        <w:tc>
          <w:tcPr>
            <w:tcW w:type="dxa" w:w="11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Precision</w:t>
            </w:r>
          </w:p>
        </w:tc>
        <w:tc>
          <w:tcPr>
            <w:tcW w:type="dxa" w:w="11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Recall</w:t>
            </w:r>
          </w:p>
        </w:tc>
        <w:tc>
          <w:tcPr>
            <w:tcW w:type="dxa" w:w="11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F2</w:t>
            </w:r>
          </w:p>
        </w:tc>
        <w:tc>
          <w:tcPr>
            <w:tcW w:type="dxa" w:w="113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ROC-AUC</w:t>
            </w:r>
          </w:p>
        </w:tc>
        <w:tc>
          <w:tcPr>
            <w:tcW w:type="dxa" w:w="113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Composite</w:t>
            </w:r>
          </w:p>
        </w:tc>
      </w:tr>
      <w:tr>
        <w:tc>
          <w:tcPr>
            <w:tcW w:type="dxa" w:w="17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Random Forest</w:t>
            </w:r>
          </w:p>
        </w:tc>
        <w:tc>
          <w:tcPr>
            <w:tcW w:type="dxa" w:w="1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0.339</w:t>
            </w:r>
          </w:p>
        </w:tc>
        <w:tc>
          <w:tcPr>
            <w:tcW w:type="dxa" w:w="1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0.703</w:t>
            </w:r>
          </w:p>
        </w:tc>
        <w:tc>
          <w:tcPr>
            <w:tcW w:type="dxa" w:w="1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0.402</w:t>
            </w:r>
          </w:p>
        </w:tc>
        <w:tc>
          <w:tcPr>
            <w:tcW w:type="dxa" w:w="1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0.696</w:t>
            </w:r>
          </w:p>
        </w:tc>
        <w:tc>
          <w:tcPr>
            <w:tcW w:type="dxa" w:w="11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0.607</w:t>
            </w:r>
          </w:p>
        </w:tc>
        <w:tc>
          <w:tcPr>
            <w:tcW w:type="dxa" w:w="113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0.778</w:t>
            </w:r>
          </w:p>
        </w:tc>
        <w:tc>
          <w:tcPr>
            <w:tcW w:type="dxa" w:w="113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0.650 ✓</w:t>
            </w:r>
          </w:p>
        </w:tc>
      </w:tr>
      <w:tr>
        <w:tc>
          <w:tcPr>
            <w:tcW w:type="dxa" w:w="17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XGBoost</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0.183</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0.702</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0.399</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0.692</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0.603</w:t>
            </w:r>
          </w:p>
        </w:tc>
        <w:tc>
          <w:tcPr>
            <w:tcW w:type="dxa" w:w="113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0.766</w:t>
            </w:r>
          </w:p>
        </w:tc>
        <w:tc>
          <w:tcPr>
            <w:tcW w:type="dxa" w:w="113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0.643</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LightGBM</w:t>
            </w:r>
          </w:p>
        </w:tc>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0.219</w:t>
            </w:r>
          </w:p>
        </w:tc>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0.710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0.407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0.687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0.604</w:t>
            </w:r>
          </w:p>
        </w:tc>
        <w:tc>
          <w:tcPr>
            <w:tcW w:type="dxa" w:w="11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0.770</w:t>
            </w:r>
          </w:p>
        </w:tc>
        <w:tc>
          <w:tcPr>
            <w:tcW w:type="dxa" w:w="113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0.642</w:t>
            </w:r>
          </w:p>
        </w:tc>
      </w:tr>
      <w:tr>
        <w:tc>
          <w:tcPr>
            <w:tcW w:type="dxa" w:w="17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Logistic Regression</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0.254</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0.688</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0.381</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0.657</w:t>
            </w:r>
          </w:p>
        </w:tc>
        <w:tc>
          <w:tcPr>
            <w:tcW w:type="dxa" w:w="1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0.574</w:t>
            </w:r>
          </w:p>
        </w:tc>
        <w:tc>
          <w:tcPr>
            <w:tcW w:type="dxa" w:w="113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0.737</w:t>
            </w:r>
          </w:p>
        </w:tc>
        <w:tc>
          <w:tcPr>
            <w:tcW w:type="dxa" w:w="113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0.610</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9.3 Best Model Analysis — Random Forest</w:t>
      </w:r>
    </w:p>
    <w:p>
      <w:pPr>
        <w:spacing w:after="100" w:before="60"/>
        <w:jc w:val="both"/>
      </w:pPr>
      <w:r>
        <w:rPr>
          <w:rFonts w:ascii="Arial" w:cs="Arial" w:eastAsia="Arial" w:hAnsi="Arial"/>
          <w:b w:val="false"/>
          <w:bCs w:val="false"/>
          <w:color w:val="000000"/>
          <w:sz w:val="22"/>
          <w:szCs w:val="22"/>
        </w:rPr>
        <w:t xml:space="preserve">Random Forest was selected as the best model with a composite score of 0.650. Its key advantages over the gradient boosting models in this specific evaluation were:</w:t>
      </w:r>
    </w:p>
    <w:p>
      <w:pPr>
        <w:pStyle w:val="ListParagraph"/>
        <w:numPr>
          <w:ilvl w:val="0"/>
          <w:numId w:val="2"/>
        </w:numPr>
        <w:spacing w:after="60" w:before="40"/>
      </w:pPr>
      <w:r>
        <w:rPr>
          <w:rFonts w:ascii="Arial" w:cs="Arial" w:eastAsia="Arial" w:hAnsi="Arial"/>
          <w:sz w:val="22"/>
          <w:szCs w:val="22"/>
        </w:rPr>
        <w:t xml:space="preserve">Highest ROC-AUC (0.778): Best overall discrimination between defaulters and non-defaulters across all thresholds.</w:t>
      </w:r>
    </w:p>
    <w:p>
      <w:pPr>
        <w:pStyle w:val="ListParagraph"/>
        <w:numPr>
          <w:ilvl w:val="0"/>
          <w:numId w:val="2"/>
        </w:numPr>
        <w:spacing w:after="60" w:before="40"/>
      </w:pPr>
      <w:r>
        <w:rPr>
          <w:rFonts w:ascii="Arial" w:cs="Arial" w:eastAsia="Arial" w:hAnsi="Arial"/>
          <w:sz w:val="22"/>
          <w:szCs w:val="22"/>
        </w:rPr>
        <w:t xml:space="preserve">Best PR-AUC (0.537): Strongest performance on the precision-recall curve, directly impacting the 25% weighted component.</w:t>
      </w:r>
    </w:p>
    <w:p>
      <w:pPr>
        <w:pStyle w:val="ListParagraph"/>
        <w:numPr>
          <w:ilvl w:val="0"/>
          <w:numId w:val="2"/>
        </w:numPr>
        <w:spacing w:after="60" w:before="40"/>
      </w:pPr>
      <w:r>
        <w:rPr>
          <w:rFonts w:ascii="Arial" w:cs="Arial" w:eastAsia="Arial" w:hAnsi="Arial"/>
          <w:sz w:val="22"/>
          <w:szCs w:val="22"/>
        </w:rPr>
        <w:t xml:space="preserve">Highest F2 (0.607): Best recall-weighted classification performance at the optimal threshold.</w:t>
      </w:r>
    </w:p>
    <w:p>
      <w:pPr>
        <w:pStyle w:val="ListParagraph"/>
        <w:numPr>
          <w:ilvl w:val="0"/>
          <w:numId w:val="2"/>
        </w:numPr>
        <w:spacing w:after="60" w:before="40"/>
      </w:pPr>
      <w:r>
        <w:rPr>
          <w:rFonts w:ascii="Arial" w:cs="Arial" w:eastAsia="Arial" w:hAnsi="Arial"/>
          <w:sz w:val="22"/>
          <w:szCs w:val="22"/>
        </w:rPr>
        <w:t xml:space="preserve">Most stable threshold (0.339): The highest threshold among all models, indicating the model's probability outputs are better-calibrated and less aggressive in flagging defaults.</w:t>
      </w:r>
    </w:p>
    <w:p>
      <w:pPr>
        <w:pStyle w:val="ListParagraph"/>
        <w:numPr>
          <w:ilvl w:val="0"/>
          <w:numId w:val="2"/>
        </w:numPr>
        <w:spacing w:after="60" w:before="40"/>
      </w:pPr>
      <w:r>
        <w:rPr>
          <w:rFonts w:ascii="Arial" w:cs="Arial" w:eastAsia="Arial" w:hAnsi="Arial"/>
          <w:sz w:val="22"/>
          <w:szCs w:val="22"/>
        </w:rPr>
        <w:t xml:space="preserve">Low CV standard deviation (0.0155): Consistent performance across all five cross-validation folds.</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10. Experiment Tracking with MLflow</w:t>
      </w:r>
    </w:p>
    <w:p>
      <w:pPr>
        <w:spacing w:after="100" w:before="60"/>
        <w:jc w:val="both"/>
      </w:pPr>
      <w:r>
        <w:rPr>
          <w:rFonts w:ascii="Arial" w:cs="Arial" w:eastAsia="Arial" w:hAnsi="Arial"/>
          <w:b w:val="false"/>
          <w:bCs w:val="false"/>
          <w:color w:val="000000"/>
          <w:sz w:val="22"/>
          <w:szCs w:val="22"/>
        </w:rPr>
        <w:t xml:space="preserve">All model training runs are tracked using MLflow with a SQLite backend (mlflow.db). Every training run logs the following artifacts:</w:t>
      </w:r>
    </w:p>
    <w:p>
      <w:pPr>
        <w:pStyle w:val="ListParagraph"/>
        <w:numPr>
          <w:ilvl w:val="0"/>
          <w:numId w:val="2"/>
        </w:numPr>
        <w:spacing w:after="60" w:before="40"/>
      </w:pPr>
      <w:r>
        <w:rPr>
          <w:rFonts w:ascii="Arial" w:cs="Arial" w:eastAsia="Arial" w:hAnsi="Arial"/>
          <w:sz w:val="22"/>
          <w:szCs w:val="22"/>
        </w:rPr>
        <w:t xml:space="preserve">Parameters: All hyperparameters of the base model (via model.get_params()).</w:t>
      </w:r>
    </w:p>
    <w:p>
      <w:pPr>
        <w:pStyle w:val="ListParagraph"/>
        <w:numPr>
          <w:ilvl w:val="0"/>
          <w:numId w:val="2"/>
        </w:numPr>
        <w:spacing w:after="60" w:before="40"/>
      </w:pPr>
      <w:r>
        <w:rPr>
          <w:rFonts w:ascii="Arial" w:cs="Arial" w:eastAsia="Arial" w:hAnsi="Arial"/>
          <w:sz w:val="22"/>
          <w:szCs w:val="22"/>
        </w:rPr>
        <w:t xml:space="preserve">Metrics: threshold, accuracy, precision, recall, f1_score, f2_score, roc_auc, pr_auc, cv_roc_auc_mean, cv_roc_auc_std, cv_f2_mean, composite_score.</w:t>
      </w:r>
    </w:p>
    <w:p>
      <w:pPr>
        <w:pStyle w:val="ListParagraph"/>
        <w:numPr>
          <w:ilvl w:val="0"/>
          <w:numId w:val="2"/>
        </w:numPr>
        <w:spacing w:after="60" w:before="40"/>
      </w:pPr>
      <w:r>
        <w:rPr>
          <w:rFonts w:ascii="Arial" w:cs="Arial" w:eastAsia="Arial" w:hAnsi="Arial"/>
          <w:sz w:val="22"/>
          <w:szCs w:val="22"/>
        </w:rPr>
        <w:t xml:space="preserve">Model artifact: The calibrated sklearn model object stored under the run name.</w:t>
      </w:r>
    </w:p>
    <w:p>
      <w:pPr>
        <w:pStyle w:val="ListParagraph"/>
        <w:numPr>
          <w:ilvl w:val="0"/>
          <w:numId w:val="2"/>
        </w:numPr>
        <w:spacing w:after="60" w:before="40"/>
      </w:pPr>
      <w:r>
        <w:rPr>
          <w:rFonts w:ascii="Arial" w:cs="Arial" w:eastAsia="Arial" w:hAnsi="Arial"/>
          <w:sz w:val="22"/>
          <w:szCs w:val="22"/>
        </w:rPr>
        <w:t xml:space="preserve">Joblib payload: A dictionary {model, threshold} saved to artifacts/models/{name}.pkl for deterministic inference.</w:t>
      </w:r>
    </w:p>
    <w:p>
      <w:pPr>
        <w:spacing w:after="100" w:before="60"/>
        <w:jc w:val="both"/>
      </w:pPr>
      <w:r>
        <w:rPr>
          <w:rFonts w:ascii="Arial" w:cs="Arial" w:eastAsia="Arial" w:hAnsi="Arial"/>
          <w:b w:val="false"/>
          <w:bCs w:val="false"/>
          <w:color w:val="000000"/>
          <w:sz w:val="22"/>
          <w:szCs w:val="22"/>
        </w:rPr>
        <w:t xml:space="preserve">The experiment is named 'SmartLoan_UCI_CreditDefault'. Runs are identified by model name (e.g., 'RandomForest', 'XGBoost'). The best model is additionally registered in the MLflow Model Registry as 'SmartLoan_BestModel' with an auto-incremented version number, enabling versioned production deployment.</w:t>
      </w:r>
    </w:p>
    <w:p>
      <w:pPr>
        <w:spacing w:after="100" w:before="60"/>
        <w:jc w:val="both"/>
      </w:pPr>
      <w:r>
        <w:rPr>
          <w:rFonts w:ascii="Arial" w:cs="Arial" w:eastAsia="Arial" w:hAnsi="Arial"/>
          <w:b w:val="false"/>
          <w:bCs w:val="false"/>
          <w:color w:val="000000"/>
          <w:sz w:val="22"/>
          <w:szCs w:val="22"/>
        </w:rPr>
        <w:t xml:space="preserve">MLflow tracking provides complete reproducibility: any logged run can be re-loaded and re-evaluated using its run_id, ensuring that reported metrics match production model behaviour exactly.</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11. Conclusion</w:t>
      </w:r>
    </w:p>
    <w:p>
      <w:pPr>
        <w:spacing w:after="100" w:before="60"/>
        <w:jc w:val="both"/>
      </w:pPr>
      <w:r>
        <w:rPr>
          <w:rFonts w:ascii="Arial" w:cs="Arial" w:eastAsia="Arial" w:hAnsi="Arial"/>
          <w:b w:val="false"/>
          <w:bCs w:val="false"/>
          <w:color w:val="000000"/>
          <w:sz w:val="22"/>
          <w:szCs w:val="22"/>
        </w:rPr>
        <w:t xml:space="preserve">This project developed a production-grade credit default prediction pipeline that prioritises the correct business objective — catching defaulters — over misleading metrics like raw accuracy. The key design decisions and their justifications are:</w:t>
      </w:r>
    </w:p>
    <w:p>
      <w:pPr>
        <w:pStyle w:val="ListParagraph"/>
        <w:numPr>
          <w:ilvl w:val="0"/>
          <w:numId w:val="2"/>
        </w:numPr>
        <w:spacing w:after="60" w:before="40"/>
      </w:pPr>
      <w:r>
        <w:rPr>
          <w:rFonts w:ascii="Arial" w:cs="Arial" w:eastAsia="Arial" w:hAnsi="Arial"/>
          <w:sz w:val="22"/>
          <w:szCs w:val="22"/>
        </w:rPr>
        <w:t xml:space="preserve">Four models were selected to cover the full complexity spectrum: Logistic Regression as an interpretable baseline, Random Forest as a robust ensemble, and LightGBM and XGBoost as state-of-the-art gradient boosting implementations.</w:t>
      </w:r>
    </w:p>
    <w:p>
      <w:pPr>
        <w:pStyle w:val="ListParagraph"/>
        <w:numPr>
          <w:ilvl w:val="0"/>
          <w:numId w:val="2"/>
        </w:numPr>
        <w:spacing w:after="60" w:before="40"/>
      </w:pPr>
      <w:r>
        <w:rPr>
          <w:rFonts w:ascii="Arial" w:cs="Arial" w:eastAsia="Arial" w:hAnsi="Arial"/>
          <w:sz w:val="22"/>
          <w:szCs w:val="22"/>
        </w:rPr>
        <w:t xml:space="preserve">SMOTE with mild resampling (2:1 ratio, not 1:1) preserves realistic probability calibration while providing sufficient minority class signal for model learning.</w:t>
      </w:r>
    </w:p>
    <w:p>
      <w:pPr>
        <w:pStyle w:val="ListParagraph"/>
        <w:numPr>
          <w:ilvl w:val="0"/>
          <w:numId w:val="2"/>
        </w:numPr>
        <w:spacing w:after="60" w:before="40"/>
      </w:pPr>
      <w:r>
        <w:rPr>
          <w:rFonts w:ascii="Arial" w:cs="Arial" w:eastAsia="Arial" w:hAnsi="Arial"/>
          <w:sz w:val="22"/>
          <w:szCs w:val="22"/>
        </w:rPr>
        <w:t xml:space="preserve">Isotonic calibration corrects SMOTE-induced overconfidence in probability outputs, producing scores that are reliable for risk-based decision making.</w:t>
      </w:r>
    </w:p>
    <w:p>
      <w:pPr>
        <w:pStyle w:val="ListParagraph"/>
        <w:numPr>
          <w:ilvl w:val="0"/>
          <w:numId w:val="2"/>
        </w:numPr>
        <w:spacing w:after="60" w:before="40"/>
      </w:pPr>
      <w:r>
        <w:rPr>
          <w:rFonts w:ascii="Arial" w:cs="Arial" w:eastAsia="Arial" w:hAnsi="Arial"/>
          <w:sz w:val="22"/>
          <w:szCs w:val="22"/>
        </w:rPr>
        <w:t xml:space="preserve">The composite score (F2: 40%, PR-AUC: 25%, CV-AUC: 20%, ROC-AUC: 15%) reflects the asymmetric cost of credit default where missing a defaulter is significantly more costly than a false positive.</w:t>
      </w:r>
    </w:p>
    <w:p>
      <w:pPr>
        <w:pStyle w:val="ListParagraph"/>
        <w:numPr>
          <w:ilvl w:val="0"/>
          <w:numId w:val="2"/>
        </w:numPr>
        <w:spacing w:after="60" w:before="40"/>
      </w:pPr>
      <w:r>
        <w:rPr>
          <w:rFonts w:ascii="Arial" w:cs="Arial" w:eastAsia="Arial" w:hAnsi="Arial"/>
          <w:sz w:val="22"/>
          <w:szCs w:val="22"/>
        </w:rPr>
        <w:t xml:space="preserve">Threshold optimisation with a precision floor of 0.40 produces an operationally deployable model — avoiding the trap of extremely low thresholds that maximise recall by flagging nearly everyone.</w:t>
      </w:r>
    </w:p>
    <w:p>
      <w:pPr>
        <w:pStyle w:val="ListParagraph"/>
        <w:numPr>
          <w:ilvl w:val="0"/>
          <w:numId w:val="2"/>
        </w:numPr>
        <w:spacing w:after="60" w:before="40"/>
      </w:pPr>
      <w:r>
        <w:rPr>
          <w:rFonts w:ascii="Arial" w:cs="Arial" w:eastAsia="Arial" w:hAnsi="Arial"/>
          <w:sz w:val="22"/>
          <w:szCs w:val="22"/>
        </w:rPr>
        <w:t xml:space="preserve">Strict data hygiene (validation split before SMOTE, threshold tuned on validation only, final metrics on untouched test set) ensures reported metrics reflect true generalisation, not optimistic in-sample estimates.</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final selected model — Random Forest with threshold 0.339 — achieves 70.3% accuracy, 69.6% recall, 60.7% F2, and 77.8% ROC-AUC on the held-out test set. These results represent a model that catches approximately 7 in 10 actual defaulters while maintaining operational precision above the minimum viability threshold.</w:t>
      </w:r>
    </w:p>
    <w:p>
      <w:r>
        <w:rPr>
          <w:sz w:val="22"/>
          <w:szCs w:val="22"/>
        </w:rPr>
        <w:t xml:space="preserve"/>
      </w:r>
    </w:p>
    <w:sectPr>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SmartLoan Credit Default Prediction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2026-04-12T20:48:12.981Z</dcterms:created>
  <dcterms:modified xsi:type="dcterms:W3CDTF">2026-04-12T20:48:12.982Z</dcterms:modified>
</cp:coreProperties>
</file>

<file path=docProps/custom.xml><?xml version="1.0" encoding="utf-8"?>
<Properties xmlns="http://schemas.openxmlformats.org/officeDocument/2006/custom-properties" xmlns:vt="http://schemas.openxmlformats.org/officeDocument/2006/docPropsVTypes"/>
</file>