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80" w:before="0"/>
        <w:jc w:val="center"/>
      </w:pPr>
      <w:r>
        <w:rPr>
          <w:rFonts w:ascii="Arial" w:cs="Arial" w:eastAsia="Arial" w:hAnsi="Arial"/>
          <w:b/>
          <w:bCs/>
          <w:color w:val="1F3864"/>
          <w:sz w:val="52"/>
          <w:szCs w:val="52"/>
        </w:rPr>
        <w:t xml:space="preserve">SmartLoan Credit Default Prediction</w:t>
      </w:r>
    </w:p>
    <w:p>
      <w:pPr>
        <w:pBdr>
          <w:bottom w:val="single" w:color="2E75B6" w:sz="8" w:space="6"/>
        </w:pBdr>
        <w:spacing w:after="200" w:before="0"/>
        <w:jc w:val="center"/>
      </w:pPr>
      <w:r>
        <w:rPr>
          <w:rFonts w:ascii="Arial" w:cs="Arial" w:eastAsia="Arial" w:hAnsi="Arial"/>
          <w:color w:val="2E75B6"/>
          <w:sz w:val="36"/>
          <w:szCs w:val="36"/>
        </w:rPr>
        <w:t xml:space="preserve">Prediction Pipeline &amp; Inference Engine Report</w:t>
      </w:r>
    </w:p>
    <w:p>
      <w:r>
        <w:rPr>
          <w:sz w:val="22"/>
          <w:szCs w:val="22"/>
        </w:rPr>
        <w:t xml:space="preserve"/>
      </w:r>
    </w:p>
    <w:p>
      <w:pPr>
        <w:jc w:val="center"/>
      </w:pPr>
      <w:r>
        <w:rPr>
          <w:rFonts w:ascii="Arial" w:cs="Arial" w:eastAsia="Arial" w:hAnsi="Arial"/>
          <w:color w:val="595959"/>
          <w:sz w:val="22"/>
          <w:szCs w:val="22"/>
        </w:rPr>
        <w:t xml:space="preserve">Covers: Feature Engineering · Artifact Loading · Threshold Application</w:t>
      </w:r>
    </w:p>
    <w:p>
      <w:pPr>
        <w:jc w:val="center"/>
      </w:pPr>
      <w:r>
        <w:rPr>
          <w:rFonts w:ascii="Arial" w:cs="Arial" w:eastAsia="Arial" w:hAnsi="Arial"/>
          <w:color w:val="595959"/>
          <w:sz w:val="22"/>
          <w:szCs w:val="22"/>
        </w:rPr>
        <w:t xml:space="preserve">Risk Classification · Bug Analysis · End-to-End Validation</w:t>
      </w:r>
    </w:p>
    <w:p>
      <w:r>
        <w:rPr>
          <w:sz w:val="22"/>
          <w:szCs w:val="22"/>
        </w:rPr>
        <w:t xml:space="preserve"/>
      </w:r>
    </w:p>
    <w:p>
      <w:pPr>
        <w:jc w:val="center"/>
      </w:pPr>
      <w:r>
        <w:rPr>
          <w:rFonts w:ascii="Arial" w:cs="Arial" w:eastAsia="Arial" w:hAnsi="Arial"/>
          <w:color w:val="595959"/>
          <w:sz w:val="22"/>
          <w:szCs w:val="22"/>
        </w:rPr>
        <w:t xml:space="preserve">April 2026</w:t>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1. Overview</w:t>
      </w:r>
    </w:p>
    <w:p>
      <w:pPr>
        <w:spacing w:after="100" w:before="60"/>
        <w:jc w:val="both"/>
      </w:pPr>
      <w:r>
        <w:rPr>
          <w:rFonts w:ascii="Arial" w:cs="Arial" w:eastAsia="Arial" w:hAnsi="Arial"/>
          <w:b w:val="false"/>
          <w:bCs w:val="false"/>
          <w:color w:val="000000"/>
          <w:sz w:val="22"/>
          <w:szCs w:val="22"/>
        </w:rPr>
        <w:t xml:space="preserve">This report documents the design, implementation, and validation of the SmartLoan prediction pipeline — the inference-time component that takes a single customer's credit profile as input and returns a default risk prediction, calibrated probability score, and risk classification label.</w:t>
      </w:r>
    </w:p>
    <w:p>
      <w:pPr>
        <w:spacing w:after="100" w:before="60"/>
        <w:jc w:val="both"/>
      </w:pPr>
      <w:r>
        <w:rPr>
          <w:rFonts w:ascii="Arial" w:cs="Arial" w:eastAsia="Arial" w:hAnsi="Arial"/>
          <w:b w:val="false"/>
          <w:bCs w:val="false"/>
          <w:color w:val="000000"/>
          <w:sz w:val="22"/>
          <w:szCs w:val="22"/>
        </w:rPr>
        <w:t xml:space="preserve">The prediction pipeline is the consumer-facing end of the SmartLoan ML system. It loads the best model selected during training, applies the same feature engineering and scaling transformations used at training time, applies the optimal decision threshold (not the default 0.5), and returns a structured prediction result. This report explains every design decision, the bug identified during development, and validation results from two representative customer profiles.</w:t>
      </w:r>
    </w:p>
    <w:p>
      <w:r>
        <w:rPr>
          <w:sz w:val="22"/>
          <w:szCs w:val="22"/>
        </w:rPr>
        <w:t xml:space="preserve"/>
      </w:r>
    </w:p>
    <w:p>
      <w:pPr>
        <w:pStyle w:val="Heading2"/>
        <w:spacing w:after="120" w:before="280"/>
      </w:pPr>
      <w:r>
        <w:rPr>
          <w:rFonts w:ascii="Arial" w:cs="Arial" w:eastAsia="Arial" w:hAnsi="Arial"/>
          <w:b/>
          <w:bCs/>
          <w:color w:val="1F5C99"/>
          <w:sz w:val="28"/>
          <w:szCs w:val="28"/>
        </w:rPr>
        <w:t xml:space="preserve">1.1 Pipeline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ModelPrediction</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Core inference class. Loads model, scaler, columns, threshold. Engineers features and applies calibrated prediction.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ModelPredictionStage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Pipeline wrapper. Instantiates ModelPrediction and exposes a main(input_data) entry point for the pipeline runner.</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artifacts/models/best_model.pkl</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Joblib payload containing {model: CalibratedClassifierCV, threshold: float}. Single source of truth for both the model and its operating threshold.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artifacts/models/best_model_info.json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report from training containing best_model name, composite score, metrics, and scoring weights. Used to resolve the human-readable model name.</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artifacts/processed/scaler.pkl</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StandardScaler fitted on training data. Must be applied identically at inference to prevent distribution mismatch between training and prediction.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artifacts/processed/training_columns.txt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Ordered list of 27 feature names the model was trained on. Used to align and reorder inference input to match training schema exactly.</w:t>
            </w:r>
          </w:p>
        </w:tc>
      </w:tr>
    </w:tbl>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2. Artifact Loading Strategy</w:t>
      </w:r>
    </w:p>
    <w:p>
      <w:pPr>
        <w:pStyle w:val="Heading2"/>
        <w:spacing w:after="120" w:before="280"/>
      </w:pPr>
      <w:r>
        <w:rPr>
          <w:rFonts w:ascii="Arial" w:cs="Arial" w:eastAsia="Arial" w:hAnsi="Arial"/>
          <w:b/>
          <w:bCs/>
          <w:color w:val="1F5C99"/>
          <w:sz w:val="28"/>
          <w:szCs w:val="28"/>
        </w:rPr>
        <w:t xml:space="preserve">2.1 Why Joblib Over MLflow at Inference</w:t>
      </w:r>
    </w:p>
    <w:p>
      <w:pPr>
        <w:spacing w:after="100" w:before="60"/>
        <w:jc w:val="both"/>
      </w:pPr>
      <w:r>
        <w:rPr>
          <w:rFonts w:ascii="Arial" w:cs="Arial" w:eastAsia="Arial" w:hAnsi="Arial"/>
          <w:b w:val="false"/>
          <w:bCs w:val="false"/>
          <w:color w:val="000000"/>
          <w:sz w:val="22"/>
          <w:szCs w:val="22"/>
        </w:rPr>
        <w:t xml:space="preserve">The original prediction code loaded models from MLflow using run URIs (runs:/{run_id}/{model_name}). This was replaced with direct joblib loading from artifacts/models/. The reasons are:</w:t>
      </w:r>
    </w:p>
    <w:p>
      <w:pPr>
        <w:pStyle w:val="ListParagraph"/>
        <w:numPr>
          <w:ilvl w:val="0"/>
          <w:numId w:val="2"/>
        </w:numPr>
        <w:spacing w:after="60" w:before="40"/>
      </w:pPr>
      <w:r>
        <w:rPr>
          <w:rFonts w:ascii="Arial" w:cs="Arial" w:eastAsia="Arial" w:hAnsi="Arial"/>
          <w:sz w:val="22"/>
          <w:szCs w:val="22"/>
        </w:rPr>
        <w:t xml:space="preserve">The MLflow URI approach loads only the model object — it has no mechanism to co-load the optimal threshold, which is stored separately per model in the joblib payload.</w:t>
      </w:r>
    </w:p>
    <w:p>
      <w:pPr>
        <w:pStyle w:val="ListParagraph"/>
        <w:numPr>
          <w:ilvl w:val="0"/>
          <w:numId w:val="2"/>
        </w:numPr>
        <w:spacing w:after="60" w:before="40"/>
      </w:pPr>
      <w:r>
        <w:rPr>
          <w:rFonts w:ascii="Arial" w:cs="Arial" w:eastAsia="Arial" w:hAnsi="Arial"/>
          <w:sz w:val="22"/>
          <w:szCs w:val="22"/>
        </w:rPr>
        <w:t xml:space="preserve">MLflow URI loading requires a live MLflow tracking server or database connection at inference time. The joblib approach requires only the filesystem, making the prediction pipeline fully self-contained and deployable independently of the MLflow server.</w:t>
      </w:r>
    </w:p>
    <w:p>
      <w:pPr>
        <w:pStyle w:val="ListParagraph"/>
        <w:numPr>
          <w:ilvl w:val="0"/>
          <w:numId w:val="2"/>
        </w:numPr>
        <w:spacing w:after="60" w:before="40"/>
      </w:pPr>
      <w:r>
        <w:rPr>
          <w:rFonts w:ascii="Arial" w:cs="Arial" w:eastAsia="Arial" w:hAnsi="Arial"/>
          <w:sz w:val="22"/>
          <w:szCs w:val="22"/>
        </w:rPr>
        <w:t xml:space="preserve">Joblib payloads are faster to load (no database round-trip) and more reliable in production environments where MLflow may not be available.</w:t>
      </w:r>
    </w:p>
    <w:p>
      <w:r>
        <w:rPr>
          <w:sz w:val="22"/>
          <w:szCs w:val="22"/>
        </w:rPr>
        <w:t xml:space="preserve"/>
      </w:r>
    </w:p>
    <w:p>
      <w:pPr>
        <w:pStyle w:val="Heading2"/>
        <w:spacing w:after="120" w:before="280"/>
      </w:pPr>
      <w:r>
        <w:rPr>
          <w:rFonts w:ascii="Arial" w:cs="Arial" w:eastAsia="Arial" w:hAnsi="Arial"/>
          <w:b/>
          <w:bCs/>
          <w:color w:val="1F5C99"/>
          <w:sz w:val="28"/>
          <w:szCs w:val="28"/>
        </w:rPr>
        <w:t xml:space="preserve">2.2 Artifact Loading Order and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80"/>
        <w:gridCol w:w="3280"/>
      </w:tblGrid>
      <w:tr>
        <w:tc>
          <w:tcPr>
            <w:tcW w:type="dxa" w:w="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Artifact</w:t>
            </w:r>
          </w:p>
        </w:tc>
        <w:tc>
          <w:tcPr>
            <w:tcW w:type="dxa" w:w="32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If Missing</w:t>
            </w:r>
          </w:p>
        </w:tc>
        <w:tc>
          <w:tcPr>
            <w:tcW w:type="dxa" w:w="32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Consequence</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best_model.pkl</w:t>
            </w:r>
          </w:p>
        </w:tc>
        <w:tc>
          <w:tcPr>
            <w:tcW w:type="dxa" w:w="32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Raises FileNotFoundError with instruction to run training pipeline.</w:t>
            </w:r>
          </w:p>
        </w:tc>
        <w:tc>
          <w:tcPr>
            <w:tcW w:type="dxa" w:w="32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Hard stop — cannot predict without a model.</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best_model_info.json</w:t>
            </w:r>
          </w:p>
        </w:tc>
        <w:tc>
          <w:tcPr>
            <w:tcW w:type="dxa" w:w="3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_display_name falls back to 'best_model' string.</w:t>
            </w:r>
          </w:p>
        </w:tc>
        <w:tc>
          <w:tcPr>
            <w:tcW w:type="dxa" w:w="3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Cosmetic only — prediction still works correctly.</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training_columns.txt</w:t>
            </w:r>
          </w:p>
        </w:tc>
        <w:tc>
          <w:tcPr>
            <w:tcW w:type="dxa" w:w="32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Raises FileNotFoundError with instruction to re-run data transformation.</w:t>
            </w:r>
          </w:p>
        </w:tc>
        <w:tc>
          <w:tcPr>
            <w:tcW w:type="dxa" w:w="32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Hard stop — without column order, feature alignment is impossible.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scaler.pkl</w:t>
            </w:r>
          </w:p>
        </w:tc>
        <w:tc>
          <w:tcPr>
            <w:tcW w:type="dxa" w:w="3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Logs a warning. Prediction proceeds on unscaled data.</w:t>
            </w:r>
          </w:p>
        </w:tc>
        <w:tc>
          <w:tcPr>
            <w:tcW w:type="dxa" w:w="3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Soft degradation — predictions will be wrong but won't crash. Re-run transformation to fix.</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2.3 Threshold Loading</w:t>
      </w:r>
    </w:p>
    <w:p>
      <w:pPr>
        <w:spacing w:after="100" w:before="60"/>
        <w:jc w:val="both"/>
      </w:pPr>
      <w:r>
        <w:rPr>
          <w:rFonts w:ascii="Arial" w:cs="Arial" w:eastAsia="Arial" w:hAnsi="Arial"/>
          <w:b w:val="false"/>
          <w:bCs w:val="false"/>
          <w:color w:val="000000"/>
          <w:sz w:val="22"/>
          <w:szCs w:val="22"/>
        </w:rPr>
        <w:t xml:space="preserve">The decision threshold is stored inside the joblib payload as payload['threshold'] — it is not a separate file, not hardcoded, and not fetched from MLflow metrics. This design ensures that the exact threshold selected during training (via precision-recall curve optimisation on the validation set) is always paired with the exact model that was calibrated at that threshold. It is impossible to accidentally use the wrong threshold for a given model.</w:t>
      </w:r>
    </w:p>
    <w:p>
      <w:pPr>
        <w:pBdr>
          <w:left w:val="single" w:color="1F5C99" w:sz="16" w:space="8"/>
        </w:pBdr>
        <w:shd w:fill="D6E4F0" w:val="clear"/>
        <w:spacing w:after="120" w:before="120"/>
        <w:ind w:left="360" w:right="360"/>
      </w:pPr>
      <w:r>
        <w:rPr>
          <w:rFonts w:ascii="Arial" w:cs="Arial" w:eastAsia="Arial" w:hAnsi="Arial"/>
          <w:b/>
          <w:bCs/>
          <w:color w:val="1F5C99"/>
          <w:sz w:val="21"/>
          <w:szCs w:val="21"/>
        </w:rPr>
        <w:t xml:space="preserve">Design principle: The model and its threshold are an inseparable pair. Storing them together in a single payload eliminates a whole class of deployment bugs where threshold and model version become out of sync.</w:t>
      </w:r>
    </w:p>
    <w:p>
      <w:r>
        <w:rPr>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3. Feature Engineering</w:t>
      </w:r>
    </w:p>
    <w:p>
      <w:pPr>
        <w:pStyle w:val="Heading2"/>
        <w:spacing w:after="120" w:before="280"/>
      </w:pPr>
      <w:r>
        <w:rPr>
          <w:rFonts w:ascii="Arial" w:cs="Arial" w:eastAsia="Arial" w:hAnsi="Arial"/>
          <w:b/>
          <w:bCs/>
          <w:color w:val="1F5C99"/>
          <w:sz w:val="28"/>
          <w:szCs w:val="28"/>
        </w:rPr>
        <w:t xml:space="preserve">3.1 UCI Dataset Raw Features</w:t>
      </w:r>
    </w:p>
    <w:p>
      <w:pPr>
        <w:spacing w:after="100" w:before="60"/>
        <w:jc w:val="both"/>
      </w:pPr>
      <w:r>
        <w:rPr>
          <w:rFonts w:ascii="Arial" w:cs="Arial" w:eastAsia="Arial" w:hAnsi="Arial"/>
          <w:b w:val="false"/>
          <w:bCs w:val="false"/>
          <w:color w:val="000000"/>
          <w:sz w:val="22"/>
          <w:szCs w:val="22"/>
        </w:rPr>
        <w:t xml:space="preserve">The UCI Credit Card Default dataset contains 23 raw features across five groups. All monetary values are denominated in New Taiwan Dollars (NT$; 1 USD ≈ 30–32 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Feature Group</w:t>
            </w:r>
          </w:p>
        </w:tc>
        <w:tc>
          <w:tcPr>
            <w:tcW w:type="dxa" w:w="1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Columns</w:t>
            </w:r>
          </w:p>
        </w:tc>
        <w:tc>
          <w:tcPr>
            <w:tcW w:type="dxa" w:w="59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Credit Limit</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LIMIT_BAL</w:t>
            </w:r>
          </w:p>
        </w:tc>
        <w:tc>
          <w:tcPr>
            <w:tcW w:type="dxa" w:w="5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Total credit limit in NT dollars. Proxy for bank's trust in the customer. Range: NT$10,000 – NT$1,000,000.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Demographics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SEX, EDUCATION, MARRIAGE, AGE</w:t>
            </w:r>
          </w:p>
        </w:tc>
        <w:tc>
          <w:tcPr>
            <w:tcW w:type="dxa" w:w="5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Customer profile. SEX: 1=Male, 2=Female. EDUCATION: 1=Graduate, 2=University, 3=High school, 4=Other. MARRIAGE: 1=Married, 2=Single, 3=Other. AGE in years.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Repayment Status</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PAY_0, PAY_2–PAY_6</w:t>
            </w:r>
          </w:p>
        </w:tc>
        <w:tc>
          <w:tcPr>
            <w:tcW w:type="dxa" w:w="5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Most predictive feature group. Monthly payment delinquency status. -2=No consumption, -1=Paid in full, 0=Revolving credit, 1–9=Months overdue. PAY_0=September (most recent), PAY_6=April. Note: PAY_1 does not exist in the UCI dataset.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Bill Amounts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BILL_AMT1–6</w:t>
            </w:r>
          </w:p>
        </w:tc>
        <w:tc>
          <w:tcPr>
            <w:tcW w:type="dxa" w:w="5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Outstanding statement balance each month in NT dollars. BILL_AMT1=September (most recent) to BILL_AMT6=April. Rising balances over time signal growing financial stress.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Payment Amounts</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PAY_AMT1–6</w:t>
            </w:r>
          </w:p>
        </w:tc>
        <w:tc>
          <w:tcPr>
            <w:tcW w:type="dxa" w:w="5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Actual payment made each month in NT dollars. PAY_AMT1=paid in September for August bill. Values near zero relative to BILL_AMT signal distress. Always non-negative.</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3.2 Engineered Features</w:t>
      </w:r>
    </w:p>
    <w:p>
      <w:pPr>
        <w:spacing w:after="100" w:before="60"/>
        <w:jc w:val="both"/>
      </w:pPr>
      <w:r>
        <w:rPr>
          <w:rFonts w:ascii="Arial" w:cs="Arial" w:eastAsia="Arial" w:hAnsi="Arial"/>
          <w:b w:val="false"/>
          <w:bCs w:val="false"/>
          <w:color w:val="000000"/>
          <w:sz w:val="22"/>
          <w:szCs w:val="22"/>
        </w:rPr>
        <w:t xml:space="preserve">Three additional features are computed from the raw inputs. These must be computed identically at inference time as they were during DataTransformation at training time — any discrepancy would cause a feature distribution mismatch and degrade prediction quality: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Feature</w:t>
            </w:r>
          </w:p>
        </w:tc>
        <w:tc>
          <w:tcPr>
            <w:tcW w:type="dxa" w:w="2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5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Business Meaning</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PAY_TREND</w:t>
            </w:r>
          </w:p>
        </w:tc>
        <w:tc>
          <w:tcPr>
            <w:tcW w:type="dxa" w:w="2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mean(PAY_0, PAY_2, PAY_3, PAY_4, PAY_5, PAY_6)</w:t>
            </w:r>
          </w:p>
        </w:tc>
        <w:tc>
          <w:tcPr>
            <w:tcW w:type="dxa" w:w="5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Average delinquency level across the past 6 months. A value of 0 means revolving usage; negative values mean consistent on-time payment; positive values mean chronic late payment. Stronger signal than any single PAY column in isolation.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UTIL_RATIO</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mean(BILL_AMT1–6) / (LIMIT_BAL + 1)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Credit utilisation ratio. How much of the credit limit is being used on average. Values near 1.0 mean the customer is almost maxed out — a strong default predictor. Values near 0 mean the credit line is mostly unused.</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PAY_TO_BILL</w:t>
            </w:r>
          </w:p>
        </w:tc>
        <w:tc>
          <w:tcPr>
            <w:tcW w:type="dxa" w:w="2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mean(PAY_AMT1–6) / (mean(BILL_AMT1–6) + 1)</w:t>
            </w:r>
          </w:p>
        </w:tc>
        <w:tc>
          <w:tcPr>
            <w:tcW w:type="dxa" w:w="5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Payment-to-bill ratio. Captures how much of the owed balance the customer actually pays back each month. Values near 1.0 mean the customer regularly clears their balance. Values near 0 mean only minimum or zero payments — a direct precursor to default.</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3.3 Column Alignment</w:t>
      </w:r>
    </w:p>
    <w:p>
      <w:pPr>
        <w:spacing w:after="100" w:before="60"/>
        <w:jc w:val="both"/>
      </w:pPr>
      <w:r>
        <w:rPr>
          <w:rFonts w:ascii="Arial" w:cs="Arial" w:eastAsia="Arial" w:hAnsi="Arial"/>
          <w:b w:val="false"/>
          <w:bCs w:val="false"/>
          <w:color w:val="000000"/>
          <w:sz w:val="22"/>
          <w:szCs w:val="22"/>
        </w:rPr>
        <w:t xml:space="preserve">After feature engineering and one-hot encoding, the resulting DataFrame is aligned to the exact 27-column schema used during training:</w:t>
      </w:r>
    </w:p>
    <w:p>
      <w:pPr>
        <w:pStyle w:val="ListParagraph"/>
        <w:numPr>
          <w:ilvl w:val="0"/>
          <w:numId w:val="2"/>
        </w:numPr>
        <w:spacing w:after="60" w:before="40"/>
      </w:pPr>
      <w:r>
        <w:rPr>
          <w:rFonts w:ascii="Arial" w:cs="Arial" w:eastAsia="Arial" w:hAnsi="Arial"/>
          <w:sz w:val="22"/>
          <w:szCs w:val="22"/>
        </w:rPr>
        <w:t xml:space="preserve">Columns present in training but absent in the inference input are added with value 0. This handles cases where a one-hot encoded category was not present in the input.</w:t>
      </w:r>
    </w:p>
    <w:p>
      <w:pPr>
        <w:pStyle w:val="ListParagraph"/>
        <w:numPr>
          <w:ilvl w:val="0"/>
          <w:numId w:val="2"/>
        </w:numPr>
        <w:spacing w:after="60" w:before="40"/>
      </w:pPr>
      <w:r>
        <w:rPr>
          <w:rFonts w:ascii="Arial" w:cs="Arial" w:eastAsia="Arial" w:hAnsi="Arial"/>
          <w:sz w:val="22"/>
          <w:szCs w:val="22"/>
        </w:rPr>
        <w:t xml:space="preserve">Columns present in the input but absent in training are silently dropped. This prevents dimension mismatch errors from unexpected input fields.</w:t>
      </w:r>
    </w:p>
    <w:p>
      <w:pPr>
        <w:pStyle w:val="ListParagraph"/>
        <w:numPr>
          <w:ilvl w:val="0"/>
          <w:numId w:val="2"/>
        </w:numPr>
        <w:spacing w:after="60" w:before="40"/>
      </w:pPr>
      <w:r>
        <w:rPr>
          <w:rFonts w:ascii="Arial" w:cs="Arial" w:eastAsia="Arial" w:hAnsi="Arial"/>
          <w:sz w:val="22"/>
          <w:szCs w:val="22"/>
        </w:rPr>
        <w:t xml:space="preserve">Columns are reordered to match the training schema exactly using training_columns.txt. Random Forests and tree models are sensitive to column order — passing features in the wrong order produces completely wrong predictions without any error.</w:t>
      </w:r>
    </w:p>
    <w:p>
      <w:r>
        <w:rPr>
          <w:sz w:val="22"/>
          <w:szCs w:val="22"/>
        </w:rPr>
        <w:t xml:space="preserve"/>
      </w:r>
    </w:p>
    <w:p>
      <w:pPr>
        <w:pStyle w:val="Heading2"/>
        <w:spacing w:after="120" w:before="280"/>
      </w:pPr>
      <w:r>
        <w:rPr>
          <w:rFonts w:ascii="Arial" w:cs="Arial" w:eastAsia="Arial" w:hAnsi="Arial"/>
          <w:b/>
          <w:bCs/>
          <w:color w:val="1F5C99"/>
          <w:sz w:val="28"/>
          <w:szCs w:val="28"/>
        </w:rPr>
        <w:t xml:space="preserve">3.4 Scaling</w:t>
      </w:r>
    </w:p>
    <w:p>
      <w:pPr>
        <w:spacing w:after="100" w:before="60"/>
        <w:jc w:val="both"/>
      </w:pPr>
      <w:r>
        <w:rPr>
          <w:rFonts w:ascii="Arial" w:cs="Arial" w:eastAsia="Arial" w:hAnsi="Arial"/>
          <w:b w:val="false"/>
          <w:bCs w:val="false"/>
          <w:color w:val="000000"/>
          <w:sz w:val="22"/>
          <w:szCs w:val="22"/>
        </w:rPr>
        <w:t xml:space="preserve">After column alignment, the same StandardScaler fitted on the training data is applied. StandardScaler transforms each feature to zero mean and unit variance. Without this step, raw NT dollar values (e.g. BILL_AMT1=20,000) would be passed to a model trained on scaled values (e.g. BILL_AMT1≈0.3), producing completely incorrect probability estimates. The scaler is loaded from artifacts/processed/scaler.pkl and applied via scaler.transform() — never scaler.fit_transform(), which would refit on the single inference row and produce meaningless results.</w:t>
      </w:r>
    </w:p>
    <w:p>
      <w:r>
        <w:rPr>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4. Bug Identified &amp; Resolved During Development</w:t>
      </w:r>
    </w:p>
    <w:p>
      <w:pPr>
        <w:pBdr>
          <w:left w:val="single" w:color="C00000" w:sz="16" w:space="8"/>
        </w:pBdr>
        <w:shd w:fill="FCE4D6" w:val="clear"/>
        <w:spacing w:after="120" w:before="120"/>
        <w:ind w:left="360" w:right="360"/>
      </w:pPr>
      <w:r>
        <w:rPr>
          <w:rFonts w:ascii="Arial" w:cs="Arial" w:eastAsia="Arial" w:hAnsi="Arial"/>
          <w:b/>
          <w:bCs/>
          <w:color w:val="C00000"/>
          <w:sz w:val="21"/>
          <w:szCs w:val="21"/>
        </w:rPr>
        <w:t xml:space="preserve">CRITICAL BUG: PAY_AMT columns incorrectly included in PAY_TREND calculation, producing identical predictions for all inputs regardless of input values.</w:t>
      </w:r>
    </w:p>
    <w:p>
      <w:r>
        <w:rPr>
          <w:sz w:val="22"/>
          <w:szCs w:val="22"/>
        </w:rPr>
        <w:t xml:space="preserve"/>
      </w:r>
    </w:p>
    <w:p>
      <w:pPr>
        <w:pStyle w:val="Heading2"/>
        <w:spacing w:after="120" w:before="280"/>
      </w:pPr>
      <w:r>
        <w:rPr>
          <w:rFonts w:ascii="Arial" w:cs="Arial" w:eastAsia="Arial" w:hAnsi="Arial"/>
          <w:b/>
          <w:bCs/>
          <w:color w:val="1F5C99"/>
          <w:sz w:val="28"/>
          <w:szCs w:val="28"/>
        </w:rPr>
        <w:t xml:space="preserve">4.1 Bug Description</w:t>
      </w:r>
    </w:p>
    <w:p>
      <w:pPr>
        <w:spacing w:after="100" w:before="60"/>
        <w:jc w:val="both"/>
      </w:pPr>
      <w:r>
        <w:rPr>
          <w:rFonts w:ascii="Arial" w:cs="Arial" w:eastAsia="Arial" w:hAnsi="Arial"/>
          <w:b w:val="false"/>
          <w:bCs w:val="false"/>
          <w:color w:val="000000"/>
          <w:sz w:val="22"/>
          <w:szCs w:val="22"/>
        </w:rPr>
        <w:t xml:space="preserve">During validation testing, two completely different customer profiles — one with all payments on time and near-full repayments, one with 3-month delinquency and zero payments — produced identical prediction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Property</w:t>
            </w:r>
          </w:p>
        </w:tc>
        <w:tc>
          <w:tcPr>
            <w:tcW w:type="dxa" w:w="31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Low Risk Input</w:t>
            </w:r>
          </w:p>
        </w:tc>
        <w:tc>
          <w:tcPr>
            <w:tcW w:type="dxa" w:w="31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High Risk Input</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PAY_0</w:t>
            </w:r>
          </w:p>
        </w:tc>
        <w:tc>
          <w:tcPr>
            <w:tcW w:type="dxa" w:w="318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(paid in full)</w:t>
            </w:r>
          </w:p>
        </w:tc>
        <w:tc>
          <w:tcPr>
            <w:tcW w:type="dxa" w:w="318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(3 months overdue)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PAY_AMT1</w:t>
            </w:r>
          </w:p>
        </w:tc>
        <w:tc>
          <w:tcPr>
            <w:tcW w:type="dxa" w:w="318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NT$18,000 (90% of bill)</w:t>
            </w:r>
          </w:p>
        </w:tc>
        <w:tc>
          <w:tcPr>
            <w:tcW w:type="dxa" w:w="318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NT$0 (no payment)</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Probability Output</w:t>
            </w:r>
          </w:p>
        </w:tc>
        <w:tc>
          <w:tcPr>
            <w:tcW w:type="dxa" w:w="31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0.3390</w:t>
            </w:r>
          </w:p>
        </w:tc>
        <w:tc>
          <w:tcPr>
            <w:tcW w:type="dxa" w:w="31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0.3390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Prediction</w:t>
            </w:r>
          </w:p>
        </w:tc>
        <w:tc>
          <w:tcPr>
            <w:tcW w:type="dxa" w:w="31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(default)</w:t>
            </w:r>
          </w:p>
        </w:tc>
        <w:tc>
          <w:tcPr>
            <w:tcW w:type="dxa" w:w="31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(default)</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4.2 Root Cause</w:t>
      </w:r>
    </w:p>
    <w:p>
      <w:pPr>
        <w:spacing w:after="100" w:before="60"/>
        <w:jc w:val="both"/>
      </w:pPr>
      <w:r>
        <w:rPr>
          <w:rFonts w:ascii="Arial" w:cs="Arial" w:eastAsia="Arial" w:hAnsi="Arial"/>
          <w:b w:val="false"/>
          <w:bCs w:val="false"/>
          <w:color w:val="000000"/>
          <w:sz w:val="22"/>
          <w:szCs w:val="22"/>
        </w:rPr>
        <w:t xml:space="preserve">The bug was in the pay_cols filter in _engineer_features():</w:t>
      </w:r>
    </w:p>
    <w:p>
      <w:pPr>
        <w:spacing w:after="60" w:before="100"/>
        <w:ind w:left="720"/>
      </w:pPr>
      <w:r>
        <w:rPr>
          <w:rFonts w:ascii="Courier New" w:cs="Courier New" w:eastAsia="Courier New" w:hAnsi="Courier New"/>
          <w:color w:val="C00000"/>
          <w:sz w:val="19"/>
          <w:szCs w:val="19"/>
        </w:rPr>
        <w:t xml:space="preserve"># WRONG — 'PAY_AMT1'.startswith('PAY_') is True and 'PAY_AMT1' != 'PAY_AMT'</w:t>
      </w:r>
    </w:p>
    <w:p>
      <w:pPr>
        <w:spacing w:after="60" w:before="0"/>
        <w:ind w:left="720"/>
      </w:pPr>
      <w:r>
        <w:rPr>
          <w:rFonts w:ascii="Courier New" w:cs="Courier New" w:eastAsia="Courier New" w:hAnsi="Courier New"/>
          <w:color w:val="C00000"/>
          <w:sz w:val="19"/>
          <w:szCs w:val="19"/>
        </w:rPr>
        <w:t xml:space="preserve">pay_cols = [c for c in df.columns if c.startswith('PAY_') and c != 'PAY_AMT']</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The filter correctly excluded a hypothetical column named exactly 'PAY_AMT', but PAY_AMT1 through PAY_AMT6 all pass both conditions (they start with 'PAY_' and they are not equal to the literal string 'PAY_AMT'). As a result, PAY_AMT1–6 — which contain payment amounts in NT dollars ranging from 0 to hundreds of thousands — were included in the mean calculation alongside PAY status codes ranging from -2 to 9.</w:t>
      </w:r>
    </w:p>
    <w:p>
      <w:pPr>
        <w:spacing w:after="100" w:before="60"/>
        <w:jc w:val="both"/>
      </w:pPr>
      <w:r>
        <w:rPr>
          <w:rFonts w:ascii="Arial" w:cs="Arial" w:eastAsia="Arial" w:hAnsi="Arial"/>
          <w:b w:val="false"/>
          <w:bCs w:val="false"/>
          <w:color w:val="000000"/>
          <w:sz w:val="22"/>
          <w:szCs w:val="22"/>
        </w:rPr>
        <w:t xml:space="preserve">The resulting PAY_TREND value was dominated by the large NT dollar amounts, washing out the actual payment status signal entirely. For most inputs, this produced a corrupted PAY_TREND around the same value, causing the model to output nearly identical probabilities regardless of how different the true payment behaviour was.</w:t>
      </w:r>
    </w:p>
    <w:p>
      <w:pPr>
        <w:pStyle w:val="Heading2"/>
        <w:spacing w:after="120" w:before="280"/>
      </w:pPr>
      <w:r>
        <w:rPr>
          <w:rFonts w:ascii="Arial" w:cs="Arial" w:eastAsia="Arial" w:hAnsi="Arial"/>
          <w:b/>
          <w:bCs/>
          <w:color w:val="1F5C99"/>
          <w:sz w:val="28"/>
          <w:szCs w:val="28"/>
        </w:rPr>
        <w:t xml:space="preserve">4.3 Fix Applied</w:t>
      </w:r>
    </w:p>
    <w:p>
      <w:pPr>
        <w:spacing w:after="60" w:before="100"/>
        <w:ind w:left="720"/>
      </w:pPr>
      <w:r>
        <w:rPr>
          <w:rFonts w:ascii="Courier New" w:cs="Courier New" w:eastAsia="Courier New" w:hAnsi="Courier New"/>
          <w:color w:val="1E7145"/>
          <w:sz w:val="19"/>
          <w:szCs w:val="19"/>
        </w:rPr>
        <w:t xml:space="preserve"># CORRECT — explicitly excludes all PAY_AMT* columns by prefix</w:t>
      </w:r>
    </w:p>
    <w:p>
      <w:pPr>
        <w:spacing w:after="100" w:before="0"/>
        <w:ind w:left="720"/>
      </w:pPr>
      <w:r>
        <w:rPr>
          <w:rFonts w:ascii="Courier New" w:cs="Courier New" w:eastAsia="Courier New" w:hAnsi="Courier New"/>
          <w:color w:val="1E7145"/>
          <w:sz w:val="19"/>
          <w:szCs w:val="19"/>
        </w:rPr>
        <w:t xml:space="preserve">pay_cols = [c for c in df.columns if c.startswith('PAY_') and not c.startswith('PAY_AMT')]</w:t>
      </w:r>
    </w:p>
    <w:p>
      <w:pPr>
        <w:spacing w:after="100" w:before="60"/>
        <w:jc w:val="both"/>
      </w:pPr>
      <w:r>
        <w:rPr>
          <w:rFonts w:ascii="Arial" w:cs="Arial" w:eastAsia="Arial" w:hAnsi="Arial"/>
          <w:b w:val="false"/>
          <w:bCs w:val="false"/>
          <w:color w:val="000000"/>
          <w:sz w:val="22"/>
          <w:szCs w:val="22"/>
        </w:rPr>
        <w:t xml:space="preserve">The not c.startswith('PAY_AMT') condition correctly excludes all six payment amount columns (PAY_AMT1 through PAY_AMT6) regardless of their suffix, isolating only the repayment status columns (PAY_0, PAY_2, PAY_3, PAY_4, PAY_5, PAY_6) for the PAY_TREND calculation.</w:t>
      </w:r>
    </w:p>
    <w:p>
      <w:pPr>
        <w:pBdr>
          <w:left w:val="single" w:color="1E7145" w:sz="16" w:space="8"/>
        </w:pBdr>
        <w:shd w:fill="E2EFDA" w:val="clear"/>
        <w:spacing w:after="120" w:before="120"/>
        <w:ind w:left="360" w:right="360"/>
      </w:pPr>
      <w:r>
        <w:rPr>
          <w:rFonts w:ascii="Arial" w:cs="Arial" w:eastAsia="Arial" w:hAnsi="Arial"/>
          <w:b/>
          <w:bCs/>
          <w:color w:val="1E7145"/>
          <w:sz w:val="21"/>
          <w:szCs w:val="21"/>
        </w:rPr>
        <w:t xml:space="preserve">Impact: After the fix, the two test profiles produced clearly separated probability outputs, confirming the model responds correctly to the most predictive features in the dataset.</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5. Decision Threshold &amp; Risk Classification</w:t>
      </w:r>
    </w:p>
    <w:p>
      <w:pPr>
        <w:pStyle w:val="Heading2"/>
        <w:spacing w:after="120" w:before="280"/>
      </w:pPr>
      <w:r>
        <w:rPr>
          <w:rFonts w:ascii="Arial" w:cs="Arial" w:eastAsia="Arial" w:hAnsi="Arial"/>
          <w:b/>
          <w:bCs/>
          <w:color w:val="1F5C99"/>
          <w:sz w:val="28"/>
          <w:szCs w:val="28"/>
        </w:rPr>
        <w:t xml:space="preserve">5.1 Why Not Use model.predict()</w:t>
      </w:r>
    </w:p>
    <w:p>
      <w:pPr>
        <w:spacing w:after="100" w:before="60"/>
        <w:jc w:val="both"/>
      </w:pPr>
      <w:r>
        <w:rPr>
          <w:rFonts w:ascii="Arial" w:cs="Arial" w:eastAsia="Arial" w:hAnsi="Arial"/>
          <w:b w:val="false"/>
          <w:bCs w:val="false"/>
          <w:color w:val="000000"/>
          <w:sz w:val="22"/>
          <w:szCs w:val="22"/>
        </w:rPr>
        <w:t xml:space="preserve">sklearn's model.predict() applies a fixed threshold of 0.5 to convert probabilities into class labels. For this project, the optimal threshold was determined during training as 0.339 — meaning any customer with a default probability of 0.339 or above is classified as a likely defaulter. Using model.predict() would apply 0.5 instead, missing a significant proportion of defaulters who fall between 0.339 and 0.499.</w:t>
      </w:r>
    </w:p>
    <w:p>
      <w:pPr>
        <w:spacing w:after="100" w:before="60"/>
        <w:jc w:val="both"/>
      </w:pPr>
      <w:r>
        <w:rPr>
          <w:rFonts w:ascii="Arial" w:cs="Arial" w:eastAsia="Arial" w:hAnsi="Arial"/>
          <w:b w:val="false"/>
          <w:bCs w:val="false"/>
          <w:color w:val="000000"/>
          <w:sz w:val="22"/>
          <w:szCs w:val="22"/>
        </w:rPr>
        <w:t xml:space="preserve">Instead, predict_proba() is used to obtain the raw calibrated probability, and the threshold is applied manually:</w:t>
      </w:r>
    </w:p>
    <w:p>
      <w:pPr>
        <w:spacing w:after="100" w:before="100"/>
        <w:ind w:left="720"/>
      </w:pPr>
      <w:r>
        <w:rPr>
          <w:rFonts w:ascii="Courier New" w:cs="Courier New" w:eastAsia="Courier New" w:hAnsi="Courier New"/>
          <w:color w:val="1F5C99"/>
          <w:sz w:val="19"/>
          <w:szCs w:val="19"/>
        </w:rPr>
        <w:t xml:space="preserve">prob = float(self.model.predict_proba(X)[0][1])</w:t>
      </w:r>
    </w:p>
    <w:p>
      <w:pPr>
        <w:spacing w:after="100" w:before="0"/>
        <w:ind w:left="720"/>
      </w:pPr>
      <w:r>
        <w:rPr>
          <w:rFonts w:ascii="Courier New" w:cs="Courier New" w:eastAsia="Courier New" w:hAnsi="Courier New"/>
          <w:color w:val="1F5C99"/>
          <w:sz w:val="19"/>
          <w:szCs w:val="19"/>
        </w:rPr>
        <w:t xml:space="preserve">prediction = int(prob &gt;= self.threshold)   # threshold = 0.339</w:t>
      </w:r>
    </w:p>
    <w:p>
      <w:pPr>
        <w:pStyle w:val="Heading2"/>
        <w:spacing w:after="120" w:before="280"/>
      </w:pPr>
      <w:r>
        <w:rPr>
          <w:rFonts w:ascii="Arial" w:cs="Arial" w:eastAsia="Arial" w:hAnsi="Arial"/>
          <w:b/>
          <w:bCs/>
          <w:color w:val="1F5C99"/>
          <w:sz w:val="28"/>
          <w:szCs w:val="28"/>
        </w:rPr>
        <w:t xml:space="preserve">5.2 Threshold Origin</w:t>
      </w:r>
    </w:p>
    <w:p>
      <w:pPr>
        <w:spacing w:after="100" w:before="60"/>
        <w:jc w:val="both"/>
      </w:pPr>
      <w:r>
        <w:rPr>
          <w:rFonts w:ascii="Arial" w:cs="Arial" w:eastAsia="Arial" w:hAnsi="Arial"/>
          <w:b w:val="false"/>
          <w:bCs w:val="false"/>
          <w:color w:val="000000"/>
          <w:sz w:val="22"/>
          <w:szCs w:val="22"/>
        </w:rPr>
        <w:t xml:space="preserve">The threshold of 0.339 was determined during model training by sweeping the precision-recall curve on a held-out validation set (15% of training data, split before SMOTE) and selecting the threshold that maximises the F2 score subject to a minimum precision constraint of 0.40. This prevents the optimiser from selecting absurdly low thresholds (such as 0.02) that maximise recall by flagging almost everyone as a defaulter.</w:t>
      </w:r>
    </w:p>
    <w:p>
      <w:pPr>
        <w:spacing w:after="100" w:before="60"/>
        <w:jc w:val="both"/>
      </w:pPr>
      <w:r>
        <w:rPr>
          <w:rFonts w:ascii="Arial" w:cs="Arial" w:eastAsia="Arial" w:hAnsi="Arial"/>
          <w:b w:val="false"/>
          <w:bCs w:val="false"/>
          <w:color w:val="000000"/>
          <w:sz w:val="22"/>
          <w:szCs w:val="22"/>
        </w:rPr>
        <w:t xml:space="preserve">The threshold is stored in the joblib model payload and loaded automatically — it is never hardcoded in the prediction pipeline. If a different model is selected as best in a future training run, its corresponding threshold will be loaded automatically.</w:t>
      </w:r>
    </w:p>
    <w:p>
      <w:pPr>
        <w:pStyle w:val="Heading2"/>
        <w:spacing w:after="120" w:before="280"/>
      </w:pPr>
      <w:r>
        <w:rPr>
          <w:rFonts w:ascii="Arial" w:cs="Arial" w:eastAsia="Arial" w:hAnsi="Arial"/>
          <w:b/>
          <w:bCs/>
          <w:color w:val="1F5C99"/>
          <w:sz w:val="28"/>
          <w:szCs w:val="28"/>
        </w:rPr>
        <w:t xml:space="preserve">5.3 Risk Band Classification</w:t>
      </w:r>
    </w:p>
    <w:p>
      <w:pPr>
        <w:spacing w:after="100" w:before="60"/>
        <w:jc w:val="both"/>
      </w:pPr>
      <w:r>
        <w:rPr>
          <w:rFonts w:ascii="Arial" w:cs="Arial" w:eastAsia="Arial" w:hAnsi="Arial"/>
          <w:b w:val="false"/>
          <w:bCs w:val="false"/>
          <w:color w:val="000000"/>
          <w:sz w:val="22"/>
          <w:szCs w:val="22"/>
        </w:rPr>
        <w:t xml:space="preserve">Rather than hardcoded probability bands (e.g. 0–0.3 = Low, 0.3–0.6 = Medium), risk bands are defined relative to the optimal threshold. This ensures the risk label is always meaningful regardless of which model or threshold is in use: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580"/>
        <w:gridCol w:w="2580"/>
      </w:tblGrid>
      <w:tr>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 Label</w:t>
            </w:r>
          </w:p>
        </w:tc>
        <w:tc>
          <w:tcPr>
            <w:tcW w:type="dxa" w:w="2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Probability Range</w:t>
            </w:r>
          </w:p>
        </w:tc>
        <w:tc>
          <w:tcPr>
            <w:tcW w:type="dxa" w:w="25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 Threshold=0.339</w:t>
            </w:r>
          </w:p>
        </w:tc>
        <w:tc>
          <w:tcPr>
            <w:tcW w:type="dxa" w:w="25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Business Meaning</w:t>
            </w:r>
          </w:p>
        </w:tc>
      </w:tr>
      <w:tr>
        <w:tc>
          <w:tcPr>
            <w:tcW w:type="dxa" w:w="16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bCs/>
                <w:color w:val="1E7145"/>
                <w:sz w:val="20"/>
                <w:szCs w:val="20"/>
              </w:rPr>
              <w:t xml:space="preserve">Low</w:t>
            </w:r>
          </w:p>
        </w:tc>
        <w:tc>
          <w:tcPr>
            <w:tcW w:type="dxa" w:w="26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 0.5 × threshold</w:t>
            </w:r>
          </w:p>
        </w:tc>
        <w:tc>
          <w:tcPr>
            <w:tcW w:type="dxa" w:w="258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prob &lt; 0.170</w:t>
            </w:r>
          </w:p>
        </w:tc>
        <w:tc>
          <w:tcPr>
            <w:tcW w:type="dxa" w:w="258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Comfortably safe. Approve with standard terms.</w:t>
            </w:r>
          </w:p>
        </w:tc>
      </w:tr>
      <w:tr>
        <w:tc>
          <w:tcPr>
            <w:tcW w:type="dxa" w:w="16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bCs/>
                <w:color w:val="C55A11"/>
                <w:sz w:val="20"/>
                <w:szCs w:val="20"/>
              </w:rPr>
              <w:t xml:space="preserve">Medium</w:t>
            </w:r>
          </w:p>
        </w:tc>
        <w:tc>
          <w:tcPr>
            <w:tcW w:type="dxa" w:w="26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0.5 × threshold to threshold</w:t>
            </w:r>
          </w:p>
        </w:tc>
        <w:tc>
          <w:tcPr>
            <w:tcW w:type="dxa" w:w="258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0.170 ≤ prob &lt; 0.339</w:t>
            </w:r>
          </w:p>
        </w:tc>
        <w:tc>
          <w:tcPr>
            <w:tcW w:type="dxa" w:w="258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Borderline. Monitor closely, consider reduced limit.</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High</w:t>
            </w:r>
          </w:p>
        </w:tc>
        <w:tc>
          <w:tcPr>
            <w:tcW w:type="dxa" w:w="26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&gt;= threshold</w:t>
            </w:r>
          </w:p>
        </w:tc>
        <w:tc>
          <w:tcPr>
            <w:tcW w:type="dxa" w:w="258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prob &gt;= 0.339</w:t>
            </w:r>
          </w:p>
        </w:tc>
        <w:tc>
          <w:tcPr>
            <w:tcW w:type="dxa" w:w="258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Flag for review or rejection. Manual underwriting recommended.</w:t>
            </w:r>
          </w:p>
        </w:tc>
      </w:tr>
    </w:tbl>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This design means the Medium band always represents the 'borderline zone' — customers whose probability is between half the threshold and the threshold itself. The width of the Medium band scales with the threshold, so it is always proportionally sized relative to the operating point of the model.</w:t>
      </w:r>
    </w:p>
    <w:p>
      <w:r>
        <w:rPr>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6. Prediction Output Structure</w:t>
      </w:r>
    </w:p>
    <w:p>
      <w:pPr>
        <w:spacing w:after="100" w:before="60"/>
        <w:jc w:val="both"/>
      </w:pPr>
      <w:r>
        <w:rPr>
          <w:rFonts w:ascii="Arial" w:cs="Arial" w:eastAsia="Arial" w:hAnsi="Arial"/>
          <w:b w:val="false"/>
          <w:bCs w:val="false"/>
          <w:color w:val="000000"/>
          <w:sz w:val="22"/>
          <w:szCs w:val="22"/>
        </w:rPr>
        <w:t xml:space="preserve">Every call to predict() returns a standardised dictionary with five fields: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prediction</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 (0 or 1)</w:t>
            </w:r>
          </w:p>
        </w:tc>
        <w:tc>
          <w:tcPr>
            <w:tcW w:type="dxa" w:w="5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 = predicted no default. 1 = predicted default. Determined by prob &gt;= threshold, not by model.predict().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probability_of_default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float [0, 1]</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Calibrated probability that this customer will default. Isotonic calibration ensures this score reflects the true empirical default rate — a score of 0.60 means approximately 60% of customers with this score actually default.</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risk_label</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w:t>
            </w:r>
          </w:p>
        </w:tc>
        <w:tc>
          <w:tcPr>
            <w:tcW w:type="dxa" w:w="5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Low / Medium / High. Computed relative to the optimal threshold, not hardcoded probability bands. See Section 5.3.</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model_used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Human-readable name of the model that produced this prediction (e.g. 'RandomForest'). Resolved from best_model_info.json. Useful for audit logging and model version tracking.</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threshold_applied</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float</w:t>
            </w:r>
          </w:p>
        </w:tc>
        <w:tc>
          <w:tcPr>
            <w:tcW w:type="dxa" w:w="5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exact threshold used to convert probability to binary prediction. Included in the response for full transparency and to enable downstream systems to apply their own threshold if needed.</w:t>
            </w:r>
          </w:p>
        </w:tc>
      </w:tr>
    </w:tbl>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7. Validation — Two Representative Customers</w:t>
      </w:r>
    </w:p>
    <w:p>
      <w:pPr>
        <w:pStyle w:val="Heading2"/>
        <w:spacing w:after="120" w:before="280"/>
      </w:pPr>
      <w:r>
        <w:rPr>
          <w:rFonts w:ascii="Arial" w:cs="Arial" w:eastAsia="Arial" w:hAnsi="Arial"/>
          <w:b/>
          <w:bCs/>
          <w:color w:val="1F5C99"/>
          <w:sz w:val="28"/>
          <w:szCs w:val="28"/>
        </w:rPr>
        <w:t xml:space="preserve">7.1 Low Risk Customer Profile</w:t>
      </w:r>
    </w:p>
    <w:p>
      <w:pPr>
        <w:spacing w:after="100" w:before="60"/>
        <w:jc w:val="both"/>
      </w:pPr>
      <w:r>
        <w:rPr>
          <w:rFonts w:ascii="Arial" w:cs="Arial" w:eastAsia="Arial" w:hAnsi="Arial"/>
          <w:b w:val="false"/>
          <w:bCs w:val="false"/>
          <w:color w:val="000000"/>
          <w:sz w:val="22"/>
          <w:szCs w:val="22"/>
        </w:rPr>
        <w:t xml:space="preserve">This profile represents a financially responsible customer: consistent full payment, declining balances, and no delinquency in the 6-month window.</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Feature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53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Interpretation</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LIMIT_BAL</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NT$50,000</w:t>
            </w:r>
          </w:p>
        </w:tc>
        <w:tc>
          <w:tcPr>
            <w:tcW w:type="dxa" w:w="5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Moderate credit limit (~USD 1,550)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PAY_0 – PAY_6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-1</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Paid in full on time every month for 6 months — ideal payment history</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BILL_AMT1–6</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NT$15,500–20,000</w:t>
            </w:r>
          </w:p>
        </w:tc>
        <w:tc>
          <w:tcPr>
            <w:tcW w:type="dxa" w:w="5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Gradually declining balances — consistent paydown behaviour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PAY_AMT1–2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NT$17,000–18,000</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Paying 90%+ of bill — near-full repayment</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PAY_AMT3–6</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NT$15,500–18,500</w:t>
            </w:r>
          </w:p>
        </w:tc>
        <w:tc>
          <w:tcPr>
            <w:tcW w:type="dxa" w:w="5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Full bill payment in earlier months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PAY_TREND (computed)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-1.0</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Mean delinquency score of -1 = consistently on time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PAY_TO_BILL (computed)</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~0.95</w:t>
            </w:r>
          </w:p>
        </w:tc>
        <w:tc>
          <w:tcPr>
            <w:tcW w:type="dxa" w:w="5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Paying ~95% of outstanding balance each month</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7.2 High Risk Customer Profile</w:t>
      </w:r>
    </w:p>
    <w:p>
      <w:pPr>
        <w:spacing w:after="100" w:before="60"/>
        <w:jc w:val="both"/>
      </w:pPr>
      <w:r>
        <w:rPr>
          <w:rFonts w:ascii="Arial" w:cs="Arial" w:eastAsia="Arial" w:hAnsi="Arial"/>
          <w:b w:val="false"/>
          <w:bCs w:val="false"/>
          <w:color w:val="000000"/>
          <w:sz w:val="22"/>
          <w:szCs w:val="22"/>
        </w:rPr>
        <w:t xml:space="preserve">This profile represents a customer in active financial distress: escalating delinquency, nearly maxed-out credit, and effectively zero repayment activity in the most recent months.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Feature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53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Interpretation</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LIMIT_BAL</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NT$50,000</w:t>
            </w:r>
          </w:p>
        </w:tc>
        <w:tc>
          <w:tcPr>
            <w:tcW w:type="dxa" w:w="5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credit limit as low-risk profile for a controlled comparison</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PAY_0</w:t>
            </w:r>
          </w:p>
        </w:tc>
        <w:tc>
          <w:tcPr>
            <w:tcW w:type="dxa" w:w="16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536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months overdue on most recent payment — severe delinquency</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PAY_2 – PAY_3</w:t>
            </w:r>
          </w:p>
        </w:tc>
        <w:tc>
          <w:tcPr>
            <w:tcW w:type="dxa" w:w="16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536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months overdue — deteriorating payment history</w:t>
            </w:r>
          </w:p>
        </w:tc>
      </w:tr>
      <w:tr>
        <w:tc>
          <w:tcPr>
            <w:tcW w:type="dxa" w:w="24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PAY_4 – PAY_5</w:t>
            </w:r>
          </w:p>
        </w:tc>
        <w:tc>
          <w:tcPr>
            <w:tcW w:type="dxa" w:w="16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536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month overdue — delinquency began 5 months ago</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BILL_AMT1–6</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NT$37,000–49,000</w:t>
            </w:r>
          </w:p>
        </w:tc>
        <w:tc>
          <w:tcPr>
            <w:tcW w:type="dxa" w:w="5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Nearly maxed out (49K out of 50K limit) with rising balances</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PAY_AMT1–2</w:t>
            </w:r>
          </w:p>
        </w:tc>
        <w:tc>
          <w:tcPr>
            <w:tcW w:type="dxa" w:w="16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NT$0</w:t>
            </w:r>
          </w:p>
        </w:tc>
        <w:tc>
          <w:tcPr>
            <w:tcW w:type="dxa" w:w="536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payment whatsoever in the two most recent months</w:t>
            </w:r>
          </w:p>
        </w:tc>
      </w:tr>
      <w:tr>
        <w:tc>
          <w:tcPr>
            <w:tcW w:type="dxa" w:w="24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PAY_AMT3–6</w:t>
            </w:r>
          </w:p>
        </w:tc>
        <w:tc>
          <w:tcPr>
            <w:tcW w:type="dxa" w:w="16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NT$500–1,500</w:t>
            </w:r>
          </w:p>
        </w:tc>
        <w:tc>
          <w:tcPr>
            <w:tcW w:type="dxa" w:w="536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Token payments only — far below minimum repayment of outstanding balance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PAY_TREND (computed)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+1.5</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Mean delinquency of 1.5 = chronically late for 6 months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PAY_TO_BILL (computed)</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~0.02</w:t>
            </w:r>
          </w:p>
        </w:tc>
        <w:tc>
          <w:tcPr>
            <w:tcW w:type="dxa" w:w="5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Paying only 2% of outstanding bill — near-zero repayment</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7.3 Prediction Results After Bug Fix</w:t>
      </w:r>
    </w:p>
    <w:p>
      <w:pPr>
        <w:pBdr>
          <w:left w:val="single" w:color="1E7145" w:sz="16" w:space="8"/>
        </w:pBdr>
        <w:shd w:fill="E2EFDA" w:val="clear"/>
        <w:spacing w:after="120" w:before="120"/>
        <w:ind w:left="360" w:right="360"/>
      </w:pPr>
      <w:r>
        <w:rPr>
          <w:rFonts w:ascii="Arial" w:cs="Arial" w:eastAsia="Arial" w:hAnsi="Arial"/>
          <w:b/>
          <w:bCs/>
          <w:color w:val="1E7145"/>
          <w:sz w:val="21"/>
          <w:szCs w:val="21"/>
        </w:rPr>
        <w:t xml:space="preserve">After fixing the PAY_AMT filter bug, both profiles produce clearly separated outputs as expected from a correctly functioning credit risk model.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Output Field</w:t>
            </w:r>
          </w:p>
        </w:tc>
        <w:tc>
          <w:tcPr>
            <w:tcW w:type="dxa" w:w="32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Low Risk Customer</w:t>
            </w:r>
          </w:p>
        </w:tc>
        <w:tc>
          <w:tcPr>
            <w:tcW w:type="dxa" w:w="32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High Risk Customer</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prediction</w:t>
            </w:r>
          </w:p>
        </w:tc>
        <w:tc>
          <w:tcPr>
            <w:tcW w:type="dxa" w:w="328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bCs/>
                <w:color w:val="1E7145"/>
                <w:sz w:val="20"/>
                <w:szCs w:val="20"/>
              </w:rPr>
              <w:t xml:space="preserve">0 — No Default</w:t>
            </w:r>
          </w:p>
        </w:tc>
        <w:tc>
          <w:tcPr>
            <w:tcW w:type="dxa" w:w="328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1 — Default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probability_of_default</w:t>
            </w:r>
          </w:p>
        </w:tc>
        <w:tc>
          <w:tcPr>
            <w:tcW w:type="dxa" w:w="328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 0.170 (Low band)</w:t>
            </w:r>
          </w:p>
        </w:tc>
        <w:tc>
          <w:tcPr>
            <w:tcW w:type="dxa" w:w="328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&gt; 0.500 (High band)</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risk_label</w:t>
            </w:r>
          </w:p>
        </w:tc>
        <w:tc>
          <w:tcPr>
            <w:tcW w:type="dxa" w:w="328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bCs/>
                <w:color w:val="1E7145"/>
                <w:sz w:val="20"/>
                <w:szCs w:val="20"/>
              </w:rPr>
              <w:t xml:space="preserve">Low</w:t>
            </w:r>
          </w:p>
        </w:tc>
        <w:tc>
          <w:tcPr>
            <w:tcW w:type="dxa" w:w="328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High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model_used</w:t>
            </w:r>
          </w:p>
        </w:tc>
        <w:tc>
          <w:tcPr>
            <w:tcW w:type="dxa" w:w="3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RandomForest</w:t>
            </w:r>
          </w:p>
        </w:tc>
        <w:tc>
          <w:tcPr>
            <w:tcW w:type="dxa" w:w="3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RandomForest</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threshold_applied</w:t>
            </w:r>
          </w:p>
        </w:tc>
        <w:tc>
          <w:tcPr>
            <w:tcW w:type="dxa" w:w="32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0.339</w:t>
            </w:r>
          </w:p>
        </w:tc>
        <w:tc>
          <w:tcPr>
            <w:tcW w:type="dxa" w:w="32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0.339</w:t>
            </w:r>
          </w:p>
        </w:tc>
      </w:tr>
    </w:tbl>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The clear separation between the two profiles confirms that: (1) the feature engineering pipeline correctly computes PAY_TREND, UTIL_RATIO, and PAY_TO_BILL; (2) the scaler is being applied correctly; (3) the model is responding to the right features; and (4) the threshold and risk bands are functioning as designed.</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8. Conclusion</w:t>
      </w:r>
    </w:p>
    <w:p>
      <w:pPr>
        <w:spacing w:after="100" w:before="60"/>
        <w:jc w:val="both"/>
      </w:pPr>
      <w:r>
        <w:rPr>
          <w:rFonts w:ascii="Arial" w:cs="Arial" w:eastAsia="Arial" w:hAnsi="Arial"/>
          <w:b w:val="false"/>
          <w:bCs w:val="false"/>
          <w:color w:val="000000"/>
          <w:sz w:val="22"/>
          <w:szCs w:val="22"/>
        </w:rPr>
        <w:t xml:space="preserve">The SmartLoan prediction pipeline is a fully self-contained inference engine that correctly loads, transforms, scores, and classifies a credit card customer's default risk. The key design decisions documented in this report are:</w:t>
      </w:r>
    </w:p>
    <w:p>
      <w:pPr>
        <w:pStyle w:val="ListParagraph"/>
        <w:numPr>
          <w:ilvl w:val="0"/>
          <w:numId w:val="2"/>
        </w:numPr>
        <w:spacing w:after="60" w:before="40"/>
      </w:pPr>
      <w:r>
        <w:rPr>
          <w:rFonts w:ascii="Arial" w:cs="Arial" w:eastAsia="Arial" w:hAnsi="Arial"/>
          <w:sz w:val="22"/>
          <w:szCs w:val="22"/>
        </w:rPr>
        <w:t xml:space="preserve">Joblib-based artifact loading over MLflow URIs ensures the model and its threshold are always paired correctly and the pipeline is deployable independently of the MLflow server.</w:t>
      </w:r>
    </w:p>
    <w:p>
      <w:pPr>
        <w:pStyle w:val="ListParagraph"/>
        <w:numPr>
          <w:ilvl w:val="0"/>
          <w:numId w:val="2"/>
        </w:numPr>
        <w:spacing w:after="60" w:before="40"/>
      </w:pPr>
      <w:r>
        <w:rPr>
          <w:rFonts w:ascii="Arial" w:cs="Arial" w:eastAsia="Arial" w:hAnsi="Arial"/>
          <w:sz w:val="22"/>
          <w:szCs w:val="22"/>
        </w:rPr>
        <w:t xml:space="preserve">Feature engineering mirrors DataTransformation exactly — PAY_TREND, UTIL_RATIO, and PAY_TO_BILL are computed identically at inference time using the corrected PAY_AMT filter.</w:t>
      </w:r>
    </w:p>
    <w:p>
      <w:pPr>
        <w:pStyle w:val="ListParagraph"/>
        <w:numPr>
          <w:ilvl w:val="0"/>
          <w:numId w:val="2"/>
        </w:numPr>
        <w:spacing w:after="60" w:before="40"/>
      </w:pPr>
      <w:r>
        <w:rPr>
          <w:rFonts w:ascii="Arial" w:cs="Arial" w:eastAsia="Arial" w:hAnsi="Arial"/>
          <w:sz w:val="22"/>
          <w:szCs w:val="22"/>
        </w:rPr>
        <w:t xml:space="preserve">Column alignment against training_columns.txt guarantees that the 27 features are always in the correct order and schema, regardless of what the raw input contains.</w:t>
      </w:r>
    </w:p>
    <w:p>
      <w:pPr>
        <w:pStyle w:val="ListParagraph"/>
        <w:numPr>
          <w:ilvl w:val="0"/>
          <w:numId w:val="2"/>
        </w:numPr>
        <w:spacing w:after="60" w:before="40"/>
      </w:pPr>
      <w:r>
        <w:rPr>
          <w:rFonts w:ascii="Arial" w:cs="Arial" w:eastAsia="Arial" w:hAnsi="Arial"/>
          <w:sz w:val="22"/>
          <w:szCs w:val="22"/>
        </w:rPr>
        <w:t xml:space="preserve">Optimal threshold (0.339) is applied via predict_proba() + manual threshold — not model.predict() — ensuring the operating point selected during training is honoured at inference.</w:t>
      </w:r>
    </w:p>
    <w:p>
      <w:pPr>
        <w:pStyle w:val="ListParagraph"/>
        <w:numPr>
          <w:ilvl w:val="0"/>
          <w:numId w:val="2"/>
        </w:numPr>
        <w:spacing w:after="60" w:before="40"/>
      </w:pPr>
      <w:r>
        <w:rPr>
          <w:rFonts w:ascii="Arial" w:cs="Arial" w:eastAsia="Arial" w:hAnsi="Arial"/>
          <w:sz w:val="22"/>
          <w:szCs w:val="22"/>
        </w:rPr>
        <w:t xml:space="preserve">Risk bands are defined relative to the threshold, not hardcoded, so they remain meaningful across model versions and threshold values.</w:t>
      </w:r>
    </w:p>
    <w:p>
      <w:pPr>
        <w:pStyle w:val="ListParagraph"/>
        <w:numPr>
          <w:ilvl w:val="0"/>
          <w:numId w:val="2"/>
        </w:numPr>
        <w:spacing w:after="60" w:before="40"/>
      </w:pPr>
      <w:r>
        <w:rPr>
          <w:rFonts w:ascii="Arial" w:cs="Arial" w:eastAsia="Arial" w:hAnsi="Arial"/>
          <w:sz w:val="22"/>
          <w:szCs w:val="22"/>
        </w:rPr>
        <w:t xml:space="preserve">The PAY_AMT filter bug was identified through validation testing, diagnosed to its root cause, and resolved with a one-line prefix exclusion that correctly isolates repayment status codes from payment amount values.</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The pipeline is ready for API integration. The predict() method accepts a plain Python dictionary and returns a structured result dictionary — both are directly serialisable to JSON for a REST endpoint without any additional transformation.</w:t>
      </w:r>
    </w:p>
    <w:p>
      <w:r>
        <w:rPr>
          <w:sz w:val="22"/>
          <w:szCs w:val="22"/>
        </w:rPr>
        <w:t xml:space="preserve"/>
      </w:r>
    </w:p>
    <w:sectPr>
      <w:footerReference w:type="default" r:id="rId7"/>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595959"/>
        <w:sz w:val="18"/>
        <w:szCs w:val="18"/>
      </w:rPr>
      <w:t xml:space="preserve">SmartLoan Prediction Pipeline Report | 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2026-04-13T05:51:44.353Z</dcterms:created>
  <dcterms:modified xsi:type="dcterms:W3CDTF">2026-04-13T05:51:44.353Z</dcterms:modified>
</cp:coreProperties>
</file>

<file path=docProps/custom.xml><?xml version="1.0" encoding="utf-8"?>
<Properties xmlns="http://schemas.openxmlformats.org/officeDocument/2006/custom-properties" xmlns:vt="http://schemas.openxmlformats.org/officeDocument/2006/docPropsVTypes"/>
</file>