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i w:val="0"/>
          <w:color w:val="B78125"/>
          <w:sz w:val="20"/>
        </w:rPr>
        <w:t>READ-ONLY RESEARCH GUIDE</w:t>
      </w:r>
    </w:p>
    <w:p>
      <w:pPr>
        <w:pStyle w:val="Title"/>
        <w:jc w:val="center"/>
      </w:pPr>
      <w:r>
        <w:rPr>
          <w:rFonts w:ascii="Calibri" w:hAnsi="Calibri"/>
          <w:b/>
          <w:i w:val="0"/>
          <w:color w:val="173A4A"/>
          <w:sz w:val="60"/>
        </w:rPr>
        <w:t>Sarvatobhadra Chakra Lab</w:t>
      </w:r>
    </w:p>
    <w:p>
      <w:pPr>
        <w:pStyle w:val="Subtitle"/>
        <w:jc w:val="center"/>
      </w:pPr>
      <w:r>
        <w:rPr>
          <w:rFonts w:ascii="Calibri" w:hAnsi="Calibri"/>
          <w:b w:val="0"/>
          <w:i w:val="0"/>
          <w:color w:val="5D6A73"/>
          <w:sz w:val="30"/>
        </w:rPr>
        <w:t>Easy user manual for Gann Astro Desk 0.10.9</w:t>
      </w:r>
    </w:p>
    <w:p/>
    <w:p>
      <w:pPr>
        <w:keepNext/>
        <w:jc w:val="center"/>
      </w:pPr>
      <w:r>
        <w:drawing>
          <wp:inline xmlns:a="http://schemas.openxmlformats.org/drawingml/2006/main" xmlns:pic="http://schemas.openxmlformats.org/drawingml/2006/picture">
            <wp:extent cx="5715000" cy="2321719"/>
            <wp:docPr id="1" name="Picture 1" descr="The lab uses source-profiled, figure-relative Vedha geometry on an 81-cell board." title="vedha ray geometry"/>
            <wp:cNvGraphicFramePr>
              <a:graphicFrameLocks noChangeAspect="1"/>
            </wp:cNvGraphicFramePr>
            <a:graphic>
              <a:graphicData uri="http://schemas.openxmlformats.org/drawingml/2006/picture">
                <pic:pic>
                  <pic:nvPicPr>
                    <pic:cNvPr id="0" name="vedha_ray_geometry.png"/>
                    <pic:cNvPicPr/>
                  </pic:nvPicPr>
                  <pic:blipFill>
                    <a:blip r:embed="rId11"/>
                    <a:stretch>
                      <a:fillRect/>
                    </a:stretch>
                  </pic:blipFill>
                  <pic:spPr>
                    <a:xfrm>
                      <a:off x="0" y="0"/>
                      <a:ext cx="5715000" cy="2321719"/>
                    </a:xfrm>
                    <a:prstGeom prst="rect"/>
                  </pic:spPr>
                </pic:pic>
              </a:graphicData>
            </a:graphic>
          </wp:inline>
        </w:drawing>
      </w:r>
    </w:p>
    <w:p>
      <w:pPr>
        <w:spacing w:before="60" w:after="160"/>
        <w:jc w:val="center"/>
      </w:pPr>
      <w:r>
        <w:rPr>
          <w:rFonts w:ascii="Calibri" w:hAnsi="Calibri"/>
          <w:b w:val="0"/>
          <w:i/>
          <w:color w:val="5D6A73"/>
          <w:sz w:val="18"/>
        </w:rPr>
        <w:t>The lab uses source-profiled, figure-relative Vedha geometry on an 81-cell board.</w:t>
      </w:r>
    </w:p>
    <w:tbl>
      <w:tblPr>
        <w:tblW w:type="dxa" w:w="9360"/>
        <w:jc w:val="left"/>
        <w:tblLayout w:type="fixed"/>
        <w:tblLook w:firstColumn="1" w:firstRow="1" w:lastColumn="0" w:lastRow="0" w:noHBand="0" w:noVBand="1" w:val="04A0"/>
        <w:tblInd w:w="0" w:type="dxa"/>
      </w:tblPr>
      <w:tblGrid>
        <w:gridCol w:w="2880"/>
        <w:gridCol w:w="2880"/>
        <w:gridCol w:w="3600"/>
      </w:tblGrid>
      <w:tr>
        <w:trPr>
          <w:tblHeader w:val="true"/>
        </w:trPr>
        <w:tc>
          <w:tcPr>
            <w:tcW w:type="dxa" w:w="2880"/>
            <w:shd w:fill="E8F5F1"/>
            <w:vAlign w:val="center"/>
            <w:tcMar>
              <w:top w:w="90" w:type="dxa"/>
              <w:start w:w="120" w:type="dxa"/>
              <w:bottom w:w="90" w:type="dxa"/>
              <w:end w:w="120" w:type="dxa"/>
            </w:tcMar>
          </w:tcPr>
          <w:p>
            <w:pPr>
              <w:spacing w:after="0"/>
              <w:jc w:val="center"/>
            </w:pPr>
            <w:r>
              <w:rPr>
                <w:rFonts w:ascii="Calibri" w:hAnsi="Calibri"/>
                <w:b/>
                <w:i w:val="0"/>
                <w:color w:val="2E8E7B"/>
                <w:sz w:val="18"/>
              </w:rPr>
              <w:t>READ ONLY</w:t>
            </w:r>
          </w:p>
        </w:tc>
        <w:tc>
          <w:tcPr>
            <w:tcW w:type="dxa" w:w="2880"/>
            <w:shd w:fill="E7F5FA"/>
            <w:vAlign w:val="center"/>
            <w:tcMar>
              <w:top w:w="90" w:type="dxa"/>
              <w:start w:w="120" w:type="dxa"/>
              <w:bottom w:w="90" w:type="dxa"/>
              <w:end w:w="120" w:type="dxa"/>
            </w:tcMar>
          </w:tcPr>
          <w:p>
            <w:pPr>
              <w:spacing w:after="0"/>
              <w:jc w:val="center"/>
            </w:pPr>
            <w:r>
              <w:rPr>
                <w:rFonts w:ascii="Calibri" w:hAnsi="Calibri"/>
                <w:b/>
                <w:i w:val="0"/>
                <w:color w:val="3899BB"/>
                <w:sz w:val="18"/>
              </w:rPr>
              <w:t>NO LOOKAHEAD</w:t>
            </w:r>
          </w:p>
        </w:tc>
        <w:tc>
          <w:tcPr>
            <w:tcW w:type="dxa" w:w="3600"/>
            <w:shd w:fill="FFF4D6"/>
            <w:vAlign w:val="center"/>
            <w:tcMar>
              <w:top w:w="90" w:type="dxa"/>
              <w:start w:w="120" w:type="dxa"/>
              <w:bottom w:w="90" w:type="dxa"/>
              <w:end w:w="120" w:type="dxa"/>
            </w:tcMar>
          </w:tcPr>
          <w:p>
            <w:pPr>
              <w:spacing w:after="0"/>
              <w:jc w:val="center"/>
            </w:pPr>
            <w:r>
              <w:rPr>
                <w:rFonts w:ascii="Calibri" w:hAnsi="Calibri"/>
                <w:b/>
                <w:i w:val="0"/>
                <w:color w:val="B78125"/>
                <w:sz w:val="18"/>
              </w:rPr>
              <w:t>NOT FINANCIALLY VALIDATED</w:t>
            </w:r>
          </w:p>
        </w:tc>
      </w:tr>
    </w:tbl>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CECEC"/>
            <w:tcBorders>
              <w:top w:val="single" w:sz="8" w:color="A43B3B"/>
              <w:left w:val="single" w:sz="8" w:color="A43B3B"/>
              <w:bottom w:val="single" w:sz="8" w:color="A43B3B"/>
              <w:right w:val="single" w:sz="8" w:color="A43B3B"/>
            </w:tcBorders>
          </w:tcPr>
          <w:p>
            <w:pPr>
              <w:spacing w:after="0"/>
            </w:pPr>
            <w:r>
              <w:rPr>
                <w:rFonts w:ascii="Calibri" w:hAnsi="Calibri"/>
                <w:b/>
                <w:i w:val="0"/>
                <w:color w:val="A43B3B"/>
                <w:sz w:val="21"/>
              </w:rPr>
              <w:t xml:space="preserve">Purpose: </w:t>
            </w:r>
            <w:r>
              <w:rPr>
                <w:rFonts w:ascii="Calibri" w:hAnsi="Calibri"/>
                <w:b w:val="0"/>
                <w:i w:val="0"/>
                <w:color w:val="17242D"/>
                <w:sz w:val="21"/>
              </w:rPr>
              <w:t>Use this lab to inspect source-profiled Sarvatobhadra context and Vedha evidence for one moment. Its percentage is an evidence-balance meter, not probability, confidence, market direction, or permission to trade.</w:t>
            </w:r>
          </w:p>
        </w:tc>
      </w:tr>
    </w:tbl>
    <w:p>
      <w:pPr>
        <w:spacing w:after="20"/>
      </w:pPr>
    </w:p>
    <w:p>
      <w:pPr>
        <w:jc w:val="center"/>
      </w:pPr>
      <w:r>
        <w:rPr>
          <w:rFonts w:ascii="Calibri" w:hAnsi="Calibri"/>
          <w:b w:val="0"/>
          <w:i w:val="0"/>
          <w:color w:val="5D6A73"/>
          <w:sz w:val="19"/>
        </w:rPr>
        <w:t>Manual version 1.0  |  18 July 2026  |  Raman sidereal profile</w:t>
      </w:r>
    </w:p>
    <w:p>
      <w:pPr>
        <w:keepNext/>
        <w:pageBreakBefore/>
        <w:spacing w:before="0" w:after="0" w:line="20" w:lineRule="exact"/>
      </w:pPr>
      <w:r>
        <w:rPr>
          <w:rFonts w:ascii="Calibri" w:hAnsi="Calibri"/>
          <w:b w:val="0"/>
          <w:i w:val="0"/>
          <w:color w:val="FFFFFF"/>
          <w:sz w:val="2"/>
        </w:rPr>
      </w:r>
    </w:p>
    <w:p>
      <w:pPr>
        <w:pStyle w:val="Heading1"/>
      </w:pPr>
      <w:r>
        <w:t>Quick Start</w:t>
      </w:r>
    </w:p>
    <w:p>
      <w:pPr>
        <w:keepNext/>
        <w:jc w:val="center"/>
      </w:pPr>
      <w:r>
        <w:drawing>
          <wp:inline xmlns:a="http://schemas.openxmlformats.org/drawingml/2006/main" xmlns:pic="http://schemas.openxmlformats.org/drawingml/2006/picture">
            <wp:extent cx="5943600" cy="3343275"/>
            <wp:docPr id="2" name="Picture 2" descr="Begin with this six-step workflow. Detailed explanations follow." title="Sarvatobhadra Chakra Quick Start v1.0"/>
            <wp:cNvGraphicFramePr>
              <a:graphicFrameLocks noChangeAspect="1"/>
            </wp:cNvGraphicFramePr>
            <a:graphic>
              <a:graphicData uri="http://schemas.openxmlformats.org/drawingml/2006/picture">
                <pic:pic>
                  <pic:nvPicPr>
                    <pic:cNvPr id="0" name="Sarvatobhadra_Chakra_Quick_Start_v1.0.png"/>
                    <pic:cNvPicPr/>
                  </pic:nvPicPr>
                  <pic:blipFill>
                    <a:blip r:embed="rId12"/>
                    <a:stretch>
                      <a:fillRect/>
                    </a:stretch>
                  </pic:blipFill>
                  <pic:spPr>
                    <a:xfrm>
                      <a:off x="0" y="0"/>
                      <a:ext cx="5943600" cy="3343275"/>
                    </a:xfrm>
                    <a:prstGeom prst="rect"/>
                  </pic:spPr>
                </pic:pic>
              </a:graphicData>
            </a:graphic>
          </wp:inline>
        </w:drawing>
      </w:r>
    </w:p>
    <w:p>
      <w:pPr>
        <w:spacing w:before="60" w:after="160"/>
        <w:jc w:val="center"/>
      </w:pPr>
      <w:r>
        <w:rPr>
          <w:rFonts w:ascii="Calibri" w:hAnsi="Calibri"/>
          <w:b w:val="0"/>
          <w:i/>
          <w:color w:val="5D6A73"/>
          <w:sz w:val="18"/>
        </w:rPr>
        <w:t>Begin with this six-step workflow. Detailed explanations follow.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4D6"/>
            <w:tcBorders>
              <w:top w:val="single" w:sz="8" w:color="B78125"/>
              <w:left w:val="single" w:sz="8" w:color="B78125"/>
              <w:bottom w:val="single" w:sz="8" w:color="B78125"/>
              <w:right w:val="single" w:sz="8" w:color="B78125"/>
            </w:tcBorders>
          </w:tcPr>
          <w:p>
            <w:pPr>
              <w:spacing w:after="0"/>
            </w:pPr>
            <w:r>
              <w:rPr>
                <w:rFonts w:ascii="Calibri" w:hAnsi="Calibri"/>
                <w:b/>
                <w:i w:val="0"/>
                <w:color w:val="B78125"/>
                <w:sz w:val="21"/>
              </w:rPr>
              <w:t xml:space="preserve">Best first run: </w:t>
            </w:r>
            <w:r>
              <w:rPr>
                <w:rFonts w:ascii="Calibri" w:hAnsi="Calibri"/>
                <w:b w:val="0"/>
                <w:i w:val="0"/>
                <w:color w:val="17242D"/>
                <w:sz w:val="21"/>
              </w:rPr>
              <w:t>Keep Sun, Moon, Rahu, and Ketu selected. Uncheck Mars, Mercury, Jupiter, Venus, and Saturn until you have verified their motion class. This avoids guessing.</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Screen Tour</w:t>
      </w:r>
    </w:p>
    <w:p>
      <w:pPr>
        <w:keepNext/>
        <w:jc w:val="center"/>
      </w:pPr>
      <w:r>
        <w:drawing>
          <wp:inline xmlns:a="http://schemas.openxmlformats.org/drawingml/2006/main" xmlns:pic="http://schemas.openxmlformats.org/drawingml/2006/picture">
            <wp:extent cx="5943600" cy="3737967"/>
            <wp:docPr id="3" name="Picture 3" descr="Actual native 0.10.9 Chakra Lab screen, annotated for this manual." title="chakra lab native 0109 annotated"/>
            <wp:cNvGraphicFramePr>
              <a:graphicFrameLocks noChangeAspect="1"/>
            </wp:cNvGraphicFramePr>
            <a:graphic>
              <a:graphicData uri="http://schemas.openxmlformats.org/drawingml/2006/picture">
                <pic:pic>
                  <pic:nvPicPr>
                    <pic:cNvPr id="0" name="chakra_lab_native_0109_annotated.png"/>
                    <pic:cNvPicPr/>
                  </pic:nvPicPr>
                  <pic:blipFill>
                    <a:blip r:embed="rId13"/>
                    <a:stretch>
                      <a:fillRect/>
                    </a:stretch>
                  </pic:blipFill>
                  <pic:spPr>
                    <a:xfrm>
                      <a:off x="0" y="0"/>
                      <a:ext cx="5943600" cy="3737967"/>
                    </a:xfrm>
                    <a:prstGeom prst="rect"/>
                  </pic:spPr>
                </pic:pic>
              </a:graphicData>
            </a:graphic>
          </wp:inline>
        </w:drawing>
      </w:r>
    </w:p>
    <w:p>
      <w:pPr>
        <w:spacing w:before="60" w:after="160"/>
        <w:jc w:val="center"/>
      </w:pPr>
      <w:r>
        <w:rPr>
          <w:rFonts w:ascii="Calibri" w:hAnsi="Calibri"/>
          <w:b w:val="0"/>
          <w:i/>
          <w:color w:val="5D6A73"/>
          <w:sz w:val="18"/>
        </w:rPr>
        <w:t>Actual native 0.10.9 Chakra Lab screen, annotated for this manual.</w:t>
      </w:r>
    </w:p>
    <w:tbl>
      <w:tblPr>
        <w:tblStyle w:val="TableGrid"/>
        <w:tblW w:type="dxa" w:w="9360"/>
        <w:jc w:val="left"/>
        <w:tblLayout w:type="fixed"/>
        <w:tblLook w:firstColumn="1" w:firstRow="1" w:lastColumn="0" w:lastRow="0" w:noHBand="0" w:noVBand="1" w:val="04A0"/>
        <w:tblInd w:w="120" w:type="dxa"/>
      </w:tblPr>
      <w:tblGrid>
        <w:gridCol w:w="792"/>
        <w:gridCol w:w="2232"/>
        <w:gridCol w:w="6336"/>
      </w:tblGrid>
      <w:tr>
        <w:trPr>
          <w:tblHeader w:val="true"/>
        </w:trPr>
        <w:tc>
          <w:tcPr>
            <w:tcW w:type="dxa" w:w="792"/>
            <w:shd w:fill="E8EEF5"/>
            <w:vAlign w:val="center"/>
            <w:tcMar>
              <w:top w:w="90" w:type="dxa"/>
              <w:start w:w="120" w:type="dxa"/>
              <w:bottom w:w="90" w:type="dxa"/>
              <w:end w:w="120" w:type="dxa"/>
            </w:tcMar>
          </w:tcPr>
          <w:p>
            <w:pPr>
              <w:spacing w:after="0"/>
            </w:pPr>
            <w:r>
              <w:rPr>
                <w:rFonts w:ascii="Calibri" w:hAnsi="Calibri"/>
                <w:b/>
                <w:i w:val="0"/>
                <w:color w:val="17242D"/>
                <w:sz w:val="19"/>
              </w:rPr>
              <w:t>No.</w:t>
            </w:r>
          </w:p>
        </w:tc>
        <w:tc>
          <w:tcPr>
            <w:tcW w:type="dxa" w:w="2232"/>
            <w:shd w:fill="E8EEF5"/>
            <w:vAlign w:val="center"/>
            <w:tcMar>
              <w:top w:w="90" w:type="dxa"/>
              <w:start w:w="120" w:type="dxa"/>
              <w:bottom w:w="90" w:type="dxa"/>
              <w:end w:w="120" w:type="dxa"/>
            </w:tcMar>
          </w:tcPr>
          <w:p>
            <w:pPr>
              <w:spacing w:after="0"/>
            </w:pPr>
            <w:r>
              <w:rPr>
                <w:rFonts w:ascii="Calibri" w:hAnsi="Calibri"/>
                <w:b/>
                <w:i w:val="0"/>
                <w:color w:val="17242D"/>
                <w:sz w:val="19"/>
              </w:rPr>
              <w:t>Area</w:t>
            </w:r>
          </w:p>
        </w:tc>
        <w:tc>
          <w:tcPr>
            <w:tcW w:type="dxa" w:w="6336"/>
            <w:shd w:fill="E8EEF5"/>
            <w:vAlign w:val="center"/>
            <w:tcMar>
              <w:top w:w="90" w:type="dxa"/>
              <w:start w:w="120" w:type="dxa"/>
              <w:bottom w:w="90" w:type="dxa"/>
              <w:end w:w="120" w:type="dxa"/>
            </w:tcMar>
          </w:tcPr>
          <w:p>
            <w:pPr>
              <w:spacing w:after="0"/>
            </w:pPr>
            <w:r>
              <w:rPr>
                <w:rFonts w:ascii="Calibri" w:hAnsi="Calibri"/>
                <w:b/>
                <w:i w:val="0"/>
                <w:color w:val="17242D"/>
                <w:sz w:val="19"/>
              </w:rPr>
              <w:t>What it is for</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1</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Chakra tab</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Opens the read-only Chakra Lab workspace.</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2</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Moment and place</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IST timestamp, latitude, longitude, and altitude.</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3</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Optional context</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Research-only vowel and name-initial keys.</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4</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Vedha actors</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Planet selection, explicit motion, and dignity.</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5</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81-cell board</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Nakshatra, rashi, tithi, weekday, vowel, and initial layers.</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6</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Board legend</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Context, ray, and matched color states.</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7</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Guidance ledger</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Evidence balance, units, net, and coverage.</w:t>
            </w:r>
          </w:p>
        </w:tc>
      </w:tr>
      <w:tr>
        <w:tc>
          <w:tcPr>
            <w:tcW w:type="dxa" w:w="792"/>
            <w:shd w:fill="F2F5F7"/>
            <w:vAlign w:val="center"/>
            <w:tcMar>
              <w:top w:w="90" w:type="dxa"/>
              <w:start w:w="120" w:type="dxa"/>
              <w:bottom w:w="90" w:type="dxa"/>
              <w:end w:w="120" w:type="dxa"/>
            </w:tcMar>
          </w:tcPr>
          <w:p>
            <w:pPr>
              <w:spacing w:after="0"/>
            </w:pPr>
            <w:r>
              <w:rPr>
                <w:rFonts w:ascii="Calibri" w:hAnsi="Calibri"/>
                <w:b/>
                <w:i w:val="0"/>
                <w:color w:val="17242D"/>
                <w:sz w:val="19"/>
              </w:rPr>
              <w:t>8</w:t>
            </w:r>
          </w:p>
        </w:tc>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Evidence and inspector</w:t>
            </w:r>
          </w:p>
        </w:tc>
        <w:tc>
          <w:tcPr>
            <w:tcW w:type="dxa" w:w="6336"/>
            <w:vAlign w:val="center"/>
            <w:tcMar>
              <w:top w:w="90" w:type="dxa"/>
              <w:start w:w="120" w:type="dxa"/>
              <w:bottom w:w="90" w:type="dxa"/>
              <w:end w:w="120" w:type="dxa"/>
            </w:tcMar>
          </w:tcPr>
          <w:p>
            <w:pPr>
              <w:spacing w:after="0"/>
            </w:pPr>
            <w:r>
              <w:rPr>
                <w:rFonts w:ascii="Calibri" w:hAnsi="Calibri"/>
                <w:b w:val="0"/>
                <w:i w:val="0"/>
                <w:color w:val="17242D"/>
                <w:sz w:val="19"/>
              </w:rPr>
              <w:t>Actor readiness, matched cells, and selected-cell layers.</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The Idea in One Minute</w:t>
      </w:r>
    </w:p>
    <w:p>
      <w:r>
        <w:rPr>
          <w:rFonts w:ascii="Calibri" w:hAnsi="Calibri"/>
          <w:b w:val="0"/>
          <w:i w:val="0"/>
          <w:color w:val="17242D"/>
          <w:sz w:val="22"/>
        </w:rPr>
        <w:t>The program builds one 9 x 9 Sarvatobhadra board for the moment you choose. Each cell can contain one or more certified layers, such as a nakshatra, rashi, tithi group, weekday, vowel, or name-initial key.</w:t>
      </w:r>
    </w:p>
    <w:p>
      <w:pPr>
        <w:pStyle w:val="ListNumber"/>
      </w:pPr>
      <w:r>
        <w:rPr>
          <w:rFonts w:ascii="Calibri" w:hAnsi="Calibri"/>
          <w:b w:val="0"/>
          <w:i w:val="0"/>
          <w:color w:val="17242D"/>
          <w:sz w:val="22"/>
        </w:rPr>
        <w:t>The current moment supplies context values: planetary nakshatras and rashis, the tithi group, and any optional letter keys you enter.</w:t>
      </w:r>
    </w:p>
    <w:p>
      <w:pPr>
        <w:pStyle w:val="ListNumber"/>
      </w:pPr>
      <w:r>
        <w:rPr>
          <w:rFonts w:ascii="Calibri" w:hAnsi="Calibri"/>
          <w:b w:val="0"/>
          <w:i w:val="0"/>
          <w:color w:val="17242D"/>
          <w:sz w:val="22"/>
        </w:rPr>
        <w:t>Each selected planet starts from its current nakshatra cell and projects one source-profiled Vedha ray.</w:t>
      </w:r>
    </w:p>
    <w:p>
      <w:pPr>
        <w:pStyle w:val="ListNumber"/>
      </w:pPr>
      <w:r>
        <w:rPr>
          <w:rFonts w:ascii="Calibri" w:hAnsi="Calibri"/>
          <w:b w:val="0"/>
          <w:i w:val="0"/>
          <w:color w:val="17242D"/>
          <w:sz w:val="22"/>
        </w:rPr>
        <w:t>A matched cell occurs only where a ray target overlaps the current context.</w:t>
      </w:r>
    </w:p>
    <w:p>
      <w:pPr>
        <w:pStyle w:val="ListNumber"/>
      </w:pPr>
      <w:r>
        <w:rPr>
          <w:rFonts w:ascii="Calibri" w:hAnsi="Calibri"/>
          <w:b w:val="0"/>
          <w:i w:val="0"/>
          <w:color w:val="17242D"/>
          <w:sz w:val="22"/>
        </w:rPr>
        <w:t>Only matched cells enter the guidance ledger; ordinary ray cells do not score.</w:t>
      </w:r>
    </w:p>
    <w:p>
      <w:pPr>
        <w:keepNext/>
        <w:jc w:val="center"/>
      </w:pPr>
      <w:r>
        <w:drawing>
          <wp:inline xmlns:a="http://schemas.openxmlformats.org/drawingml/2006/main" xmlns:pic="http://schemas.openxmlformats.org/drawingml/2006/picture">
            <wp:extent cx="5943600" cy="2414588"/>
            <wp:docPr id="4" name="Picture 4" descr="Left, front, and right are relative to the figure. They are not North, South, East, or West." title="vedha ray geometry"/>
            <wp:cNvGraphicFramePr>
              <a:graphicFrameLocks noChangeAspect="1"/>
            </wp:cNvGraphicFramePr>
            <a:graphic>
              <a:graphicData uri="http://schemas.openxmlformats.org/drawingml/2006/picture">
                <pic:pic>
                  <pic:nvPicPr>
                    <pic:cNvPr id="0" name="vedha_ray_geometry.png"/>
                    <pic:cNvPicPr/>
                  </pic:nvPicPr>
                  <pic:blipFill>
                    <a:blip r:embed="rId11"/>
                    <a:stretch>
                      <a:fillRect/>
                    </a:stretch>
                  </pic:blipFill>
                  <pic:spPr>
                    <a:xfrm>
                      <a:off x="0" y="0"/>
                      <a:ext cx="5943600" cy="2414588"/>
                    </a:xfrm>
                    <a:prstGeom prst="rect"/>
                  </pic:spPr>
                </pic:pic>
              </a:graphicData>
            </a:graphic>
          </wp:inline>
        </w:drawing>
      </w:r>
    </w:p>
    <w:p>
      <w:pPr>
        <w:spacing w:before="60" w:after="160"/>
        <w:jc w:val="center"/>
      </w:pPr>
      <w:r>
        <w:rPr>
          <w:rFonts w:ascii="Calibri" w:hAnsi="Calibri"/>
          <w:b w:val="0"/>
          <w:i/>
          <w:color w:val="5D6A73"/>
          <w:sz w:val="18"/>
        </w:rPr>
        <w:t>Left, front, and right are relative to the figure. They are not North, South, East, or West.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4D6"/>
            <w:tcBorders>
              <w:top w:val="single" w:sz="8" w:color="B78125"/>
              <w:left w:val="single" w:sz="8" w:color="B78125"/>
              <w:bottom w:val="single" w:sz="8" w:color="B78125"/>
              <w:right w:val="single" w:sz="8" w:color="B78125"/>
            </w:tcBorders>
          </w:tcPr>
          <w:p>
            <w:pPr>
              <w:spacing w:after="0"/>
            </w:pPr>
            <w:r>
              <w:rPr>
                <w:rFonts w:ascii="Calibri" w:hAnsi="Calibri"/>
                <w:b/>
                <w:i w:val="0"/>
                <w:color w:val="B78125"/>
                <w:sz w:val="21"/>
              </w:rPr>
              <w:t xml:space="preserve">Important: </w:t>
            </w:r>
            <w:r>
              <w:rPr>
                <w:rFonts w:ascii="Calibri" w:hAnsi="Calibri"/>
                <w:b w:val="0"/>
                <w:i w:val="0"/>
                <w:color w:val="17242D"/>
                <w:sz w:val="21"/>
              </w:rPr>
              <w:t>The program deliberately does not claim an absolute compass orientation because the held source figures have an unresolved rotation conflict.</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1. Set the Moment</w:t>
      </w:r>
    </w:p>
    <w:p>
      <w:pPr>
        <w:pStyle w:val="Heading2"/>
      </w:pPr>
      <w:r>
        <w:t>Timestamp</w:t>
      </w:r>
    </w:p>
    <w:p>
      <w:r>
        <w:rPr>
          <w:rFonts w:ascii="Calibri" w:hAnsi="Calibri"/>
          <w:b w:val="0"/>
          <w:i w:val="0"/>
          <w:color w:val="17242D"/>
          <w:sz w:val="22"/>
        </w:rPr>
        <w:t>Enter the moment in IST. The app sends an explicit +05:30 offset and derives astronomy, Panchanga, placements, board context, and Vedha evidence from the same cutoff. There is no lookahead inside the snapshot.</w:t>
      </w:r>
    </w:p>
    <w:p>
      <w:pPr>
        <w:pStyle w:val="ListBullet"/>
      </w:pPr>
      <w:r>
        <w:rPr>
          <w:rFonts w:ascii="Calibri" w:hAnsi="Calibri"/>
          <w:b w:val="0"/>
          <w:i w:val="0"/>
          <w:color w:val="17242D"/>
          <w:sz w:val="22"/>
        </w:rPr>
        <w:t>For current research, use the present IST date and time.</w:t>
      </w:r>
    </w:p>
    <w:p>
      <w:pPr>
        <w:pStyle w:val="ListBullet"/>
      </w:pPr>
      <w:r>
        <w:rPr>
          <w:rFonts w:ascii="Calibri" w:hAnsi="Calibri"/>
          <w:b w:val="0"/>
          <w:i w:val="0"/>
          <w:color w:val="17242D"/>
          <w:sz w:val="22"/>
        </w:rPr>
        <w:t>For historical research, enter the exact historical IST moment you intend to study.</w:t>
      </w:r>
    </w:p>
    <w:p>
      <w:pPr>
        <w:pStyle w:val="ListBullet"/>
      </w:pPr>
      <w:r>
        <w:rPr>
          <w:rFonts w:ascii="Calibri" w:hAnsi="Calibri"/>
          <w:b w:val="0"/>
          <w:i w:val="0"/>
          <w:color w:val="17242D"/>
          <w:sz w:val="22"/>
        </w:rPr>
        <w:t>After changing any input, press Refresh snapshot. Inputs do not recalculate automatically.</w:t>
      </w:r>
    </w:p>
    <w:p>
      <w:pPr>
        <w:pStyle w:val="Heading2"/>
      </w:pPr>
      <w:r>
        <w:t>Location</w:t>
      </w:r>
    </w:p>
    <w:p>
      <w:r>
        <w:rPr>
          <w:rFonts w:ascii="Calibri" w:hAnsi="Calibri"/>
          <w:b w:val="0"/>
          <w:i w:val="0"/>
          <w:color w:val="17242D"/>
          <w:sz w:val="22"/>
        </w:rPr>
        <w:t>Latitude, longitude, and altitude define the geographic reference used by the foundation calculation. The fields are prefilled from the active workspace; verify them instead of assuming they represent your laptop location.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8F5F1"/>
            <w:tcBorders>
              <w:top w:val="single" w:sz="8" w:color="2E8E7B"/>
              <w:left w:val="single" w:sz="8" w:color="2E8E7B"/>
              <w:bottom w:val="single" w:sz="8" w:color="2E8E7B"/>
              <w:right w:val="single" w:sz="8" w:color="2E8E7B"/>
            </w:tcBorders>
          </w:tcPr>
          <w:p>
            <w:pPr>
              <w:spacing w:after="0"/>
            </w:pPr>
            <w:r>
              <w:rPr>
                <w:rFonts w:ascii="Calibri" w:hAnsi="Calibri"/>
                <w:b/>
                <w:i w:val="0"/>
                <w:color w:val="2E8E7B"/>
                <w:sz w:val="21"/>
              </w:rPr>
              <w:t xml:space="preserve">Consistency rule: </w:t>
            </w:r>
            <w:r>
              <w:rPr>
                <w:rFonts w:ascii="Calibri" w:hAnsi="Calibri"/>
                <w:b w:val="0"/>
                <w:i w:val="0"/>
                <w:color w:val="17242D"/>
                <w:sz w:val="21"/>
              </w:rPr>
              <w:t>Use one documented location policy for a research series. Changing location between samples can change Panchanga context and makes comparisons harder to interpret.</w:t>
            </w:r>
          </w:p>
        </w:tc>
      </w:tr>
    </w:tbl>
    <w:p>
      <w:pPr>
        <w:spacing w:after="20"/>
      </w:pPr>
    </w:p>
    <w:p>
      <w:pPr>
        <w:pStyle w:val="Heading2"/>
      </w:pPr>
      <w:r>
        <w:t>Optional context</w:t>
      </w:r>
    </w:p>
    <w:p>
      <w:r>
        <w:rPr>
          <w:rFonts w:ascii="Calibri" w:hAnsi="Calibri"/>
          <w:b w:val="0"/>
          <w:i w:val="0"/>
          <w:color w:val="17242D"/>
          <w:sz w:val="22"/>
        </w:rPr>
        <w:t>Vowel keys and name-initial keys add extra context layers. Leave both blank for a basic moment study. Do not type an instrument symbol such as USDJPY unless you have a separately reviewed, time-valid mapping.</w:t>
      </w:r>
    </w:p>
    <w:tbl>
      <w:tblPr>
        <w:tblStyle w:val="TableGrid"/>
        <w:tblW w:type="dxa" w:w="9360"/>
        <w:jc w:val="left"/>
        <w:tblLayout w:type="fixed"/>
        <w:tblLook w:firstColumn="1" w:firstRow="1" w:lastColumn="0" w:lastRow="0" w:noHBand="0" w:noVBand="1" w:val="04A0"/>
        <w:tblInd w:w="120" w:type="dxa"/>
      </w:tblPr>
      <w:tblGrid>
        <w:gridCol w:w="2016"/>
        <w:gridCol w:w="1728"/>
        <w:gridCol w:w="5616"/>
      </w:tblGrid>
      <w:tr>
        <w:trPr>
          <w:tblHeader w:val="true"/>
        </w:trPr>
        <w:tc>
          <w:tcPr>
            <w:tcW w:type="dxa" w:w="2016"/>
            <w:shd w:fill="E8EEF5"/>
            <w:vAlign w:val="center"/>
            <w:tcMar>
              <w:top w:w="90" w:type="dxa"/>
              <w:start w:w="120" w:type="dxa"/>
              <w:bottom w:w="90" w:type="dxa"/>
              <w:end w:w="120" w:type="dxa"/>
            </w:tcMar>
          </w:tcPr>
          <w:p>
            <w:pPr>
              <w:spacing w:after="0"/>
            </w:pPr>
            <w:r>
              <w:rPr>
                <w:rFonts w:ascii="Calibri" w:hAnsi="Calibri"/>
                <w:b/>
                <w:i w:val="0"/>
                <w:color w:val="17242D"/>
                <w:sz w:val="19"/>
              </w:rPr>
              <w:t>Field</w:t>
            </w:r>
          </w:p>
        </w:tc>
        <w:tc>
          <w:tcPr>
            <w:tcW w:type="dxa" w:w="1728"/>
            <w:shd w:fill="E8EEF5"/>
            <w:vAlign w:val="center"/>
            <w:tcMar>
              <w:top w:w="90" w:type="dxa"/>
              <w:start w:w="120" w:type="dxa"/>
              <w:bottom w:w="90" w:type="dxa"/>
              <w:end w:w="120" w:type="dxa"/>
            </w:tcMar>
          </w:tcPr>
          <w:p>
            <w:pPr>
              <w:spacing w:after="0"/>
            </w:pPr>
            <w:r>
              <w:rPr>
                <w:rFonts w:ascii="Calibri" w:hAnsi="Calibri"/>
                <w:b/>
                <w:i w:val="0"/>
                <w:color w:val="17242D"/>
                <w:sz w:val="19"/>
              </w:rPr>
              <w:t>Example</w:t>
            </w:r>
          </w:p>
        </w:tc>
        <w:tc>
          <w:tcPr>
            <w:tcW w:type="dxa" w:w="5616"/>
            <w:shd w:fill="E8EEF5"/>
            <w:vAlign w:val="center"/>
            <w:tcMar>
              <w:top w:w="90" w:type="dxa"/>
              <w:start w:w="120" w:type="dxa"/>
              <w:bottom w:w="90" w:type="dxa"/>
              <w:end w:w="120" w:type="dxa"/>
            </w:tcMar>
          </w:tcPr>
          <w:p>
            <w:pPr>
              <w:spacing w:after="0"/>
            </w:pPr>
            <w:r>
              <w:rPr>
                <w:rFonts w:ascii="Calibri" w:hAnsi="Calibri"/>
                <w:b/>
                <w:i w:val="0"/>
                <w:color w:val="17242D"/>
                <w:sz w:val="19"/>
              </w:rPr>
              <w:t>When to use</w:t>
            </w:r>
          </w:p>
        </w:tc>
      </w:tr>
      <w:tr>
        <w:tc>
          <w:tcPr>
            <w:tcW w:type="dxa" w:w="2016"/>
            <w:shd w:fill="F2F5F7"/>
            <w:vAlign w:val="center"/>
            <w:tcMar>
              <w:top w:w="90" w:type="dxa"/>
              <w:start w:w="120" w:type="dxa"/>
              <w:bottom w:w="90" w:type="dxa"/>
              <w:end w:w="120" w:type="dxa"/>
            </w:tcMar>
          </w:tcPr>
          <w:p>
            <w:pPr>
              <w:spacing w:after="0"/>
            </w:pPr>
            <w:r>
              <w:rPr>
                <w:rFonts w:ascii="Calibri" w:hAnsi="Calibri"/>
                <w:b/>
                <w:i w:val="0"/>
                <w:color w:val="17242D"/>
                <w:sz w:val="19"/>
              </w:rPr>
              <w:t>Vowel keys</w:t>
            </w:r>
          </w:p>
        </w:tc>
        <w:tc>
          <w:tcPr>
            <w:tcW w:type="dxa" w:w="1728"/>
            <w:vAlign w:val="center"/>
            <w:tcMar>
              <w:top w:w="90" w:type="dxa"/>
              <w:start w:w="120" w:type="dxa"/>
              <w:bottom w:w="90" w:type="dxa"/>
              <w:end w:w="120" w:type="dxa"/>
            </w:tcMar>
          </w:tcPr>
          <w:p>
            <w:pPr>
              <w:spacing w:after="0"/>
            </w:pPr>
            <w:r>
              <w:rPr>
                <w:rFonts w:ascii="Calibri" w:hAnsi="Calibri"/>
                <w:b w:val="0"/>
                <w:i w:val="0"/>
                <w:color w:val="17242D"/>
                <w:sz w:val="19"/>
              </w:rPr>
              <w:t>A, AA</w:t>
            </w:r>
          </w:p>
        </w:tc>
        <w:tc>
          <w:tcPr>
            <w:tcW w:type="dxa" w:w="5616"/>
            <w:vAlign w:val="center"/>
            <w:tcMar>
              <w:top w:w="90" w:type="dxa"/>
              <w:start w:w="120" w:type="dxa"/>
              <w:bottom w:w="90" w:type="dxa"/>
              <w:end w:w="120" w:type="dxa"/>
            </w:tcMar>
          </w:tcPr>
          <w:p>
            <w:pPr>
              <w:spacing w:after="0"/>
            </w:pPr>
            <w:r>
              <w:rPr>
                <w:rFonts w:ascii="Calibri" w:hAnsi="Calibri"/>
                <w:b w:val="0"/>
                <w:i w:val="0"/>
                <w:color w:val="17242D"/>
                <w:sz w:val="19"/>
              </w:rPr>
              <w:t>Only when a source-reviewed vowel mapping is part of the research question.</w:t>
            </w:r>
          </w:p>
        </w:tc>
      </w:tr>
      <w:tr>
        <w:tc>
          <w:tcPr>
            <w:tcW w:type="dxa" w:w="2016"/>
            <w:shd w:fill="F2F5F7"/>
            <w:vAlign w:val="center"/>
            <w:tcMar>
              <w:top w:w="90" w:type="dxa"/>
              <w:start w:w="120" w:type="dxa"/>
              <w:bottom w:w="90" w:type="dxa"/>
              <w:end w:w="120" w:type="dxa"/>
            </w:tcMar>
          </w:tcPr>
          <w:p>
            <w:pPr>
              <w:spacing w:after="0"/>
            </w:pPr>
            <w:r>
              <w:rPr>
                <w:rFonts w:ascii="Calibri" w:hAnsi="Calibri"/>
                <w:b/>
                <w:i w:val="0"/>
                <w:color w:val="17242D"/>
                <w:sz w:val="19"/>
              </w:rPr>
              <w:t>Name-initial keys</w:t>
            </w:r>
          </w:p>
        </w:tc>
        <w:tc>
          <w:tcPr>
            <w:tcW w:type="dxa" w:w="1728"/>
            <w:vAlign w:val="center"/>
            <w:tcMar>
              <w:top w:w="90" w:type="dxa"/>
              <w:start w:w="120" w:type="dxa"/>
              <w:bottom w:w="90" w:type="dxa"/>
              <w:end w:w="120" w:type="dxa"/>
            </w:tcMar>
          </w:tcPr>
          <w:p>
            <w:pPr>
              <w:spacing w:after="0"/>
            </w:pPr>
            <w:r>
              <w:rPr>
                <w:rFonts w:ascii="Calibri" w:hAnsi="Calibri"/>
                <w:b w:val="0"/>
                <w:i w:val="0"/>
                <w:color w:val="17242D"/>
                <w:sz w:val="19"/>
              </w:rPr>
              <w:t>KA, RA</w:t>
            </w:r>
          </w:p>
        </w:tc>
        <w:tc>
          <w:tcPr>
            <w:tcW w:type="dxa" w:w="5616"/>
            <w:vAlign w:val="center"/>
            <w:tcMar>
              <w:top w:w="90" w:type="dxa"/>
              <w:start w:w="120" w:type="dxa"/>
              <w:bottom w:w="90" w:type="dxa"/>
              <w:end w:w="120" w:type="dxa"/>
            </w:tcMar>
          </w:tcPr>
          <w:p>
            <w:pPr>
              <w:spacing w:after="0"/>
            </w:pPr>
            <w:r>
              <w:rPr>
                <w:rFonts w:ascii="Calibri" w:hAnsi="Calibri"/>
                <w:b w:val="0"/>
                <w:i w:val="0"/>
                <w:color w:val="17242D"/>
                <w:sz w:val="19"/>
              </w:rPr>
              <w:t>Only when a source-reviewed name or instrument identity mapping exists.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4D6"/>
            <w:tcBorders>
              <w:top w:val="single" w:sz="8" w:color="B78125"/>
              <w:left w:val="single" w:sz="8" w:color="B78125"/>
              <w:bottom w:val="single" w:sz="8" w:color="B78125"/>
              <w:right w:val="single" w:sz="8" w:color="B78125"/>
            </w:tcBorders>
          </w:tcPr>
          <w:p>
            <w:pPr>
              <w:spacing w:after="0"/>
            </w:pPr>
            <w:r>
              <w:rPr>
                <w:rFonts w:ascii="Calibri" w:hAnsi="Calibri"/>
                <w:b/>
                <w:i w:val="0"/>
                <w:color w:val="B78125"/>
                <w:sz w:val="21"/>
              </w:rPr>
              <w:t xml:space="preserve">Current boundary: </w:t>
            </w:r>
            <w:r>
              <w:rPr>
                <w:rFonts w:ascii="Calibri" w:hAnsi="Calibri"/>
                <w:b w:val="0"/>
                <w:i w:val="0"/>
                <w:color w:val="17242D"/>
                <w:sz w:val="21"/>
              </w:rPr>
              <w:t>The separate instrument-relative Forex research layer is not connected to the production Chakra Lab. Optional letters are therefore manual research inputs, not automatic currency mappings.</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2. Choose Vedha Actors</w:t>
      </w:r>
    </w:p>
    <w:p>
      <w:r>
        <w:rPr>
          <w:rFonts w:ascii="Calibri" w:hAnsi="Calibri"/>
          <w:b w:val="0"/>
          <w:i w:val="0"/>
          <w:color w:val="17242D"/>
          <w:sz w:val="22"/>
        </w:rPr>
        <w:t>A Vedha actor is a selected planet whose current nakshatra becomes the starting cell for one ray. The checkbox includes or excludes the actor from the guidance calculation.</w:t>
      </w:r>
    </w:p>
    <w:p>
      <w:pPr>
        <w:pStyle w:val="Heading2"/>
      </w:pPr>
      <w:r>
        <w:t>Direction rules used by the program</w:t>
      </w:r>
    </w:p>
    <w:tbl>
      <w:tblPr>
        <w:tblStyle w:val="TableGrid"/>
        <w:tblW w:type="dxa" w:w="9360"/>
        <w:jc w:val="left"/>
        <w:tblLayout w:type="fixed"/>
        <w:tblLook w:firstColumn="1" w:firstRow="1" w:lastColumn="0" w:lastRow="0" w:noHBand="0" w:noVBand="1" w:val="04A0"/>
        <w:tblInd w:w="120" w:type="dxa"/>
      </w:tblPr>
      <w:tblGrid>
        <w:gridCol w:w="2448"/>
        <w:gridCol w:w="1800"/>
        <w:gridCol w:w="1080"/>
        <w:gridCol w:w="4032"/>
      </w:tblGrid>
      <w:tr>
        <w:trPr>
          <w:tblHeader w:val="true"/>
        </w:trPr>
        <w:tc>
          <w:tcPr>
            <w:tcW w:type="dxa" w:w="2448"/>
            <w:shd w:fill="E8EEF5"/>
            <w:vAlign w:val="center"/>
            <w:tcMar>
              <w:top w:w="90" w:type="dxa"/>
              <w:start w:w="120" w:type="dxa"/>
              <w:bottom w:w="90" w:type="dxa"/>
              <w:end w:w="120" w:type="dxa"/>
            </w:tcMar>
          </w:tcPr>
          <w:p>
            <w:pPr>
              <w:spacing w:after="0"/>
            </w:pPr>
            <w:r>
              <w:rPr>
                <w:rFonts w:ascii="Calibri" w:hAnsi="Calibri"/>
                <w:b/>
                <w:i w:val="0"/>
                <w:color w:val="17242D"/>
                <w:sz w:val="19"/>
              </w:rPr>
              <w:t>Actor</w:t>
            </w:r>
          </w:p>
        </w:tc>
        <w:tc>
          <w:tcPr>
            <w:tcW w:type="dxa" w:w="1800"/>
            <w:shd w:fill="E8EEF5"/>
            <w:vAlign w:val="center"/>
            <w:tcMar>
              <w:top w:w="90" w:type="dxa"/>
              <w:start w:w="120" w:type="dxa"/>
              <w:bottom w:w="90" w:type="dxa"/>
              <w:end w:w="120" w:type="dxa"/>
            </w:tcMar>
          </w:tcPr>
          <w:p>
            <w:pPr>
              <w:spacing w:after="0"/>
            </w:pPr>
            <w:r>
              <w:rPr>
                <w:rFonts w:ascii="Calibri" w:hAnsi="Calibri"/>
                <w:b/>
                <w:i w:val="0"/>
                <w:color w:val="17242D"/>
                <w:sz w:val="19"/>
              </w:rPr>
              <w:t>Motion</w:t>
            </w:r>
          </w:p>
        </w:tc>
        <w:tc>
          <w:tcPr>
            <w:tcW w:type="dxa" w:w="1080"/>
            <w:shd w:fill="E8EEF5"/>
            <w:vAlign w:val="center"/>
            <w:tcMar>
              <w:top w:w="90" w:type="dxa"/>
              <w:start w:w="120" w:type="dxa"/>
              <w:bottom w:w="90" w:type="dxa"/>
              <w:end w:w="120" w:type="dxa"/>
            </w:tcMar>
          </w:tcPr>
          <w:p>
            <w:pPr>
              <w:spacing w:after="0"/>
            </w:pPr>
            <w:r>
              <w:rPr>
                <w:rFonts w:ascii="Calibri" w:hAnsi="Calibri"/>
                <w:b/>
                <w:i w:val="0"/>
                <w:color w:val="17242D"/>
                <w:sz w:val="19"/>
              </w:rPr>
              <w:t>Ray</w:t>
            </w:r>
          </w:p>
        </w:tc>
        <w:tc>
          <w:tcPr>
            <w:tcW w:type="dxa" w:w="4032"/>
            <w:shd w:fill="E8EEF5"/>
            <w:vAlign w:val="center"/>
            <w:tcMar>
              <w:top w:w="90" w:type="dxa"/>
              <w:start w:w="120" w:type="dxa"/>
              <w:bottom w:w="90" w:type="dxa"/>
              <w:end w:w="120" w:type="dxa"/>
            </w:tcMar>
          </w:tcPr>
          <w:p>
            <w:pPr>
              <w:spacing w:after="0"/>
            </w:pPr>
            <w:r>
              <w:rPr>
                <w:rFonts w:ascii="Calibri" w:hAnsi="Calibri"/>
                <w:b/>
                <w:i w:val="0"/>
                <w:color w:val="17242D"/>
                <w:sz w:val="19"/>
              </w:rPr>
              <w:t>Beginner instruction</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Sun</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Fixed</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LEFT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No motion choice is needed.</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Moon</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Fixed</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LEFT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Waxing/waning context resolves nature automatically.</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Rahu</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Fixed</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RIGHT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Treated as fixed source-profile direction.</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Ketu</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Fixed</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RIGHT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Treated as fixed source-profile direction.</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Mars, Mercury, Jupiter, Venus, Saturn</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Direct / swift</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LEFT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Choose only with verified motion evidence.</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Mars, Mercury, Jupiter, Venus, Saturn</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Mean</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FRONT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Choose only with verified motion evidence.</w:t>
            </w:r>
          </w:p>
        </w:tc>
      </w:tr>
      <w:tr>
        <w:tc>
          <w:tcPr>
            <w:tcW w:type="dxa" w:w="2448"/>
            <w:vAlign w:val="center"/>
            <w:tcMar>
              <w:top w:w="90" w:type="dxa"/>
              <w:start w:w="120" w:type="dxa"/>
              <w:bottom w:w="90" w:type="dxa"/>
              <w:end w:w="120" w:type="dxa"/>
            </w:tcMar>
          </w:tcPr>
          <w:p>
            <w:pPr>
              <w:spacing w:after="0"/>
            </w:pPr>
            <w:r>
              <w:rPr>
                <w:rFonts w:ascii="Calibri" w:hAnsi="Calibri"/>
                <w:b w:val="0"/>
                <w:i w:val="0"/>
                <w:color w:val="17242D"/>
                <w:sz w:val="19"/>
              </w:rPr>
              <w:t>Mars, Mercury, Jupiter, Venus, Saturn</w:t>
            </w:r>
          </w:p>
        </w:tc>
        <w:tc>
          <w:tcPr>
            <w:tcW w:type="dxa" w:w="1800"/>
            <w:vAlign w:val="center"/>
            <w:tcMar>
              <w:top w:w="90" w:type="dxa"/>
              <w:start w:w="120" w:type="dxa"/>
              <w:bottom w:w="90" w:type="dxa"/>
              <w:end w:w="120" w:type="dxa"/>
            </w:tcMar>
          </w:tcPr>
          <w:p>
            <w:pPr>
              <w:spacing w:after="0"/>
            </w:pPr>
            <w:r>
              <w:rPr>
                <w:rFonts w:ascii="Calibri" w:hAnsi="Calibri"/>
                <w:b w:val="0"/>
                <w:i w:val="0"/>
                <w:color w:val="17242D"/>
                <w:sz w:val="19"/>
              </w:rPr>
              <w:t>Retrograde</w:t>
            </w:r>
          </w:p>
        </w:tc>
        <w:tc>
          <w:tcPr>
            <w:tcW w:type="dxa" w:w="1080"/>
            <w:vAlign w:val="center"/>
            <w:tcMar>
              <w:top w:w="90" w:type="dxa"/>
              <w:start w:w="120" w:type="dxa"/>
              <w:bottom w:w="90" w:type="dxa"/>
              <w:end w:w="120" w:type="dxa"/>
            </w:tcMar>
          </w:tcPr>
          <w:p>
            <w:pPr>
              <w:spacing w:after="0"/>
            </w:pPr>
            <w:r>
              <w:rPr>
                <w:rFonts w:ascii="Calibri" w:hAnsi="Calibri"/>
                <w:b w:val="0"/>
                <w:i w:val="0"/>
                <w:color w:val="17242D"/>
                <w:sz w:val="19"/>
              </w:rPr>
              <w:t>RIGHT</w:t>
            </w:r>
          </w:p>
        </w:tc>
        <w:tc>
          <w:tcPr>
            <w:tcW w:type="dxa" w:w="4032"/>
            <w:vAlign w:val="center"/>
            <w:tcMar>
              <w:top w:w="90" w:type="dxa"/>
              <w:start w:w="120" w:type="dxa"/>
              <w:bottom w:w="90" w:type="dxa"/>
              <w:end w:w="120" w:type="dxa"/>
            </w:tcMar>
          </w:tcPr>
          <w:p>
            <w:pPr>
              <w:spacing w:after="0"/>
            </w:pPr>
            <w:r>
              <w:rPr>
                <w:rFonts w:ascii="Calibri" w:hAnsi="Calibri"/>
                <w:b w:val="0"/>
                <w:i w:val="0"/>
                <w:color w:val="17242D"/>
                <w:sz w:val="19"/>
              </w:rPr>
              <w:t>Choose only with verified motion evidence.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4D6"/>
            <w:tcBorders>
              <w:top w:val="single" w:sz="8" w:color="B78125"/>
              <w:left w:val="single" w:sz="8" w:color="B78125"/>
              <w:bottom w:val="single" w:sz="8" w:color="B78125"/>
              <w:right w:val="single" w:sz="8" w:color="B78125"/>
            </w:tcBorders>
          </w:tcPr>
          <w:p>
            <w:pPr>
              <w:spacing w:after="0"/>
            </w:pPr>
            <w:r>
              <w:rPr>
                <w:rFonts w:ascii="Calibri" w:hAnsi="Calibri"/>
                <w:b/>
                <w:i w:val="0"/>
                <w:color w:val="B78125"/>
                <w:sz w:val="21"/>
              </w:rPr>
              <w:t xml:space="preserve">Why the app says Required: </w:t>
            </w:r>
            <w:r>
              <w:rPr>
                <w:rFonts w:ascii="Calibri" w:hAnsi="Calibri"/>
                <w:b w:val="0"/>
                <w:i w:val="0"/>
                <w:color w:val="17242D"/>
                <w:sz w:val="21"/>
              </w:rPr>
              <w:t>Automatic direct-versus-swift thresholds are not certified. The program refuses to guess. If you do not have verified motion evidence, uncheck that planet or leave it unresolved.</w:t>
            </w:r>
          </w:p>
        </w:tc>
      </w:tr>
    </w:tbl>
    <w:p>
      <w:pPr>
        <w:spacing w:after="20"/>
      </w:pPr>
    </w:p>
    <w:p>
      <w:pPr>
        <w:pStyle w:val="Heading2"/>
      </w:pPr>
      <w:r>
        <w:t>Nature rules</w:t>
      </w:r>
    </w:p>
    <w:tbl>
      <w:tblPr>
        <w:tblStyle w:val="TableGrid"/>
        <w:tblW w:type="dxa" w:w="9360"/>
        <w:jc w:val="left"/>
        <w:tblLayout w:type="fixed"/>
        <w:tblLook w:firstColumn="1" w:firstRow="1" w:lastColumn="0" w:lastRow="0" w:noHBand="0" w:noVBand="1" w:val="04A0"/>
        <w:tblInd w:w="120" w:type="dxa"/>
      </w:tblPr>
      <w:tblGrid>
        <w:gridCol w:w="3168"/>
        <w:gridCol w:w="1656"/>
        <w:gridCol w:w="4536"/>
      </w:tblGrid>
      <w:tr>
        <w:trPr>
          <w:tblHeader w:val="true"/>
        </w:trPr>
        <w:tc>
          <w:tcPr>
            <w:tcW w:type="dxa" w:w="3168"/>
            <w:shd w:fill="E8EEF5"/>
            <w:vAlign w:val="center"/>
            <w:tcMar>
              <w:top w:w="90" w:type="dxa"/>
              <w:start w:w="120" w:type="dxa"/>
              <w:bottom w:w="90" w:type="dxa"/>
              <w:end w:w="120" w:type="dxa"/>
            </w:tcMar>
          </w:tcPr>
          <w:p>
            <w:pPr>
              <w:spacing w:after="0"/>
            </w:pPr>
            <w:r>
              <w:rPr>
                <w:rFonts w:ascii="Calibri" w:hAnsi="Calibri"/>
                <w:b/>
                <w:i w:val="0"/>
                <w:color w:val="17242D"/>
                <w:sz w:val="19"/>
              </w:rPr>
              <w:t>Bodies</w:t>
            </w:r>
          </w:p>
        </w:tc>
        <w:tc>
          <w:tcPr>
            <w:tcW w:type="dxa" w:w="1656"/>
            <w:shd w:fill="E8EEF5"/>
            <w:vAlign w:val="center"/>
            <w:tcMar>
              <w:top w:w="90" w:type="dxa"/>
              <w:start w:w="120" w:type="dxa"/>
              <w:bottom w:w="90" w:type="dxa"/>
              <w:end w:w="120" w:type="dxa"/>
            </w:tcMar>
          </w:tcPr>
          <w:p>
            <w:pPr>
              <w:spacing w:after="0"/>
            </w:pPr>
            <w:r>
              <w:rPr>
                <w:rFonts w:ascii="Calibri" w:hAnsi="Calibri"/>
                <w:b/>
                <w:i w:val="0"/>
                <w:color w:val="17242D"/>
                <w:sz w:val="19"/>
              </w:rPr>
              <w:t>Nature</w:t>
            </w:r>
          </w:p>
        </w:tc>
        <w:tc>
          <w:tcPr>
            <w:tcW w:type="dxa" w:w="4536"/>
            <w:shd w:fill="E8EEF5"/>
            <w:vAlign w:val="center"/>
            <w:tcMar>
              <w:top w:w="90" w:type="dxa"/>
              <w:start w:w="120" w:type="dxa"/>
              <w:bottom w:w="90" w:type="dxa"/>
              <w:end w:w="120" w:type="dxa"/>
            </w:tcMar>
          </w:tcPr>
          <w:p>
            <w:pPr>
              <w:spacing w:after="0"/>
            </w:pPr>
            <w:r>
              <w:rPr>
                <w:rFonts w:ascii="Calibri" w:hAnsi="Calibri"/>
                <w:b/>
                <w:i w:val="0"/>
                <w:color w:val="17242D"/>
                <w:sz w:val="19"/>
              </w:rPr>
              <w:t>Program behavior</w:t>
            </w:r>
          </w:p>
        </w:tc>
      </w:tr>
      <w:tr>
        <w:tc>
          <w:tcPr>
            <w:tcW w:type="dxa" w:w="3168"/>
            <w:shd w:fill="F2F5F7"/>
            <w:vAlign w:val="center"/>
            <w:tcMar>
              <w:top w:w="90" w:type="dxa"/>
              <w:start w:w="120" w:type="dxa"/>
              <w:bottom w:w="90" w:type="dxa"/>
              <w:end w:w="120" w:type="dxa"/>
            </w:tcMar>
          </w:tcPr>
          <w:p>
            <w:pPr>
              <w:spacing w:after="0"/>
            </w:pPr>
            <w:r>
              <w:rPr>
                <w:rFonts w:ascii="Calibri" w:hAnsi="Calibri"/>
                <w:b/>
                <w:i w:val="0"/>
                <w:color w:val="17242D"/>
                <w:sz w:val="19"/>
              </w:rPr>
              <w:t>Jupiter, Venus</w:t>
            </w:r>
          </w:p>
        </w:tc>
        <w:tc>
          <w:tcPr>
            <w:tcW w:type="dxa" w:w="1656"/>
            <w:vAlign w:val="center"/>
            <w:tcMar>
              <w:top w:w="90" w:type="dxa"/>
              <w:start w:w="120" w:type="dxa"/>
              <w:bottom w:w="90" w:type="dxa"/>
              <w:end w:w="120" w:type="dxa"/>
            </w:tcMar>
          </w:tcPr>
          <w:p>
            <w:pPr>
              <w:spacing w:after="0"/>
            </w:pPr>
            <w:r>
              <w:rPr>
                <w:rFonts w:ascii="Calibri" w:hAnsi="Calibri"/>
                <w:b w:val="0"/>
                <w:i w:val="0"/>
                <w:color w:val="17242D"/>
                <w:sz w:val="19"/>
              </w:rPr>
              <w:t>Benefic</w:t>
            </w:r>
          </w:p>
        </w:tc>
        <w:tc>
          <w:tcPr>
            <w:tcW w:type="dxa" w:w="4536"/>
            <w:vAlign w:val="center"/>
            <w:tcMar>
              <w:top w:w="90" w:type="dxa"/>
              <w:start w:w="120" w:type="dxa"/>
              <w:bottom w:w="90" w:type="dxa"/>
              <w:end w:w="120" w:type="dxa"/>
            </w:tcMar>
          </w:tcPr>
          <w:p>
            <w:pPr>
              <w:spacing w:after="0"/>
            </w:pPr>
            <w:r>
              <w:rPr>
                <w:rFonts w:ascii="Calibri" w:hAnsi="Calibri"/>
                <w:b w:val="0"/>
                <w:i w:val="0"/>
                <w:color w:val="17242D"/>
                <w:sz w:val="19"/>
              </w:rPr>
              <w:t>Matched evidence receives a positive sign.</w:t>
            </w:r>
          </w:p>
        </w:tc>
      </w:tr>
      <w:tr>
        <w:tc>
          <w:tcPr>
            <w:tcW w:type="dxa" w:w="3168"/>
            <w:shd w:fill="F2F5F7"/>
            <w:vAlign w:val="center"/>
            <w:tcMar>
              <w:top w:w="90" w:type="dxa"/>
              <w:start w:w="120" w:type="dxa"/>
              <w:bottom w:w="90" w:type="dxa"/>
              <w:end w:w="120" w:type="dxa"/>
            </w:tcMar>
          </w:tcPr>
          <w:p>
            <w:pPr>
              <w:spacing w:after="0"/>
            </w:pPr>
            <w:r>
              <w:rPr>
                <w:rFonts w:ascii="Calibri" w:hAnsi="Calibri"/>
                <w:b/>
                <w:i w:val="0"/>
                <w:color w:val="17242D"/>
                <w:sz w:val="19"/>
              </w:rPr>
              <w:t>Saturn, Sun, Rahu, Ketu, Mars</w:t>
            </w:r>
          </w:p>
        </w:tc>
        <w:tc>
          <w:tcPr>
            <w:tcW w:type="dxa" w:w="1656"/>
            <w:vAlign w:val="center"/>
            <w:tcMar>
              <w:top w:w="90" w:type="dxa"/>
              <w:start w:w="120" w:type="dxa"/>
              <w:bottom w:w="90" w:type="dxa"/>
              <w:end w:w="120" w:type="dxa"/>
            </w:tcMar>
          </w:tcPr>
          <w:p>
            <w:pPr>
              <w:spacing w:after="0"/>
            </w:pPr>
            <w:r>
              <w:rPr>
                <w:rFonts w:ascii="Calibri" w:hAnsi="Calibri"/>
                <w:b w:val="0"/>
                <w:i w:val="0"/>
                <w:color w:val="17242D"/>
                <w:sz w:val="19"/>
              </w:rPr>
              <w:t>Malefic</w:t>
            </w:r>
          </w:p>
        </w:tc>
        <w:tc>
          <w:tcPr>
            <w:tcW w:type="dxa" w:w="4536"/>
            <w:vAlign w:val="center"/>
            <w:tcMar>
              <w:top w:w="90" w:type="dxa"/>
              <w:start w:w="120" w:type="dxa"/>
              <w:bottom w:w="90" w:type="dxa"/>
              <w:end w:w="120" w:type="dxa"/>
            </w:tcMar>
          </w:tcPr>
          <w:p>
            <w:pPr>
              <w:spacing w:after="0"/>
            </w:pPr>
            <w:r>
              <w:rPr>
                <w:rFonts w:ascii="Calibri" w:hAnsi="Calibri"/>
                <w:b w:val="0"/>
                <w:i w:val="0"/>
                <w:color w:val="17242D"/>
                <w:sz w:val="19"/>
              </w:rPr>
              <w:t>Matched evidence receives a negative sign.</w:t>
            </w:r>
          </w:p>
        </w:tc>
      </w:tr>
      <w:tr>
        <w:tc>
          <w:tcPr>
            <w:tcW w:type="dxa" w:w="3168"/>
            <w:shd w:fill="F2F5F7"/>
            <w:vAlign w:val="center"/>
            <w:tcMar>
              <w:top w:w="90" w:type="dxa"/>
              <w:start w:w="120" w:type="dxa"/>
              <w:bottom w:w="90" w:type="dxa"/>
              <w:end w:w="120" w:type="dxa"/>
            </w:tcMar>
          </w:tcPr>
          <w:p>
            <w:pPr>
              <w:spacing w:after="0"/>
            </w:pPr>
            <w:r>
              <w:rPr>
                <w:rFonts w:ascii="Calibri" w:hAnsi="Calibri"/>
                <w:b/>
                <w:i w:val="0"/>
                <w:color w:val="17242D"/>
                <w:sz w:val="19"/>
              </w:rPr>
              <w:t>Moon</w:t>
            </w:r>
          </w:p>
        </w:tc>
        <w:tc>
          <w:tcPr>
            <w:tcW w:type="dxa" w:w="1656"/>
            <w:vAlign w:val="center"/>
            <w:tcMar>
              <w:top w:w="90" w:type="dxa"/>
              <w:start w:w="120" w:type="dxa"/>
              <w:bottom w:w="90" w:type="dxa"/>
              <w:end w:w="120" w:type="dxa"/>
            </w:tcMar>
          </w:tcPr>
          <w:p>
            <w:pPr>
              <w:spacing w:after="0"/>
            </w:pPr>
            <w:r>
              <w:rPr>
                <w:rFonts w:ascii="Calibri" w:hAnsi="Calibri"/>
                <w:b w:val="0"/>
                <w:i w:val="0"/>
                <w:color w:val="17242D"/>
                <w:sz w:val="19"/>
              </w:rPr>
              <w:t>Conditional</w:t>
            </w:r>
          </w:p>
        </w:tc>
        <w:tc>
          <w:tcPr>
            <w:tcW w:type="dxa" w:w="4536"/>
            <w:vAlign w:val="center"/>
            <w:tcMar>
              <w:top w:w="90" w:type="dxa"/>
              <w:start w:w="120" w:type="dxa"/>
              <w:bottom w:w="90" w:type="dxa"/>
              <w:end w:w="120" w:type="dxa"/>
            </w:tcMar>
          </w:tcPr>
          <w:p>
            <w:pPr>
              <w:spacing w:after="0"/>
            </w:pPr>
            <w:r>
              <w:rPr>
                <w:rFonts w:ascii="Calibri" w:hAnsi="Calibri"/>
                <w:b w:val="0"/>
                <w:i w:val="0"/>
                <w:color w:val="17242D"/>
                <w:sz w:val="19"/>
              </w:rPr>
              <w:t>Non-waning is benefic; waning is malefic in this profile.</w:t>
            </w:r>
          </w:p>
        </w:tc>
      </w:tr>
      <w:tr>
        <w:tc>
          <w:tcPr>
            <w:tcW w:type="dxa" w:w="3168"/>
            <w:shd w:fill="F2F5F7"/>
            <w:vAlign w:val="center"/>
            <w:tcMar>
              <w:top w:w="90" w:type="dxa"/>
              <w:start w:w="120" w:type="dxa"/>
              <w:bottom w:w="90" w:type="dxa"/>
              <w:end w:w="120" w:type="dxa"/>
            </w:tcMar>
          </w:tcPr>
          <w:p>
            <w:pPr>
              <w:spacing w:after="0"/>
            </w:pPr>
            <w:r>
              <w:rPr>
                <w:rFonts w:ascii="Calibri" w:hAnsi="Calibri"/>
                <w:b/>
                <w:i w:val="0"/>
                <w:color w:val="17242D"/>
                <w:sz w:val="19"/>
              </w:rPr>
              <w:t>Mercury</w:t>
            </w:r>
          </w:p>
        </w:tc>
        <w:tc>
          <w:tcPr>
            <w:tcW w:type="dxa" w:w="1656"/>
            <w:vAlign w:val="center"/>
            <w:tcMar>
              <w:top w:w="90" w:type="dxa"/>
              <w:start w:w="120" w:type="dxa"/>
              <w:bottom w:w="90" w:type="dxa"/>
              <w:end w:w="120" w:type="dxa"/>
            </w:tcMar>
          </w:tcPr>
          <w:p>
            <w:pPr>
              <w:spacing w:after="0"/>
            </w:pPr>
            <w:r>
              <w:rPr>
                <w:rFonts w:ascii="Calibri" w:hAnsi="Calibri"/>
                <w:b w:val="0"/>
                <w:i w:val="0"/>
                <w:color w:val="17242D"/>
                <w:sz w:val="19"/>
              </w:rPr>
              <w:t>Conditional</w:t>
            </w:r>
          </w:p>
        </w:tc>
        <w:tc>
          <w:tcPr>
            <w:tcW w:type="dxa" w:w="4536"/>
            <w:vAlign w:val="center"/>
            <w:tcMar>
              <w:top w:w="90" w:type="dxa"/>
              <w:start w:w="120" w:type="dxa"/>
              <w:bottom w:w="90" w:type="dxa"/>
              <w:end w:w="120" w:type="dxa"/>
            </w:tcMar>
          </w:tcPr>
          <w:p>
            <w:pPr>
              <w:spacing w:after="0"/>
            </w:pPr>
            <w:r>
              <w:rPr>
                <w:rFonts w:ascii="Calibri" w:hAnsi="Calibri"/>
                <w:b w:val="0"/>
                <w:i w:val="0"/>
                <w:color w:val="17242D"/>
                <w:sz w:val="19"/>
              </w:rPr>
              <w:t>Needs association context; the current UI does not infer it, so matched Mercury evidence can remain unresolved.</w:t>
            </w:r>
          </w:p>
        </w:tc>
      </w:tr>
    </w:tbl>
    <w:p>
      <w:pPr>
        <w:spacing w:after="20"/>
      </w:pPr>
    </w:p>
    <w:p>
      <w:pPr>
        <w:pStyle w:val="Heading1"/>
      </w:pPr>
      <w:r>
        <w:t>3. Set Dignity Without Double Counting</w:t>
      </w:r>
    </w:p>
    <w:p>
      <w:r>
        <w:rPr>
          <w:rFonts w:ascii="Calibri" w:hAnsi="Calibri"/>
          <w:b w:val="0"/>
          <w:i w:val="0"/>
          <w:color w:val="17242D"/>
          <w:sz w:val="22"/>
        </w:rPr>
        <w:t>Dignity changes the size of a scored match. It does not change the ray direction. Use the status that is valid for the selected moment; do not choose a value merely to make the score larger.</w:t>
      </w:r>
    </w:p>
    <w:tbl>
      <w:tblPr>
        <w:tblStyle w:val="TableGrid"/>
        <w:tblW w:type="dxa" w:w="9360"/>
        <w:jc w:val="left"/>
        <w:tblLayout w:type="fixed"/>
        <w:tblLook w:firstColumn="1" w:firstRow="1" w:lastColumn="0" w:lastRow="0" w:noHBand="0" w:noVBand="1" w:val="04A0"/>
        <w:tblInd w:w="120" w:type="dxa"/>
      </w:tblPr>
      <w:tblGrid>
        <w:gridCol w:w="2160"/>
        <w:gridCol w:w="1584"/>
        <w:gridCol w:w="5616"/>
      </w:tblGrid>
      <w:tr>
        <w:trPr>
          <w:tblHeader w:val="true"/>
        </w:trPr>
        <w:tc>
          <w:tcPr>
            <w:tcW w:type="dxa" w:w="2160"/>
            <w:shd w:fill="E8EEF5"/>
            <w:vAlign w:val="center"/>
            <w:tcMar>
              <w:top w:w="90" w:type="dxa"/>
              <w:start w:w="120" w:type="dxa"/>
              <w:bottom w:w="90" w:type="dxa"/>
              <w:end w:w="120" w:type="dxa"/>
            </w:tcMar>
          </w:tcPr>
          <w:p>
            <w:pPr>
              <w:spacing w:after="0"/>
            </w:pPr>
            <w:r>
              <w:rPr>
                <w:rFonts w:ascii="Calibri" w:hAnsi="Calibri"/>
                <w:b/>
                <w:i w:val="0"/>
                <w:color w:val="17242D"/>
                <w:sz w:val="19"/>
              </w:rPr>
              <w:t>Setting</w:t>
            </w:r>
          </w:p>
        </w:tc>
        <w:tc>
          <w:tcPr>
            <w:tcW w:type="dxa" w:w="1584"/>
            <w:shd w:fill="E8EEF5"/>
            <w:vAlign w:val="center"/>
            <w:tcMar>
              <w:top w:w="90" w:type="dxa"/>
              <w:start w:w="120" w:type="dxa"/>
              <w:bottom w:w="90" w:type="dxa"/>
              <w:end w:w="120" w:type="dxa"/>
            </w:tcMar>
          </w:tcPr>
          <w:p>
            <w:pPr>
              <w:spacing w:after="0"/>
            </w:pPr>
            <w:r>
              <w:rPr>
                <w:rFonts w:ascii="Calibri" w:hAnsi="Calibri"/>
                <w:b/>
                <w:i w:val="0"/>
                <w:color w:val="17242D"/>
                <w:sz w:val="19"/>
              </w:rPr>
              <w:t>Multiplier</w:t>
            </w:r>
          </w:p>
        </w:tc>
        <w:tc>
          <w:tcPr>
            <w:tcW w:type="dxa" w:w="5616"/>
            <w:shd w:fill="E8EEF5"/>
            <w:vAlign w:val="center"/>
            <w:tcMar>
              <w:top w:w="90" w:type="dxa"/>
              <w:start w:w="120" w:type="dxa"/>
              <w:bottom w:w="90" w:type="dxa"/>
              <w:end w:w="120" w:type="dxa"/>
            </w:tcMar>
          </w:tcPr>
          <w:p>
            <w:pPr>
              <w:spacing w:after="0"/>
            </w:pPr>
            <w:r>
              <w:rPr>
                <w:rFonts w:ascii="Calibri" w:hAnsi="Calibri"/>
                <w:b/>
                <w:i w:val="0"/>
                <w:color w:val="17242D"/>
                <w:sz w:val="19"/>
              </w:rPr>
              <w:t>Meaning in this ledger</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Ordinary</w:t>
            </w:r>
          </w:p>
        </w:tc>
        <w:tc>
          <w:tcPr>
            <w:tcW w:type="dxa" w:w="1584"/>
            <w:vAlign w:val="center"/>
            <w:tcMar>
              <w:top w:w="90" w:type="dxa"/>
              <w:start w:w="120" w:type="dxa"/>
              <w:bottom w:w="90" w:type="dxa"/>
              <w:end w:w="120" w:type="dxa"/>
            </w:tcMar>
          </w:tcPr>
          <w:p>
            <w:pPr>
              <w:spacing w:after="0"/>
            </w:pPr>
            <w:r>
              <w:rPr>
                <w:rFonts w:ascii="Calibri" w:hAnsi="Calibri"/>
                <w:b w:val="0"/>
                <w:i w:val="0"/>
                <w:color w:val="17242D"/>
                <w:sz w:val="19"/>
              </w:rPr>
              <w:t>1.0x</w:t>
            </w:r>
          </w:p>
        </w:tc>
        <w:tc>
          <w:tcPr>
            <w:tcW w:type="dxa" w:w="5616"/>
            <w:vAlign w:val="center"/>
            <w:tcMar>
              <w:top w:w="90" w:type="dxa"/>
              <w:start w:w="120" w:type="dxa"/>
              <w:bottom w:w="90" w:type="dxa"/>
              <w:end w:w="120" w:type="dxa"/>
            </w:tcMar>
          </w:tcPr>
          <w:p>
            <w:pPr>
              <w:spacing w:after="0"/>
            </w:pPr>
            <w:r>
              <w:rPr>
                <w:rFonts w:ascii="Calibri" w:hAnsi="Calibri"/>
                <w:b w:val="0"/>
                <w:i w:val="0"/>
                <w:color w:val="17242D"/>
                <w:sz w:val="19"/>
              </w:rPr>
              <w:t>One ordinary matched evidence unit.</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Retrograde</w:t>
            </w:r>
          </w:p>
        </w:tc>
        <w:tc>
          <w:tcPr>
            <w:tcW w:type="dxa" w:w="1584"/>
            <w:vAlign w:val="center"/>
            <w:tcMar>
              <w:top w:w="90" w:type="dxa"/>
              <w:start w:w="120" w:type="dxa"/>
              <w:bottom w:w="90" w:type="dxa"/>
              <w:end w:w="120" w:type="dxa"/>
            </w:tcMar>
          </w:tcPr>
          <w:p>
            <w:pPr>
              <w:spacing w:after="0"/>
            </w:pPr>
            <w:r>
              <w:rPr>
                <w:rFonts w:ascii="Calibri" w:hAnsi="Calibri"/>
                <w:b w:val="0"/>
                <w:i w:val="0"/>
                <w:color w:val="17242D"/>
                <w:sz w:val="19"/>
              </w:rPr>
              <w:t>2.0x</w:t>
            </w:r>
          </w:p>
        </w:tc>
        <w:tc>
          <w:tcPr>
            <w:tcW w:type="dxa" w:w="5616"/>
            <w:vAlign w:val="center"/>
            <w:tcMar>
              <w:top w:w="90" w:type="dxa"/>
              <w:start w:w="120" w:type="dxa"/>
              <w:bottom w:w="90" w:type="dxa"/>
              <w:end w:w="120" w:type="dxa"/>
            </w:tcMar>
          </w:tcPr>
          <w:p>
            <w:pPr>
              <w:spacing w:after="0"/>
            </w:pPr>
            <w:r>
              <w:rPr>
                <w:rFonts w:ascii="Calibri" w:hAnsi="Calibri"/>
                <w:b w:val="0"/>
                <w:i w:val="0"/>
                <w:color w:val="17242D"/>
                <w:sz w:val="19"/>
              </w:rPr>
              <w:t>Applied from the actor's motion class.</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Exalted</w:t>
            </w:r>
          </w:p>
        </w:tc>
        <w:tc>
          <w:tcPr>
            <w:tcW w:type="dxa" w:w="1584"/>
            <w:vAlign w:val="center"/>
            <w:tcMar>
              <w:top w:w="90" w:type="dxa"/>
              <w:start w:w="120" w:type="dxa"/>
              <w:bottom w:w="90" w:type="dxa"/>
              <w:end w:w="120" w:type="dxa"/>
            </w:tcMar>
          </w:tcPr>
          <w:p>
            <w:pPr>
              <w:spacing w:after="0"/>
            </w:pPr>
            <w:r>
              <w:rPr>
                <w:rFonts w:ascii="Calibri" w:hAnsi="Calibri"/>
                <w:b w:val="0"/>
                <w:i w:val="0"/>
                <w:color w:val="17242D"/>
                <w:sz w:val="19"/>
              </w:rPr>
              <w:t>3.0x</w:t>
            </w:r>
          </w:p>
        </w:tc>
        <w:tc>
          <w:tcPr>
            <w:tcW w:type="dxa" w:w="5616"/>
            <w:vAlign w:val="center"/>
            <w:tcMar>
              <w:top w:w="90" w:type="dxa"/>
              <w:start w:w="120" w:type="dxa"/>
              <w:bottom w:w="90" w:type="dxa"/>
              <w:end w:w="120" w:type="dxa"/>
            </w:tcMar>
          </w:tcPr>
          <w:p>
            <w:pPr>
              <w:spacing w:after="0"/>
            </w:pPr>
            <w:r>
              <w:rPr>
                <w:rFonts w:ascii="Calibri" w:hAnsi="Calibri"/>
                <w:b w:val="0"/>
                <w:i w:val="0"/>
                <w:color w:val="17242D"/>
                <w:sz w:val="19"/>
              </w:rPr>
              <w:t>Three evidence units for an otherwise resolved match.</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Debilitated</w:t>
            </w:r>
          </w:p>
        </w:tc>
        <w:tc>
          <w:tcPr>
            <w:tcW w:type="dxa" w:w="1584"/>
            <w:vAlign w:val="center"/>
            <w:tcMar>
              <w:top w:w="90" w:type="dxa"/>
              <w:start w:w="120" w:type="dxa"/>
              <w:bottom w:w="90" w:type="dxa"/>
              <w:end w:w="120" w:type="dxa"/>
            </w:tcMar>
          </w:tcPr>
          <w:p>
            <w:pPr>
              <w:spacing w:after="0"/>
            </w:pPr>
            <w:r>
              <w:rPr>
                <w:rFonts w:ascii="Calibri" w:hAnsi="Calibri"/>
                <w:b w:val="0"/>
                <w:i w:val="0"/>
                <w:color w:val="17242D"/>
                <w:sz w:val="19"/>
              </w:rPr>
              <w:t>0.5x</w:t>
            </w:r>
          </w:p>
        </w:tc>
        <w:tc>
          <w:tcPr>
            <w:tcW w:type="dxa" w:w="5616"/>
            <w:vAlign w:val="center"/>
            <w:tcMar>
              <w:top w:w="90" w:type="dxa"/>
              <w:start w:w="120" w:type="dxa"/>
              <w:bottom w:w="90" w:type="dxa"/>
              <w:end w:w="120" w:type="dxa"/>
            </w:tcMar>
          </w:tcPr>
          <w:p>
            <w:pPr>
              <w:spacing w:after="0"/>
            </w:pPr>
            <w:r>
              <w:rPr>
                <w:rFonts w:ascii="Calibri" w:hAnsi="Calibri"/>
                <w:b w:val="0"/>
                <w:i w:val="0"/>
                <w:color w:val="17242D"/>
                <w:sz w:val="19"/>
              </w:rPr>
              <w:t>Half an evidence unit for an otherwise resolved match.</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CECEC"/>
            <w:tcBorders>
              <w:top w:val="single" w:sz="8" w:color="A43B3B"/>
              <w:left w:val="single" w:sz="8" w:color="A43B3B"/>
              <w:bottom w:val="single" w:sz="8" w:color="A43B3B"/>
              <w:right w:val="single" w:sz="8" w:color="A43B3B"/>
            </w:tcBorders>
          </w:tcPr>
          <w:p>
            <w:pPr>
              <w:spacing w:after="0"/>
            </w:pPr>
            <w:r>
              <w:rPr>
                <w:rFonts w:ascii="Calibri" w:hAnsi="Calibri"/>
                <w:b/>
                <w:i w:val="0"/>
                <w:color w:val="A43B3B"/>
                <w:sz w:val="21"/>
              </w:rPr>
              <w:t xml:space="preserve">Fail-closed combination: </w:t>
            </w:r>
            <w:r>
              <w:rPr>
                <w:rFonts w:ascii="Calibri" w:hAnsi="Calibri"/>
                <w:b w:val="0"/>
                <w:i w:val="0"/>
                <w:color w:val="17242D"/>
                <w:sz w:val="21"/>
              </w:rPr>
              <w:t>Do not combine Retrograde with Exalted or Debilitated. The held source gives separate multipliers but no certified stacking or precedence rule. The program marks that contribution unresolved and excludes it from the net.</w:t>
            </w:r>
          </w:p>
        </w:tc>
      </w:tr>
    </w:tbl>
    <w:p>
      <w:pPr>
        <w:spacing w:after="20"/>
      </w:pPr>
    </w:p>
    <w:p>
      <w:r>
        <w:rPr>
          <w:rFonts w:ascii="Calibri" w:hAnsi="Calibri"/>
          <w:b w:val="0"/>
          <w:i w:val="0"/>
          <w:color w:val="17242D"/>
          <w:sz w:val="22"/>
        </w:rPr>
        <w:t>A contribution can also be unresolved when the planet's nature is conditional, such as Mercury without certified association context. Unresolved matches remain visible and reduce Coverage; they are not silently treated as zero evidence.</w:t>
      </w:r>
    </w:p>
    <w:p>
      <w:pPr>
        <w:keepNext/>
        <w:pageBreakBefore/>
        <w:spacing w:before="0" w:after="0" w:line="20" w:lineRule="exact"/>
      </w:pPr>
      <w:r>
        <w:rPr>
          <w:rFonts w:ascii="Calibri" w:hAnsi="Calibri"/>
          <w:b w:val="0"/>
          <w:i w:val="0"/>
          <w:color w:val="FFFFFF"/>
          <w:sz w:val="2"/>
        </w:rPr>
      </w:r>
    </w:p>
    <w:p>
      <w:pPr>
        <w:pStyle w:val="Heading1"/>
      </w:pPr>
      <w:r>
        <w:t>4. Read the 81-Cell Board</w:t>
      </w:r>
    </w:p>
    <w:tbl>
      <w:tblPr>
        <w:tblStyle w:val="TableGrid"/>
        <w:tblW w:type="dxa" w:w="9360"/>
        <w:jc w:val="left"/>
        <w:tblLayout w:type="fixed"/>
        <w:tblLook w:firstColumn="1" w:firstRow="1" w:lastColumn="0" w:lastRow="0" w:noHBand="0" w:noVBand="1" w:val="04A0"/>
        <w:tblInd w:w="120" w:type="dxa"/>
      </w:tblPr>
      <w:tblGrid>
        <w:gridCol w:w="2088"/>
        <w:gridCol w:w="3384"/>
        <w:gridCol w:w="3888"/>
      </w:tblGrid>
      <w:tr>
        <w:trPr>
          <w:tblHeader w:val="true"/>
        </w:trPr>
        <w:tc>
          <w:tcPr>
            <w:tcW w:type="dxa" w:w="2088"/>
            <w:shd w:fill="E8EEF5"/>
            <w:vAlign w:val="center"/>
            <w:tcMar>
              <w:top w:w="90" w:type="dxa"/>
              <w:start w:w="120" w:type="dxa"/>
              <w:bottom w:w="90" w:type="dxa"/>
              <w:end w:w="120" w:type="dxa"/>
            </w:tcMar>
          </w:tcPr>
          <w:p>
            <w:pPr>
              <w:spacing w:after="0"/>
            </w:pPr>
            <w:r>
              <w:rPr>
                <w:rFonts w:ascii="Calibri" w:hAnsi="Calibri"/>
                <w:b/>
                <w:i w:val="0"/>
                <w:color w:val="17242D"/>
                <w:sz w:val="19"/>
              </w:rPr>
              <w:t>Visual state</w:t>
            </w:r>
          </w:p>
        </w:tc>
        <w:tc>
          <w:tcPr>
            <w:tcW w:type="dxa" w:w="3384"/>
            <w:shd w:fill="E8EEF5"/>
            <w:vAlign w:val="center"/>
            <w:tcMar>
              <w:top w:w="90" w:type="dxa"/>
              <w:start w:w="120" w:type="dxa"/>
              <w:bottom w:w="90" w:type="dxa"/>
              <w:end w:w="120" w:type="dxa"/>
            </w:tcMar>
          </w:tcPr>
          <w:p>
            <w:pPr>
              <w:spacing w:after="0"/>
            </w:pPr>
            <w:r>
              <w:rPr>
                <w:rFonts w:ascii="Calibri" w:hAnsi="Calibri"/>
                <w:b/>
                <w:i w:val="0"/>
                <w:color w:val="17242D"/>
                <w:sz w:val="19"/>
              </w:rPr>
              <w:t>Meaning</w:t>
            </w:r>
          </w:p>
        </w:tc>
        <w:tc>
          <w:tcPr>
            <w:tcW w:type="dxa" w:w="3888"/>
            <w:shd w:fill="E8EEF5"/>
            <w:vAlign w:val="center"/>
            <w:tcMar>
              <w:top w:w="90" w:type="dxa"/>
              <w:start w:w="120" w:type="dxa"/>
              <w:bottom w:w="90" w:type="dxa"/>
              <w:end w:w="120" w:type="dxa"/>
            </w:tcMar>
          </w:tcPr>
          <w:p>
            <w:pPr>
              <w:spacing w:after="0"/>
            </w:pPr>
            <w:r>
              <w:rPr>
                <w:rFonts w:ascii="Calibri" w:hAnsi="Calibri"/>
                <w:b/>
                <w:i w:val="0"/>
                <w:color w:val="17242D"/>
                <w:sz w:val="19"/>
              </w:rPr>
              <w:t>What to do</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Green - Context</w:t>
            </w:r>
          </w:p>
        </w:tc>
        <w:tc>
          <w:tcPr>
            <w:tcW w:type="dxa" w:w="3384"/>
            <w:vAlign w:val="center"/>
            <w:tcMar>
              <w:top w:w="90" w:type="dxa"/>
              <w:start w:w="120" w:type="dxa"/>
              <w:bottom w:w="90" w:type="dxa"/>
              <w:end w:w="120" w:type="dxa"/>
            </w:tcMar>
          </w:tcPr>
          <w:p>
            <w:pPr>
              <w:spacing w:after="0"/>
            </w:pPr>
            <w:r>
              <w:rPr>
                <w:rFonts w:ascii="Calibri" w:hAnsi="Calibri"/>
                <w:b w:val="0"/>
                <w:i w:val="0"/>
                <w:color w:val="17242D"/>
                <w:sz w:val="19"/>
              </w:rPr>
              <w:t>The cell contains a value active in the selected moment.</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Treat it as current context, not a signal.</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Gold outline - Ray</w:t>
            </w:r>
          </w:p>
        </w:tc>
        <w:tc>
          <w:tcPr>
            <w:tcW w:type="dxa" w:w="3384"/>
            <w:vAlign w:val="center"/>
            <w:tcMar>
              <w:top w:w="90" w:type="dxa"/>
              <w:start w:w="120" w:type="dxa"/>
              <w:bottom w:w="90" w:type="dxa"/>
              <w:end w:w="120" w:type="dxa"/>
            </w:tcMar>
          </w:tcPr>
          <w:p>
            <w:pPr>
              <w:spacing w:after="0"/>
            </w:pPr>
            <w:r>
              <w:rPr>
                <w:rFonts w:ascii="Calibri" w:hAnsi="Calibri"/>
                <w:b w:val="0"/>
                <w:i w:val="0"/>
                <w:color w:val="17242D"/>
                <w:sz w:val="19"/>
              </w:rPr>
              <w:t>At least one selected actor's Vedha ray reaches the cell.</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Inspect only if it overlaps context.</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Magenta - Matched</w:t>
            </w:r>
          </w:p>
        </w:tc>
        <w:tc>
          <w:tcPr>
            <w:tcW w:type="dxa" w:w="3384"/>
            <w:vAlign w:val="center"/>
            <w:tcMar>
              <w:top w:w="90" w:type="dxa"/>
              <w:start w:w="120" w:type="dxa"/>
              <w:bottom w:w="90" w:type="dxa"/>
              <w:end w:w="120" w:type="dxa"/>
            </w:tcMar>
          </w:tcPr>
          <w:p>
            <w:pPr>
              <w:spacing w:after="0"/>
            </w:pPr>
            <w:r>
              <w:rPr>
                <w:rFonts w:ascii="Calibri" w:hAnsi="Calibri"/>
                <w:b w:val="0"/>
                <w:i w:val="0"/>
                <w:color w:val="17242D"/>
                <w:sz w:val="19"/>
              </w:rPr>
              <w:t>A ray target and current context overlap.</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This match appears in Matched cells and may contribute units.</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Cyan outline - Selected</w:t>
            </w:r>
          </w:p>
        </w:tc>
        <w:tc>
          <w:tcPr>
            <w:tcW w:type="dxa" w:w="3384"/>
            <w:vAlign w:val="center"/>
            <w:tcMar>
              <w:top w:w="90" w:type="dxa"/>
              <w:start w:w="120" w:type="dxa"/>
              <w:bottom w:w="90" w:type="dxa"/>
              <w:end w:w="120" w:type="dxa"/>
            </w:tcMar>
          </w:tcPr>
          <w:p>
            <w:pPr>
              <w:spacing w:after="0"/>
            </w:pPr>
            <w:r>
              <w:rPr>
                <w:rFonts w:ascii="Calibri" w:hAnsi="Calibri"/>
                <w:b w:val="0"/>
                <w:i w:val="0"/>
                <w:color w:val="17242D"/>
                <w:sz w:val="19"/>
              </w:rPr>
              <w:t>You clicked the cell.</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Read every certified layer in Cell inspector.</w:t>
            </w:r>
          </w:p>
        </w:tc>
      </w:tr>
    </w:tbl>
    <w:p>
      <w:pPr>
        <w:spacing w:after="20"/>
      </w:pPr>
    </w:p>
    <w:p>
      <w:r>
        <w:rPr>
          <w:rFonts w:ascii="Calibri" w:hAnsi="Calibri"/>
          <w:b w:val="0"/>
          <w:i w:val="0"/>
          <w:color w:val="17242D"/>
          <w:sz w:val="22"/>
        </w:rPr>
        <w:t>A cell can hold several layers at once. The large label shows the preferred display layer, while the small abbreviations indicate all layers present. Clicking a cell is the reliable way to see its complete contents.</w:t>
      </w:r>
    </w:p>
    <w:p>
      <w:pPr>
        <w:pStyle w:val="ListNumber"/>
      </w:pPr>
      <w:r>
        <w:rPr>
          <w:rFonts w:ascii="Calibri" w:hAnsi="Calibri"/>
          <w:b w:val="0"/>
          <w:i w:val="0"/>
          <w:color w:val="17242D"/>
          <w:sz w:val="22"/>
        </w:rPr>
        <w:t>Look for magenta matched cells first.</w:t>
      </w:r>
    </w:p>
    <w:p>
      <w:pPr>
        <w:pStyle w:val="ListNumber"/>
      </w:pPr>
      <w:r>
        <w:rPr>
          <w:rFonts w:ascii="Calibri" w:hAnsi="Calibri"/>
          <w:b w:val="0"/>
          <w:i w:val="0"/>
          <w:color w:val="17242D"/>
          <w:sz w:val="22"/>
        </w:rPr>
        <w:t>Click a matched cell or its entry in Matched cells.</w:t>
      </w:r>
    </w:p>
    <w:p>
      <w:pPr>
        <w:pStyle w:val="ListNumber"/>
      </w:pPr>
      <w:r>
        <w:rPr>
          <w:rFonts w:ascii="Calibri" w:hAnsi="Calibri"/>
          <w:b w:val="0"/>
          <w:i w:val="0"/>
          <w:color w:val="17242D"/>
          <w:sz w:val="22"/>
        </w:rPr>
        <w:t>Read the layer and value in Cell inspector.</w:t>
      </w:r>
    </w:p>
    <w:p>
      <w:pPr>
        <w:pStyle w:val="ListNumber"/>
      </w:pPr>
      <w:r>
        <w:rPr>
          <w:rFonts w:ascii="Calibri" w:hAnsi="Calibri"/>
          <w:b w:val="0"/>
          <w:i w:val="0"/>
          <w:color w:val="17242D"/>
          <w:sz w:val="22"/>
        </w:rPr>
        <w:t>Check which actor produced the match and whether the contribution was scored or unresolved.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8F5F1"/>
            <w:tcBorders>
              <w:top w:val="single" w:sz="8" w:color="2E8E7B"/>
              <w:left w:val="single" w:sz="8" w:color="2E8E7B"/>
              <w:bottom w:val="single" w:sz="8" w:color="2E8E7B"/>
              <w:right w:val="single" w:sz="8" w:color="2E8E7B"/>
            </w:tcBorders>
          </w:tcPr>
          <w:p>
            <w:pPr>
              <w:spacing w:after="0"/>
            </w:pPr>
            <w:r>
              <w:rPr>
                <w:rFonts w:ascii="Calibri" w:hAnsi="Calibri"/>
                <w:b/>
                <w:i w:val="0"/>
                <w:color w:val="2E8E7B"/>
                <w:sz w:val="21"/>
              </w:rPr>
              <w:t xml:space="preserve">No matched cells is valid: </w:t>
            </w:r>
            <w:r>
              <w:rPr>
                <w:rFonts w:ascii="Calibri" w:hAnsi="Calibri"/>
                <w:b w:val="0"/>
                <w:i w:val="0"/>
                <w:color w:val="17242D"/>
                <w:sz w:val="21"/>
              </w:rPr>
              <w:t>It means the selected rays did not intersect the current target context. It is not a calculation failure and it is not a neutral market forecast.</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5. Read the Guidance Ledger</w:t>
      </w:r>
    </w:p>
    <w:p>
      <w:r>
        <w:rPr>
          <w:rFonts w:ascii="Calibri" w:hAnsi="Calibri"/>
          <w:b w:val="0"/>
          <w:i w:val="0"/>
          <w:color w:val="17242D"/>
          <w:sz w:val="22"/>
        </w:rPr>
        <w:t>The ledger summarizes only matched target layers. Its numerical model is an explicit engineering normalization built for comparison. It is not a classical numerical score.</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90" w:type="dxa"/>
              <w:start w:w="120" w:type="dxa"/>
              <w:bottom w:w="90" w:type="dxa"/>
              <w:end w:w="120" w:type="dxa"/>
            </w:tcMar>
          </w:tcPr>
          <w:p>
            <w:pPr>
              <w:spacing w:after="0"/>
            </w:pPr>
            <w:r>
              <w:rPr>
                <w:rFonts w:ascii="Calibri" w:hAnsi="Calibri"/>
                <w:b/>
                <w:i w:val="0"/>
                <w:color w:val="17242D"/>
                <w:sz w:val="19"/>
              </w:rPr>
              <w:t>Metric</w:t>
            </w:r>
          </w:p>
        </w:tc>
        <w:tc>
          <w:tcPr>
            <w:tcW w:type="dxa" w:w="7272"/>
            <w:shd w:fill="E8EEF5"/>
            <w:vAlign w:val="center"/>
            <w:tcMar>
              <w:top w:w="90" w:type="dxa"/>
              <w:start w:w="120" w:type="dxa"/>
              <w:bottom w:w="90" w:type="dxa"/>
              <w:end w:w="120" w:type="dxa"/>
            </w:tcMar>
          </w:tcPr>
          <w:p>
            <w:pPr>
              <w:spacing w:after="0"/>
            </w:pPr>
            <w:r>
              <w:rPr>
                <w:rFonts w:ascii="Calibri" w:hAnsi="Calibri"/>
                <w:b/>
                <w:i w:val="0"/>
                <w:color w:val="17242D"/>
                <w:sz w:val="19"/>
              </w:rPr>
              <w:t>Plain-English meaning</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Favorable</w:t>
            </w:r>
          </w:p>
        </w:tc>
        <w:tc>
          <w:tcPr>
            <w:tcW w:type="dxa" w:w="7272"/>
            <w:vAlign w:val="center"/>
            <w:tcMar>
              <w:top w:w="90" w:type="dxa"/>
              <w:start w:w="120" w:type="dxa"/>
              <w:bottom w:w="90" w:type="dxa"/>
              <w:end w:w="120" w:type="dxa"/>
            </w:tcMar>
          </w:tcPr>
          <w:p>
            <w:pPr>
              <w:spacing w:after="0"/>
            </w:pPr>
            <w:r>
              <w:rPr>
                <w:rFonts w:ascii="Calibri" w:hAnsi="Calibri"/>
                <w:b w:val="0"/>
                <w:i w:val="0"/>
                <w:color w:val="17242D"/>
                <w:sz w:val="19"/>
              </w:rPr>
              <w:t>Sum of positive, resolved matched evidence units.</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Adverse</w:t>
            </w:r>
          </w:p>
        </w:tc>
        <w:tc>
          <w:tcPr>
            <w:tcW w:type="dxa" w:w="7272"/>
            <w:vAlign w:val="center"/>
            <w:tcMar>
              <w:top w:w="90" w:type="dxa"/>
              <w:start w:w="120" w:type="dxa"/>
              <w:bottom w:w="90" w:type="dxa"/>
              <w:end w:w="120" w:type="dxa"/>
            </w:tcMar>
          </w:tcPr>
          <w:p>
            <w:pPr>
              <w:spacing w:after="0"/>
            </w:pPr>
            <w:r>
              <w:rPr>
                <w:rFonts w:ascii="Calibri" w:hAnsi="Calibri"/>
                <w:b w:val="0"/>
                <w:i w:val="0"/>
                <w:color w:val="17242D"/>
                <w:sz w:val="19"/>
              </w:rPr>
              <w:t>Sum of negative, resolved matched evidence units.</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Net</w:t>
            </w:r>
          </w:p>
        </w:tc>
        <w:tc>
          <w:tcPr>
            <w:tcW w:type="dxa" w:w="7272"/>
            <w:vAlign w:val="center"/>
            <w:tcMar>
              <w:top w:w="90" w:type="dxa"/>
              <w:start w:w="120" w:type="dxa"/>
              <w:bottom w:w="90" w:type="dxa"/>
              <w:end w:w="120" w:type="dxa"/>
            </w:tcMar>
          </w:tcPr>
          <w:p>
            <w:pPr>
              <w:spacing w:after="0"/>
            </w:pPr>
            <w:r>
              <w:rPr>
                <w:rFonts w:ascii="Calibri" w:hAnsi="Calibri"/>
                <w:b w:val="0"/>
                <w:i w:val="0"/>
                <w:color w:val="17242D"/>
                <w:sz w:val="19"/>
              </w:rPr>
              <w:t>Favorable plus Adverse.</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Coverage</w:t>
            </w:r>
          </w:p>
        </w:tc>
        <w:tc>
          <w:tcPr>
            <w:tcW w:type="dxa" w:w="7272"/>
            <w:vAlign w:val="center"/>
            <w:tcMar>
              <w:top w:w="90" w:type="dxa"/>
              <w:start w:w="120" w:type="dxa"/>
              <w:bottom w:w="90" w:type="dxa"/>
              <w:end w:w="120" w:type="dxa"/>
            </w:tcMar>
          </w:tcPr>
          <w:p>
            <w:pPr>
              <w:spacing w:after="0"/>
            </w:pPr>
            <w:r>
              <w:rPr>
                <w:rFonts w:ascii="Calibri" w:hAnsi="Calibri"/>
                <w:b w:val="0"/>
                <w:i w:val="0"/>
                <w:color w:val="17242D"/>
                <w:sz w:val="19"/>
              </w:rPr>
              <w:t>Scored matched cells divided by all matched cells.</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Percentage</w:t>
            </w:r>
          </w:p>
        </w:tc>
        <w:tc>
          <w:tcPr>
            <w:tcW w:type="dxa" w:w="7272"/>
            <w:vAlign w:val="center"/>
            <w:tcMar>
              <w:top w:w="90" w:type="dxa"/>
              <w:start w:w="120" w:type="dxa"/>
              <w:bottom w:w="90" w:type="dxa"/>
              <w:end w:w="120" w:type="dxa"/>
            </w:tcMar>
          </w:tcPr>
          <w:p>
            <w:pPr>
              <w:spacing w:after="0"/>
            </w:pPr>
            <w:r>
              <w:rPr>
                <w:rFonts w:ascii="Calibri" w:hAnsi="Calibri"/>
                <w:b w:val="0"/>
                <w:i w:val="0"/>
                <w:color w:val="17242D"/>
                <w:sz w:val="19"/>
              </w:rPr>
              <w:t>Net divided by Favorable plus absolute Adverse, shown from -100% to +100%.</w:t>
            </w:r>
          </w:p>
        </w:tc>
      </w:tr>
      <w:tr>
        <w:tc>
          <w:tcPr>
            <w:tcW w:type="dxa" w:w="2088"/>
            <w:shd w:fill="F2F5F7"/>
            <w:vAlign w:val="center"/>
            <w:tcMar>
              <w:top w:w="90" w:type="dxa"/>
              <w:start w:w="120" w:type="dxa"/>
              <w:bottom w:w="90" w:type="dxa"/>
              <w:end w:w="120" w:type="dxa"/>
            </w:tcMar>
          </w:tcPr>
          <w:p>
            <w:pPr>
              <w:spacing w:after="0"/>
            </w:pPr>
            <w:r>
              <w:rPr>
                <w:rFonts w:ascii="Calibri" w:hAnsi="Calibri"/>
                <w:b/>
                <w:i w:val="0"/>
                <w:color w:val="17242D"/>
                <w:sz w:val="19"/>
              </w:rPr>
              <w:t>Band</w:t>
            </w:r>
          </w:p>
        </w:tc>
        <w:tc>
          <w:tcPr>
            <w:tcW w:type="dxa" w:w="7272"/>
            <w:vAlign w:val="center"/>
            <w:tcMar>
              <w:top w:w="90" w:type="dxa"/>
              <w:start w:w="120" w:type="dxa"/>
              <w:bottom w:w="90" w:type="dxa"/>
              <w:end w:w="120" w:type="dxa"/>
            </w:tcMar>
          </w:tcPr>
          <w:p>
            <w:pPr>
              <w:spacing w:after="0"/>
            </w:pPr>
            <w:r>
              <w:rPr>
                <w:rFonts w:ascii="Calibri" w:hAnsi="Calibri"/>
                <w:b w:val="0"/>
                <w:i w:val="0"/>
                <w:color w:val="17242D"/>
                <w:sz w:val="19"/>
              </w:rPr>
              <w:t>Favorable dominant, adverse dominant, or balanced/no scored hits.</w:t>
            </w:r>
          </w:p>
        </w:tc>
      </w:tr>
    </w:tbl>
    <w:p>
      <w:pPr>
        <w:spacing w:after="20"/>
      </w:pPr>
    </w:p>
    <w:p>
      <w:pPr>
        <w:spacing w:before="200" w:after="200"/>
        <w:jc w:val="center"/>
      </w:pPr>
      <w:r>
        <w:rPr>
          <w:rFonts w:ascii="Consolas" w:hAnsi="Consolas"/>
          <w:b/>
          <w:color w:val="173A4A"/>
          <w:sz w:val="22"/>
        </w:rPr>
        <w:t>normalized score = net / (favorable + absolute adverse)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CECEC"/>
            <w:tcBorders>
              <w:top w:val="single" w:sz="8" w:color="A43B3B"/>
              <w:left w:val="single" w:sz="8" w:color="A43B3B"/>
              <w:bottom w:val="single" w:sz="8" w:color="A43B3B"/>
              <w:right w:val="single" w:sz="8" w:color="A43B3B"/>
            </w:tcBorders>
          </w:tcPr>
          <w:p>
            <w:pPr>
              <w:spacing w:after="0"/>
            </w:pPr>
            <w:r>
              <w:rPr>
                <w:rFonts w:ascii="Calibri" w:hAnsi="Calibri"/>
                <w:b/>
                <w:i w:val="0"/>
                <w:color w:val="A43B3B"/>
                <w:sz w:val="21"/>
              </w:rPr>
              <w:t xml:space="preserve">Do not misread -100%: </w:t>
            </w:r>
            <w:r>
              <w:rPr>
                <w:rFonts w:ascii="Calibri" w:hAnsi="Calibri"/>
                <w:b w:val="0"/>
                <w:i w:val="0"/>
                <w:color w:val="17242D"/>
                <w:sz w:val="21"/>
              </w:rPr>
              <w:t>It can mean one adverse match and no favorable match. It does not mean 100% confidence, a 100% chance of decline, or a maximum-strength event. Always read matched count and coverage beside the percentage.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4D6"/>
            <w:tcBorders>
              <w:top w:val="single" w:sz="8" w:color="B78125"/>
              <w:left w:val="single" w:sz="8" w:color="B78125"/>
              <w:bottom w:val="single" w:sz="8" w:color="B78125"/>
              <w:right w:val="single" w:sz="8" w:color="B78125"/>
            </w:tcBorders>
          </w:tcPr>
          <w:p>
            <w:pPr>
              <w:spacing w:after="0"/>
            </w:pPr>
            <w:r>
              <w:rPr>
                <w:rFonts w:ascii="Calibri" w:hAnsi="Calibri"/>
                <w:b/>
                <w:i w:val="0"/>
                <w:color w:val="B78125"/>
                <w:sz w:val="21"/>
              </w:rPr>
              <w:t xml:space="preserve">Coverage rule: </w:t>
            </w:r>
            <w:r>
              <w:rPr>
                <w:rFonts w:ascii="Calibri" w:hAnsi="Calibri"/>
                <w:b w:val="0"/>
                <w:i w:val="0"/>
                <w:color w:val="17242D"/>
                <w:sz w:val="21"/>
              </w:rPr>
              <w:t>A low coverage percentage means some matched evidence could not be scored because motion, nature, or multiplier precedence was unresolved. Do not compare low-coverage samples as if they were complete.</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Worked Example</w:t>
      </w:r>
    </w:p>
    <w:p>
      <w:r>
        <w:rPr>
          <w:rFonts w:ascii="Calibri" w:hAnsi="Calibri"/>
          <w:b w:val="0"/>
          <w:i w:val="0"/>
          <w:color w:val="17242D"/>
          <w:sz w:val="22"/>
        </w:rPr>
        <w:t>This engine-level example is intentionally simple. It demonstrates the arithmetic, not a market forecast.</w:t>
      </w:r>
    </w:p>
    <w:tbl>
      <w:tblPr>
        <w:tblStyle w:val="TableGrid"/>
        <w:tblW w:type="dxa" w:w="9360"/>
        <w:jc w:val="left"/>
        <w:tblLayout w:type="fixed"/>
        <w:tblLook w:firstColumn="1" w:firstRow="1" w:lastColumn="0" w:lastRow="0" w:noHBand="0" w:noVBand="1" w:val="04A0"/>
        <w:tblInd w:w="120" w:type="dxa"/>
      </w:tblPr>
      <w:tblGrid>
        <w:gridCol w:w="1800"/>
        <w:gridCol w:w="3456"/>
        <w:gridCol w:w="2088"/>
        <w:gridCol w:w="2016"/>
      </w:tblGrid>
      <w:tr>
        <w:trPr>
          <w:tblHeader w:val="true"/>
        </w:trPr>
        <w:tc>
          <w:tcPr>
            <w:tcW w:type="dxa" w:w="1800"/>
            <w:shd w:fill="E8EEF5"/>
            <w:vAlign w:val="center"/>
            <w:tcMar>
              <w:top w:w="90" w:type="dxa"/>
              <w:start w:w="120" w:type="dxa"/>
              <w:bottom w:w="90" w:type="dxa"/>
              <w:end w:w="120" w:type="dxa"/>
            </w:tcMar>
          </w:tcPr>
          <w:p>
            <w:pPr>
              <w:spacing w:after="0"/>
            </w:pPr>
            <w:r>
              <w:rPr>
                <w:rFonts w:ascii="Calibri" w:hAnsi="Calibri"/>
                <w:b/>
                <w:i w:val="0"/>
                <w:color w:val="17242D"/>
                <w:sz w:val="19"/>
              </w:rPr>
              <w:t>Actor</w:t>
            </w:r>
          </w:p>
        </w:tc>
        <w:tc>
          <w:tcPr>
            <w:tcW w:type="dxa" w:w="3456"/>
            <w:shd w:fill="E8EEF5"/>
            <w:vAlign w:val="center"/>
            <w:tcMar>
              <w:top w:w="90" w:type="dxa"/>
              <w:start w:w="120" w:type="dxa"/>
              <w:bottom w:w="90" w:type="dxa"/>
              <w:end w:w="120" w:type="dxa"/>
            </w:tcMar>
          </w:tcPr>
          <w:p>
            <w:pPr>
              <w:spacing w:after="0"/>
            </w:pPr>
            <w:r>
              <w:rPr>
                <w:rFonts w:ascii="Calibri" w:hAnsi="Calibri"/>
                <w:b/>
                <w:i w:val="0"/>
                <w:color w:val="17242D"/>
                <w:sz w:val="19"/>
              </w:rPr>
              <w:t>Source and ray</w:t>
            </w:r>
          </w:p>
        </w:tc>
        <w:tc>
          <w:tcPr>
            <w:tcW w:type="dxa" w:w="2088"/>
            <w:shd w:fill="E8EEF5"/>
            <w:vAlign w:val="center"/>
            <w:tcMar>
              <w:top w:w="90" w:type="dxa"/>
              <w:start w:w="120" w:type="dxa"/>
              <w:bottom w:w="90" w:type="dxa"/>
              <w:end w:w="120" w:type="dxa"/>
            </w:tcMar>
          </w:tcPr>
          <w:p>
            <w:pPr>
              <w:spacing w:after="0"/>
            </w:pPr>
            <w:r>
              <w:rPr>
                <w:rFonts w:ascii="Calibri" w:hAnsi="Calibri"/>
                <w:b/>
                <w:i w:val="0"/>
                <w:color w:val="17242D"/>
                <w:sz w:val="19"/>
              </w:rPr>
              <w:t>Matched target</w:t>
            </w:r>
          </w:p>
        </w:tc>
        <w:tc>
          <w:tcPr>
            <w:tcW w:type="dxa" w:w="2016"/>
            <w:shd w:fill="E8EEF5"/>
            <w:vAlign w:val="center"/>
            <w:tcMar>
              <w:top w:w="90" w:type="dxa"/>
              <w:start w:w="120" w:type="dxa"/>
              <w:bottom w:w="90" w:type="dxa"/>
              <w:end w:w="120" w:type="dxa"/>
            </w:tcMar>
          </w:tcPr>
          <w:p>
            <w:pPr>
              <w:spacing w:after="0"/>
            </w:pPr>
            <w:r>
              <w:rPr>
                <w:rFonts w:ascii="Calibri" w:hAnsi="Calibri"/>
                <w:b/>
                <w:i w:val="0"/>
                <w:color w:val="17242D"/>
                <w:sz w:val="19"/>
              </w:rPr>
              <w:t>Signed units</w:t>
            </w:r>
          </w:p>
        </w:tc>
      </w:tr>
      <w:tr>
        <w:tc>
          <w:tcPr>
            <w:tcW w:type="dxa" w:w="1800"/>
            <w:shd w:fill="F2F5F7"/>
            <w:vAlign w:val="center"/>
            <w:tcMar>
              <w:top w:w="90" w:type="dxa"/>
              <w:start w:w="120" w:type="dxa"/>
              <w:bottom w:w="90" w:type="dxa"/>
              <w:end w:w="120" w:type="dxa"/>
            </w:tcMar>
          </w:tcPr>
          <w:p>
            <w:pPr>
              <w:spacing w:after="0"/>
            </w:pPr>
            <w:r>
              <w:rPr>
                <w:rFonts w:ascii="Calibri" w:hAnsi="Calibri"/>
                <w:b/>
                <w:i w:val="0"/>
                <w:color w:val="17242D"/>
                <w:sz w:val="19"/>
              </w:rPr>
              <w:t>Jupiter</w:t>
            </w:r>
          </w:p>
        </w:tc>
        <w:tc>
          <w:tcPr>
            <w:tcW w:type="dxa" w:w="3456"/>
            <w:vAlign w:val="center"/>
            <w:tcMar>
              <w:top w:w="90" w:type="dxa"/>
              <w:start w:w="120" w:type="dxa"/>
              <w:bottom w:w="90" w:type="dxa"/>
              <w:end w:w="120" w:type="dxa"/>
            </w:tcMar>
          </w:tcPr>
          <w:p>
            <w:pPr>
              <w:spacing w:after="0"/>
            </w:pPr>
            <w:r>
              <w:rPr>
                <w:rFonts w:ascii="Calibri" w:hAnsi="Calibri"/>
                <w:b w:val="0"/>
                <w:i w:val="0"/>
                <w:color w:val="17242D"/>
                <w:sz w:val="19"/>
              </w:rPr>
              <w:t>Krittika, Mean -&gt; Front</w:t>
            </w:r>
          </w:p>
        </w:tc>
        <w:tc>
          <w:tcPr>
            <w:tcW w:type="dxa" w:w="2088"/>
            <w:vAlign w:val="center"/>
            <w:tcMar>
              <w:top w:w="90" w:type="dxa"/>
              <w:start w:w="120" w:type="dxa"/>
              <w:bottom w:w="90" w:type="dxa"/>
              <w:end w:w="120" w:type="dxa"/>
            </w:tcMar>
          </w:tcPr>
          <w:p>
            <w:pPr>
              <w:spacing w:after="0"/>
            </w:pPr>
            <w:r>
              <w:rPr>
                <w:rFonts w:ascii="Calibri" w:hAnsi="Calibri"/>
                <w:b w:val="0"/>
                <w:i w:val="0"/>
                <w:color w:val="17242D"/>
                <w:sz w:val="19"/>
              </w:rPr>
              <w:t>Shravana</w:t>
            </w:r>
          </w:p>
        </w:tc>
        <w:tc>
          <w:tcPr>
            <w:tcW w:type="dxa" w:w="2016"/>
            <w:vAlign w:val="center"/>
            <w:tcMar>
              <w:top w:w="90" w:type="dxa"/>
              <w:start w:w="120" w:type="dxa"/>
              <w:bottom w:w="90" w:type="dxa"/>
              <w:end w:w="120" w:type="dxa"/>
            </w:tcMar>
          </w:tcPr>
          <w:p>
            <w:pPr>
              <w:spacing w:after="0"/>
            </w:pPr>
            <w:r>
              <w:rPr>
                <w:rFonts w:ascii="Calibri" w:hAnsi="Calibri"/>
                <w:b w:val="0"/>
                <w:i w:val="0"/>
                <w:color w:val="17242D"/>
                <w:sz w:val="19"/>
              </w:rPr>
              <w:t>+1.0</w:t>
            </w:r>
          </w:p>
        </w:tc>
      </w:tr>
      <w:tr>
        <w:tc>
          <w:tcPr>
            <w:tcW w:type="dxa" w:w="1800"/>
            <w:shd w:fill="F2F5F7"/>
            <w:vAlign w:val="center"/>
            <w:tcMar>
              <w:top w:w="90" w:type="dxa"/>
              <w:start w:w="120" w:type="dxa"/>
              <w:bottom w:w="90" w:type="dxa"/>
              <w:end w:w="120" w:type="dxa"/>
            </w:tcMar>
          </w:tcPr>
          <w:p>
            <w:pPr>
              <w:spacing w:after="0"/>
            </w:pPr>
            <w:r>
              <w:rPr>
                <w:rFonts w:ascii="Calibri" w:hAnsi="Calibri"/>
                <w:b/>
                <w:i w:val="0"/>
                <w:color w:val="17242D"/>
                <w:sz w:val="19"/>
              </w:rPr>
              <w:t>Saturn</w:t>
            </w:r>
          </w:p>
        </w:tc>
        <w:tc>
          <w:tcPr>
            <w:tcW w:type="dxa" w:w="3456"/>
            <w:vAlign w:val="center"/>
            <w:tcMar>
              <w:top w:w="90" w:type="dxa"/>
              <w:start w:w="120" w:type="dxa"/>
              <w:bottom w:w="90" w:type="dxa"/>
              <w:end w:w="120" w:type="dxa"/>
            </w:tcMar>
          </w:tcPr>
          <w:p>
            <w:pPr>
              <w:spacing w:after="0"/>
            </w:pPr>
            <w:r>
              <w:rPr>
                <w:rFonts w:ascii="Calibri" w:hAnsi="Calibri"/>
                <w:b w:val="0"/>
                <w:i w:val="0"/>
                <w:color w:val="17242D"/>
                <w:sz w:val="19"/>
              </w:rPr>
              <w:t>Krittika, Retrograde -&gt; Right</w:t>
            </w:r>
          </w:p>
        </w:tc>
        <w:tc>
          <w:tcPr>
            <w:tcW w:type="dxa" w:w="2088"/>
            <w:vAlign w:val="center"/>
            <w:tcMar>
              <w:top w:w="90" w:type="dxa"/>
              <w:start w:w="120" w:type="dxa"/>
              <w:bottom w:w="90" w:type="dxa"/>
              <w:end w:w="120" w:type="dxa"/>
            </w:tcMar>
          </w:tcPr>
          <w:p>
            <w:pPr>
              <w:spacing w:after="0"/>
            </w:pPr>
            <w:r>
              <w:rPr>
                <w:rFonts w:ascii="Calibri" w:hAnsi="Calibri"/>
                <w:b w:val="0"/>
                <w:i w:val="0"/>
                <w:color w:val="17242D"/>
                <w:sz w:val="19"/>
              </w:rPr>
              <w:t>Bharani</w:t>
            </w:r>
          </w:p>
        </w:tc>
        <w:tc>
          <w:tcPr>
            <w:tcW w:type="dxa" w:w="2016"/>
            <w:vAlign w:val="center"/>
            <w:tcMar>
              <w:top w:w="90" w:type="dxa"/>
              <w:start w:w="120" w:type="dxa"/>
              <w:bottom w:w="90" w:type="dxa"/>
              <w:end w:w="120" w:type="dxa"/>
            </w:tcMar>
          </w:tcPr>
          <w:p>
            <w:pPr>
              <w:spacing w:after="0"/>
            </w:pPr>
            <w:r>
              <w:rPr>
                <w:rFonts w:ascii="Calibri" w:hAnsi="Calibri"/>
                <w:b w:val="0"/>
                <w:i w:val="0"/>
                <w:color w:val="17242D"/>
                <w:sz w:val="19"/>
              </w:rPr>
              <w:t>-2.0</w:t>
            </w:r>
          </w:p>
        </w:tc>
      </w:tr>
    </w:tbl>
    <w:p>
      <w:pPr>
        <w:spacing w:after="20"/>
      </w:pPr>
    </w:p>
    <w:p>
      <w:r>
        <w:rPr>
          <w:rFonts w:ascii="Calibri" w:hAnsi="Calibri"/>
          <w:b w:val="0"/>
          <w:i w:val="0"/>
          <w:color w:val="17242D"/>
          <w:sz w:val="22"/>
        </w:rPr>
        <w:t>Favorable = +1.0. Adverse = -2.0. Net = -1.0. Absolute evidence = 3.0.</w:t>
      </w:r>
    </w:p>
    <w:p>
      <w:pPr>
        <w:jc w:val="center"/>
      </w:pPr>
      <w:r>
        <w:rPr>
          <w:rFonts w:ascii="Calibri" w:hAnsi="Calibri"/>
          <w:b/>
          <w:i w:val="0"/>
          <w:color w:val="A43B3B"/>
          <w:sz w:val="30"/>
        </w:rPr>
        <w:t>-1.0 / 3.0 = -33.3%  |  Adverse Evidence Dominant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8F5F1"/>
            <w:tcBorders>
              <w:top w:val="single" w:sz="8" w:color="2E8E7B"/>
              <w:left w:val="single" w:sz="8" w:color="2E8E7B"/>
              <w:bottom w:val="single" w:sz="8" w:color="2E8E7B"/>
              <w:right w:val="single" w:sz="8" w:color="2E8E7B"/>
            </w:tcBorders>
          </w:tcPr>
          <w:p>
            <w:pPr>
              <w:spacing w:after="0"/>
            </w:pPr>
            <w:r>
              <w:rPr>
                <w:rFonts w:ascii="Calibri" w:hAnsi="Calibri"/>
                <w:b/>
                <w:i w:val="0"/>
                <w:color w:val="2E8E7B"/>
                <w:sz w:val="21"/>
              </w:rPr>
              <w:t xml:space="preserve">Correct interpretation: </w:t>
            </w:r>
            <w:r>
              <w:rPr>
                <w:rFonts w:ascii="Calibri" w:hAnsi="Calibri"/>
                <w:b w:val="0"/>
                <w:i w:val="0"/>
                <w:color w:val="17242D"/>
                <w:sz w:val="21"/>
              </w:rPr>
              <w:t>Within the supplied Sarvatobhadra context, resolved adverse evidence outweighed resolved favorable evidence. This does not mean short USDJPY, sell Bitcoin, or place any order.</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CECEC"/>
            <w:tcBorders>
              <w:top w:val="single" w:sz="8" w:color="A43B3B"/>
              <w:left w:val="single" w:sz="8" w:color="A43B3B"/>
              <w:bottom w:val="single" w:sz="8" w:color="A43B3B"/>
              <w:right w:val="single" w:sz="8" w:color="A43B3B"/>
            </w:tcBorders>
          </w:tcPr>
          <w:p>
            <w:pPr>
              <w:spacing w:after="0"/>
            </w:pPr>
            <w:r>
              <w:rPr>
                <w:rFonts w:ascii="Calibri" w:hAnsi="Calibri"/>
                <w:b/>
                <w:i w:val="0"/>
                <w:color w:val="A43B3B"/>
                <w:sz w:val="21"/>
              </w:rPr>
              <w:t xml:space="preserve">Incorrect interpretation: </w:t>
            </w:r>
            <w:r>
              <w:rPr>
                <w:rFonts w:ascii="Calibri" w:hAnsi="Calibri"/>
                <w:b w:val="0"/>
                <w:i w:val="0"/>
                <w:color w:val="17242D"/>
                <w:sz w:val="21"/>
              </w:rPr>
              <w:t>There is a 33.3% probability of a price decline, or Saturn guarantees a bearish move.</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Recommended Beginner Workflows</w:t>
      </w:r>
    </w:p>
    <w:p>
      <w:pPr>
        <w:pStyle w:val="Heading2"/>
      </w:pPr>
      <w:r>
        <w:t>Workflow A - Safe observation run</w:t>
      </w:r>
    </w:p>
    <w:p>
      <w:pPr>
        <w:pStyle w:val="ListNumber"/>
      </w:pPr>
      <w:r>
        <w:rPr>
          <w:rFonts w:ascii="Calibri" w:hAnsi="Calibri"/>
          <w:b w:val="0"/>
          <w:i w:val="0"/>
          <w:color w:val="17242D"/>
          <w:sz w:val="22"/>
        </w:rPr>
        <w:t>Open Chakra and verify the IST timestamp and location.</w:t>
      </w:r>
    </w:p>
    <w:p>
      <w:pPr>
        <w:pStyle w:val="ListNumber"/>
      </w:pPr>
      <w:r>
        <w:rPr>
          <w:rFonts w:ascii="Calibri" w:hAnsi="Calibri"/>
          <w:b w:val="0"/>
          <w:i w:val="0"/>
          <w:color w:val="17242D"/>
          <w:sz w:val="22"/>
        </w:rPr>
        <w:t>Keep Sun, Moon, Rahu, and Ketu selected.</w:t>
      </w:r>
    </w:p>
    <w:p>
      <w:pPr>
        <w:pStyle w:val="ListNumber"/>
      </w:pPr>
      <w:r>
        <w:rPr>
          <w:rFonts w:ascii="Calibri" w:hAnsi="Calibri"/>
          <w:b w:val="0"/>
          <w:i w:val="0"/>
          <w:color w:val="17242D"/>
          <w:sz w:val="22"/>
        </w:rPr>
        <w:t>Uncheck Mars, Mercury, Jupiter, Venus, and Saturn.</w:t>
      </w:r>
    </w:p>
    <w:p>
      <w:pPr>
        <w:pStyle w:val="ListNumber"/>
      </w:pPr>
      <w:r>
        <w:rPr>
          <w:rFonts w:ascii="Calibri" w:hAnsi="Calibri"/>
          <w:b w:val="0"/>
          <w:i w:val="0"/>
          <w:color w:val="17242D"/>
          <w:sz w:val="22"/>
        </w:rPr>
        <w:t>Leave vowel and name-initial fields blank.</w:t>
      </w:r>
    </w:p>
    <w:p>
      <w:pPr>
        <w:pStyle w:val="ListNumber"/>
      </w:pPr>
      <w:r>
        <w:rPr>
          <w:rFonts w:ascii="Calibri" w:hAnsi="Calibri"/>
          <w:b w:val="0"/>
          <w:i w:val="0"/>
          <w:color w:val="17242D"/>
          <w:sz w:val="22"/>
        </w:rPr>
        <w:t>Press Refresh snapshot.</w:t>
      </w:r>
    </w:p>
    <w:p>
      <w:pPr>
        <w:pStyle w:val="ListNumber"/>
      </w:pPr>
      <w:r>
        <w:rPr>
          <w:rFonts w:ascii="Calibri" w:hAnsi="Calibri"/>
          <w:b w:val="0"/>
          <w:i w:val="0"/>
          <w:color w:val="17242D"/>
          <w:sz w:val="22"/>
        </w:rPr>
        <w:t>Record snapshot ID, score, coverage, matched cells, and the fact that only fixed actors were used.</w:t>
      </w:r>
    </w:p>
    <w:p>
      <w:pPr>
        <w:pStyle w:val="Heading2"/>
      </w:pPr>
      <w:r>
        <w:t>Workflow B - Full research run</w:t>
      </w:r>
    </w:p>
    <w:p>
      <w:pPr>
        <w:pStyle w:val="ListNumber"/>
      </w:pPr>
      <w:r>
        <w:rPr>
          <w:rFonts w:ascii="Calibri" w:hAnsi="Calibri"/>
          <w:b w:val="0"/>
          <w:i w:val="0"/>
          <w:color w:val="17242D"/>
          <w:sz w:val="22"/>
        </w:rPr>
        <w:t>Prepare verified motion classes for Mars through Saturn before opening the lab.</w:t>
      </w:r>
    </w:p>
    <w:p>
      <w:pPr>
        <w:pStyle w:val="ListNumber"/>
      </w:pPr>
      <w:r>
        <w:rPr>
          <w:rFonts w:ascii="Calibri" w:hAnsi="Calibri"/>
          <w:b w:val="0"/>
          <w:i w:val="0"/>
          <w:color w:val="17242D"/>
          <w:sz w:val="22"/>
        </w:rPr>
        <w:t>Select only the actors relevant to the research question.</w:t>
      </w:r>
    </w:p>
    <w:p>
      <w:pPr>
        <w:pStyle w:val="ListNumber"/>
      </w:pPr>
      <w:r>
        <w:rPr>
          <w:rFonts w:ascii="Calibri" w:hAnsi="Calibri"/>
          <w:b w:val="0"/>
          <w:i w:val="0"/>
          <w:color w:val="17242D"/>
          <w:sz w:val="22"/>
        </w:rPr>
        <w:t>Set dignity from the same timestamp, avoiding retrograde plus non-ordinary combinations.</w:t>
      </w:r>
    </w:p>
    <w:p>
      <w:pPr>
        <w:pStyle w:val="ListNumber"/>
      </w:pPr>
      <w:r>
        <w:rPr>
          <w:rFonts w:ascii="Calibri" w:hAnsi="Calibri"/>
          <w:b w:val="0"/>
          <w:i w:val="0"/>
          <w:color w:val="17242D"/>
          <w:sz w:val="22"/>
        </w:rPr>
        <w:t>Refresh and inspect Actor evidence for Ready or unresolved status.</w:t>
      </w:r>
    </w:p>
    <w:p>
      <w:pPr>
        <w:pStyle w:val="ListNumber"/>
      </w:pPr>
      <w:r>
        <w:rPr>
          <w:rFonts w:ascii="Calibri" w:hAnsi="Calibri"/>
          <w:b w:val="0"/>
          <w:i w:val="0"/>
          <w:color w:val="17242D"/>
          <w:sz w:val="22"/>
        </w:rPr>
        <w:t>Record every actor setting together with the snapshot ID.</w:t>
      </w:r>
    </w:p>
    <w:p>
      <w:pPr>
        <w:pStyle w:val="Heading2"/>
      </w:pPr>
      <w:r>
        <w:t>Workflow C - Instrument identity experiment</w:t>
      </w:r>
    </w:p>
    <w:p>
      <w:r>
        <w:rPr>
          <w:rFonts w:ascii="Calibri" w:hAnsi="Calibri"/>
          <w:b w:val="0"/>
          <w:i w:val="0"/>
          <w:color w:val="17242D"/>
          <w:sz w:val="22"/>
        </w:rPr>
        <w:t>Use optional vowel/name-initial keys only with a reviewed mapping record. Keep this work in the separate experimental instrument-relative SBC layer. Do not treat manual letter matching as production financial evidence.</w:t>
      </w:r>
    </w:p>
    <w:p>
      <w:pPr>
        <w:keepNext/>
        <w:pageBreakBefore/>
        <w:spacing w:before="0" w:after="0" w:line="20" w:lineRule="exact"/>
      </w:pPr>
      <w:r>
        <w:rPr>
          <w:rFonts w:ascii="Calibri" w:hAnsi="Calibri"/>
          <w:b w:val="0"/>
          <w:i w:val="0"/>
          <w:color w:val="FFFFFF"/>
          <w:sz w:val="2"/>
        </w:rPr>
      </w:r>
    </w:p>
    <w:p>
      <w:pPr>
        <w:pStyle w:val="Heading1"/>
      </w:pPr>
      <w:r>
        <w:t>Troubleshooting</w:t>
      </w:r>
    </w:p>
    <w:tbl>
      <w:tblPr>
        <w:tblStyle w:val="TableGrid"/>
        <w:tblW w:type="dxa" w:w="9360"/>
        <w:jc w:val="left"/>
        <w:tblLayout w:type="fixed"/>
        <w:tblLook w:firstColumn="1" w:firstRow="1" w:lastColumn="0" w:lastRow="0" w:noHBand="0" w:noVBand="1" w:val="04A0"/>
        <w:tblInd w:w="120" w:type="dxa"/>
      </w:tblPr>
      <w:tblGrid>
        <w:gridCol w:w="2232"/>
        <w:gridCol w:w="3240"/>
        <w:gridCol w:w="3888"/>
      </w:tblGrid>
      <w:tr>
        <w:trPr>
          <w:tblHeader w:val="true"/>
        </w:trPr>
        <w:tc>
          <w:tcPr>
            <w:tcW w:type="dxa" w:w="2232"/>
            <w:shd w:fill="E8EEF5"/>
            <w:vAlign w:val="center"/>
            <w:tcMar>
              <w:top w:w="90" w:type="dxa"/>
              <w:start w:w="120" w:type="dxa"/>
              <w:bottom w:w="90" w:type="dxa"/>
              <w:end w:w="120" w:type="dxa"/>
            </w:tcMar>
          </w:tcPr>
          <w:p>
            <w:pPr>
              <w:spacing w:after="0"/>
            </w:pPr>
            <w:r>
              <w:rPr>
                <w:rFonts w:ascii="Calibri" w:hAnsi="Calibri"/>
                <w:b/>
                <w:i w:val="0"/>
                <w:color w:val="17242D"/>
                <w:sz w:val="19"/>
              </w:rPr>
              <w:t>What you see</w:t>
            </w:r>
          </w:p>
        </w:tc>
        <w:tc>
          <w:tcPr>
            <w:tcW w:type="dxa" w:w="3240"/>
            <w:shd w:fill="E8EEF5"/>
            <w:vAlign w:val="center"/>
            <w:tcMar>
              <w:top w:w="90" w:type="dxa"/>
              <w:start w:w="120" w:type="dxa"/>
              <w:bottom w:w="90" w:type="dxa"/>
              <w:end w:w="120" w:type="dxa"/>
            </w:tcMar>
          </w:tcPr>
          <w:p>
            <w:pPr>
              <w:spacing w:after="0"/>
            </w:pPr>
            <w:r>
              <w:rPr>
                <w:rFonts w:ascii="Calibri" w:hAnsi="Calibri"/>
                <w:b/>
                <w:i w:val="0"/>
                <w:color w:val="17242D"/>
                <w:sz w:val="19"/>
              </w:rPr>
              <w:t>What it means</w:t>
            </w:r>
          </w:p>
        </w:tc>
        <w:tc>
          <w:tcPr>
            <w:tcW w:type="dxa" w:w="3888"/>
            <w:shd w:fill="E8EEF5"/>
            <w:vAlign w:val="center"/>
            <w:tcMar>
              <w:top w:w="90" w:type="dxa"/>
              <w:start w:w="120" w:type="dxa"/>
              <w:bottom w:w="90" w:type="dxa"/>
              <w:end w:w="120" w:type="dxa"/>
            </w:tcMar>
          </w:tcPr>
          <w:p>
            <w:pPr>
              <w:spacing w:after="0"/>
            </w:pPr>
            <w:r>
              <w:rPr>
                <w:rFonts w:ascii="Calibri" w:hAnsi="Calibri"/>
                <w:b/>
                <w:i w:val="0"/>
                <w:color w:val="17242D"/>
                <w:sz w:val="19"/>
              </w:rPr>
              <w:t>What to do</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Motion Required</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A selected variable planet has no explicit motion class.</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Set a verified class or uncheck the actor; do not guess.</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No matched target cells</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No ray intersects current context.</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Record zero matches; do not call it neutral or bullish/bearish.</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0.0% score</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Evidence is balanced or there are no scored hits.</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Check matched count, favorable/adverse units, and coverage.</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Low coverage</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One or more matches are unresolved.</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Inspect Mercury nature, missing motion, and multiplier conflicts.</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Score did not change</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Inputs were edited but the snapshot was not refreshed.</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Press Refresh snapshot and confirm the snapshot ID changes.</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Unexpected time</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Timestamp was entered incorrectly.</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Use IST and verify date, hour, and minute before refreshing.</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Invalid vowel or initial</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The token is outside the certified board vocabulary.</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Use the accepted token lists in this manual.</w:t>
            </w:r>
          </w:p>
        </w:tc>
      </w:tr>
      <w:tr>
        <w:tc>
          <w:tcPr>
            <w:tcW w:type="dxa" w:w="2232"/>
            <w:vAlign w:val="center"/>
            <w:tcMar>
              <w:top w:w="90" w:type="dxa"/>
              <w:start w:w="120" w:type="dxa"/>
              <w:bottom w:w="90" w:type="dxa"/>
              <w:end w:w="120" w:type="dxa"/>
            </w:tcMar>
          </w:tcPr>
          <w:p>
            <w:pPr>
              <w:spacing w:after="0"/>
            </w:pPr>
            <w:r>
              <w:rPr>
                <w:rFonts w:ascii="Calibri" w:hAnsi="Calibri"/>
                <w:b w:val="0"/>
                <w:i w:val="0"/>
                <w:color w:val="17242D"/>
                <w:sz w:val="19"/>
              </w:rPr>
              <w:t>Not financially validated</w:t>
            </w:r>
          </w:p>
        </w:tc>
        <w:tc>
          <w:tcPr>
            <w:tcW w:type="dxa" w:w="3240"/>
            <w:vAlign w:val="center"/>
            <w:tcMar>
              <w:top w:w="90" w:type="dxa"/>
              <w:start w:w="120" w:type="dxa"/>
              <w:bottom w:w="90" w:type="dxa"/>
              <w:end w:w="120" w:type="dxa"/>
            </w:tcMar>
          </w:tcPr>
          <w:p>
            <w:pPr>
              <w:spacing w:after="0"/>
            </w:pPr>
            <w:r>
              <w:rPr>
                <w:rFonts w:ascii="Calibri" w:hAnsi="Calibri"/>
                <w:b w:val="0"/>
                <w:i w:val="0"/>
                <w:color w:val="17242D"/>
                <w:sz w:val="19"/>
              </w:rPr>
              <w:t>This is the correct permanent research lock.</w:t>
            </w:r>
          </w:p>
        </w:tc>
        <w:tc>
          <w:tcPr>
            <w:tcW w:type="dxa" w:w="3888"/>
            <w:vAlign w:val="center"/>
            <w:tcMar>
              <w:top w:w="90" w:type="dxa"/>
              <w:start w:w="120" w:type="dxa"/>
              <w:bottom w:w="90" w:type="dxa"/>
              <w:end w:w="120" w:type="dxa"/>
            </w:tcMar>
          </w:tcPr>
          <w:p>
            <w:pPr>
              <w:spacing w:after="0"/>
            </w:pPr>
            <w:r>
              <w:rPr>
                <w:rFonts w:ascii="Calibri" w:hAnsi="Calibri"/>
                <w:b w:val="0"/>
                <w:i w:val="0"/>
                <w:color w:val="17242D"/>
                <w:sz w:val="19"/>
              </w:rPr>
              <w:t>Do not seek a setting that removes it.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8F5F1"/>
            <w:tcBorders>
              <w:top w:val="single" w:sz="8" w:color="2E8E7B"/>
              <w:left w:val="single" w:sz="8" w:color="2E8E7B"/>
              <w:bottom w:val="single" w:sz="8" w:color="2E8E7B"/>
              <w:right w:val="single" w:sz="8" w:color="2E8E7B"/>
            </w:tcBorders>
          </w:tcPr>
          <w:p>
            <w:pPr>
              <w:spacing w:after="0"/>
            </w:pPr>
            <w:r>
              <w:rPr>
                <w:rFonts w:ascii="Calibri" w:hAnsi="Calibri"/>
                <w:b/>
                <w:i w:val="0"/>
                <w:color w:val="2E8E7B"/>
                <w:sz w:val="21"/>
              </w:rPr>
              <w:t xml:space="preserve">Snapshot identity: </w:t>
            </w:r>
            <w:r>
              <w:rPr>
                <w:rFonts w:ascii="Calibri" w:hAnsi="Calibri"/>
                <w:b w:val="0"/>
                <w:i w:val="0"/>
                <w:color w:val="17242D"/>
                <w:sz w:val="21"/>
              </w:rPr>
              <w:t>The short code beside Refresh snapshot identifies the exact inputs and evidence. If inputs change, the ID should change. Save it with your research note.</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Research Note Template</w:t>
      </w:r>
    </w:p>
    <w:p>
      <w:r>
        <w:rPr>
          <w:rFonts w:ascii="Calibri" w:hAnsi="Calibri"/>
          <w:b w:val="0"/>
          <w:i w:val="0"/>
          <w:color w:val="17242D"/>
          <w:sz w:val="22"/>
        </w:rPr>
        <w:t>Use this checklist whenever you compare Chakra evidence with a later market observation. Keeping the input record separate from the future outcome protects against hindsight leakage.</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E8EEF5"/>
            <w:vAlign w:val="center"/>
            <w:tcMar>
              <w:top w:w="90" w:type="dxa"/>
              <w:start w:w="120" w:type="dxa"/>
              <w:bottom w:w="90" w:type="dxa"/>
              <w:end w:w="120" w:type="dxa"/>
            </w:tcMar>
          </w:tcPr>
          <w:p>
            <w:pPr>
              <w:spacing w:after="0"/>
            </w:pPr>
            <w:r>
              <w:rPr>
                <w:rFonts w:ascii="Calibri" w:hAnsi="Calibri"/>
                <w:b/>
                <w:i w:val="0"/>
                <w:color w:val="17242D"/>
                <w:sz w:val="19"/>
              </w:rPr>
              <w:t>Field</w:t>
            </w:r>
          </w:p>
        </w:tc>
        <w:tc>
          <w:tcPr>
            <w:tcW w:type="dxa" w:w="6840"/>
            <w:shd w:fill="E8EEF5"/>
            <w:vAlign w:val="center"/>
            <w:tcMar>
              <w:top w:w="90" w:type="dxa"/>
              <w:start w:w="120" w:type="dxa"/>
              <w:bottom w:w="90" w:type="dxa"/>
              <w:end w:w="120" w:type="dxa"/>
            </w:tcMar>
          </w:tcPr>
          <w:p>
            <w:pPr>
              <w:spacing w:after="0"/>
            </w:pPr>
            <w:r>
              <w:rPr>
                <w:rFonts w:ascii="Calibri" w:hAnsi="Calibri"/>
                <w:b/>
                <w:i w:val="0"/>
                <w:color w:val="17242D"/>
                <w:sz w:val="19"/>
              </w:rPr>
              <w:t>What to record</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Snapshot ID</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Copy the short ID shown at the top.</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Moment</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IST date and time used.</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Location</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Latitude, longitude, altitude, and reason for choosing them.</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Context keys</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Vowels and initials, or 'blank'.</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Actors</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Selected planets plus exact motion and dignity settings.</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Ledger</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Percentage, band, favorable, adverse, net, coverage.</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Matched cells</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Actor, layer, value, direction, and signed units/unresolved status.</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Pre-outcome hypothesis</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A plain statement written before seeing later bars.</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Outcome observation</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Recorded later in a separate timestamped field.</w:t>
            </w:r>
          </w:p>
        </w:tc>
      </w:tr>
      <w:tr>
        <w:tc>
          <w:tcPr>
            <w:tcW w:type="dxa" w:w="2520"/>
            <w:shd w:fill="F2F5F7"/>
            <w:vAlign w:val="center"/>
            <w:tcMar>
              <w:top w:w="90" w:type="dxa"/>
              <w:start w:w="120" w:type="dxa"/>
              <w:bottom w:w="90" w:type="dxa"/>
              <w:end w:w="120" w:type="dxa"/>
            </w:tcMar>
          </w:tcPr>
          <w:p>
            <w:pPr>
              <w:spacing w:after="0"/>
            </w:pPr>
            <w:r>
              <w:rPr>
                <w:rFonts w:ascii="Calibri" w:hAnsi="Calibri"/>
                <w:b/>
                <w:i w:val="0"/>
                <w:color w:val="17242D"/>
                <w:sz w:val="19"/>
              </w:rPr>
              <w:t>Decision</w:t>
            </w:r>
          </w:p>
        </w:tc>
        <w:tc>
          <w:tcPr>
            <w:tcW w:type="dxa" w:w="6840"/>
            <w:vAlign w:val="center"/>
            <w:tcMar>
              <w:top w:w="90" w:type="dxa"/>
              <w:start w:w="120" w:type="dxa"/>
              <w:bottom w:w="90" w:type="dxa"/>
              <w:end w:w="120" w:type="dxa"/>
            </w:tcMar>
          </w:tcPr>
          <w:p>
            <w:pPr>
              <w:spacing w:after="0"/>
            </w:pPr>
            <w:r>
              <w:rPr>
                <w:rFonts w:ascii="Calibri" w:hAnsi="Calibri"/>
                <w:b w:val="0"/>
                <w:i w:val="0"/>
                <w:color w:val="17242D"/>
                <w:sz w:val="19"/>
              </w:rPr>
              <w:t>Keep as research evidence; never backfill it into live inference.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4D6"/>
            <w:tcBorders>
              <w:top w:val="single" w:sz="8" w:color="B78125"/>
              <w:left w:val="single" w:sz="8" w:color="B78125"/>
              <w:bottom w:val="single" w:sz="8" w:color="B78125"/>
              <w:right w:val="single" w:sz="8" w:color="B78125"/>
            </w:tcBorders>
          </w:tcPr>
          <w:p>
            <w:pPr>
              <w:spacing w:after="0"/>
            </w:pPr>
            <w:r>
              <w:rPr>
                <w:rFonts w:ascii="Calibri" w:hAnsi="Calibri"/>
                <w:b/>
                <w:i w:val="0"/>
                <w:color w:val="B78125"/>
                <w:sz w:val="21"/>
              </w:rPr>
              <w:t xml:space="preserve">Recommended language: </w:t>
            </w:r>
            <w:r>
              <w:rPr>
                <w:rFonts w:ascii="Calibri" w:hAnsi="Calibri"/>
                <w:b w:val="0"/>
                <w:i w:val="0"/>
                <w:color w:val="17242D"/>
                <w:sz w:val="21"/>
              </w:rPr>
              <w:t>Use 'favorable/adverse evidence dominant' exactly as the app does. Avoid replacing it with bullish, bearish, buy, sell, confidence, or probability.</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Accepted Optional Keys</w:t>
      </w:r>
    </w:p>
    <w:p>
      <w:r>
        <w:rPr>
          <w:rFonts w:ascii="Calibri" w:hAnsi="Calibri"/>
          <w:b w:val="0"/>
          <w:i w:val="0"/>
          <w:color w:val="17242D"/>
          <w:sz w:val="22"/>
        </w:rPr>
        <w:t>The program uppercases comma-separated input and rejects unknown values. The following machine tokens are accepted by the current 81-cell profile.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vAlign w:val="center"/>
            <w:tcMar>
              <w:top w:w="90" w:type="dxa"/>
              <w:start w:w="120" w:type="dxa"/>
              <w:bottom w:w="90" w:type="dxa"/>
              <w:end w:w="120" w:type="dxa"/>
            </w:tcMar>
          </w:tcPr>
          <w:p>
            <w:pPr>
              <w:spacing w:after="0"/>
            </w:pPr>
            <w:r>
              <w:rPr>
                <w:rFonts w:ascii="Calibri" w:hAnsi="Calibri"/>
                <w:b/>
                <w:i w:val="0"/>
                <w:color w:val="17242D"/>
                <w:sz w:val="19"/>
              </w:rPr>
              <w:t>Layer</w:t>
            </w:r>
          </w:p>
        </w:tc>
        <w:tc>
          <w:tcPr>
            <w:tcW w:type="dxa" w:w="7416"/>
            <w:shd w:fill="E8EEF5"/>
            <w:vAlign w:val="center"/>
            <w:tcMar>
              <w:top w:w="90" w:type="dxa"/>
              <w:start w:w="120" w:type="dxa"/>
              <w:bottom w:w="90" w:type="dxa"/>
              <w:end w:w="120" w:type="dxa"/>
            </w:tcMar>
          </w:tcPr>
          <w:p>
            <w:pPr>
              <w:spacing w:after="0"/>
            </w:pPr>
            <w:r>
              <w:rPr>
                <w:rFonts w:ascii="Calibri" w:hAnsi="Calibri"/>
                <w:b/>
                <w:i w:val="0"/>
                <w:color w:val="17242D"/>
                <w:sz w:val="19"/>
              </w:rPr>
              <w:t>Accepted keys</w:t>
            </w:r>
          </w:p>
        </w:tc>
      </w:tr>
      <w:tr>
        <w:tc>
          <w:tcPr>
            <w:tcW w:type="dxa" w:w="1944"/>
            <w:shd w:fill="F2F5F7"/>
            <w:vAlign w:val="center"/>
            <w:tcMar>
              <w:top w:w="90" w:type="dxa"/>
              <w:start w:w="120" w:type="dxa"/>
              <w:bottom w:w="90" w:type="dxa"/>
              <w:end w:w="120" w:type="dxa"/>
            </w:tcMar>
          </w:tcPr>
          <w:p>
            <w:pPr>
              <w:spacing w:after="0"/>
            </w:pPr>
            <w:r>
              <w:rPr>
                <w:rFonts w:ascii="Calibri" w:hAnsi="Calibri"/>
                <w:b/>
                <w:i w:val="0"/>
                <w:color w:val="17242D"/>
                <w:sz w:val="19"/>
              </w:rPr>
              <w:t>Vowels</w:t>
            </w:r>
          </w:p>
        </w:tc>
        <w:tc>
          <w:tcPr>
            <w:tcW w:type="dxa" w:w="7416"/>
            <w:vAlign w:val="center"/>
            <w:tcMar>
              <w:top w:w="90" w:type="dxa"/>
              <w:start w:w="120" w:type="dxa"/>
              <w:bottom w:w="90" w:type="dxa"/>
              <w:end w:w="120" w:type="dxa"/>
            </w:tcMar>
          </w:tcPr>
          <w:p>
            <w:pPr>
              <w:spacing w:after="0"/>
            </w:pPr>
            <w:r>
              <w:rPr>
                <w:rFonts w:ascii="Calibri" w:hAnsi="Calibri"/>
                <w:b w:val="0"/>
                <w:i w:val="0"/>
                <w:color w:val="17242D"/>
                <w:sz w:val="19"/>
              </w:rPr>
              <w:t>A, AA, I, II, U, UU, VOCALIC_R, LONG_VOCALIC_R, VOCALIC_L, LONG_VOCALIC_L, E, AI, O, AU, ANUSVARA, VISARGA</w:t>
            </w:r>
          </w:p>
        </w:tc>
      </w:tr>
      <w:tr>
        <w:tc>
          <w:tcPr>
            <w:tcW w:type="dxa" w:w="1944"/>
            <w:shd w:fill="F2F5F7"/>
            <w:vAlign w:val="center"/>
            <w:tcMar>
              <w:top w:w="90" w:type="dxa"/>
              <w:start w:w="120" w:type="dxa"/>
              <w:bottom w:w="90" w:type="dxa"/>
              <w:end w:w="120" w:type="dxa"/>
            </w:tcMar>
          </w:tcPr>
          <w:p>
            <w:pPr>
              <w:spacing w:after="0"/>
            </w:pPr>
            <w:r>
              <w:rPr>
                <w:rFonts w:ascii="Calibri" w:hAnsi="Calibri"/>
                <w:b/>
                <w:i w:val="0"/>
                <w:color w:val="17242D"/>
                <w:sz w:val="19"/>
              </w:rPr>
              <w:t>Name initials</w:t>
            </w:r>
          </w:p>
        </w:tc>
        <w:tc>
          <w:tcPr>
            <w:tcW w:type="dxa" w:w="7416"/>
            <w:vAlign w:val="center"/>
            <w:tcMar>
              <w:top w:w="90" w:type="dxa"/>
              <w:start w:w="120" w:type="dxa"/>
              <w:bottom w:w="90" w:type="dxa"/>
              <w:end w:w="120" w:type="dxa"/>
            </w:tcMar>
          </w:tcPr>
          <w:p>
            <w:pPr>
              <w:spacing w:after="0"/>
            </w:pPr>
            <w:r>
              <w:rPr>
                <w:rFonts w:ascii="Calibri" w:hAnsi="Calibri"/>
                <w:b w:val="0"/>
                <w:i w:val="0"/>
                <w:color w:val="17242D"/>
                <w:sz w:val="19"/>
              </w:rPr>
              <w:t>A, VA, KA, HA, DDA, MA, TTA, PA, RA, TA, NA, YA, BHA, JA, KHA, GA, SA, DA, CHA, LA</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8F5F1"/>
            <w:tcBorders>
              <w:top w:val="single" w:sz="8" w:color="2E8E7B"/>
              <w:left w:val="single" w:sz="8" w:color="2E8E7B"/>
              <w:bottom w:val="single" w:sz="8" w:color="2E8E7B"/>
              <w:right w:val="single" w:sz="8" w:color="2E8E7B"/>
            </w:tcBorders>
          </w:tcPr>
          <w:p>
            <w:pPr>
              <w:spacing w:after="0"/>
            </w:pPr>
            <w:r>
              <w:rPr>
                <w:rFonts w:ascii="Calibri" w:hAnsi="Calibri"/>
                <w:b/>
                <w:i w:val="0"/>
                <w:color w:val="2E8E7B"/>
                <w:sz w:val="21"/>
              </w:rPr>
              <w:t xml:space="preserve">Semantic exception: </w:t>
            </w:r>
            <w:r>
              <w:rPr>
                <w:rFonts w:ascii="Calibri" w:hAnsi="Calibri"/>
                <w:b w:val="0"/>
                <w:i w:val="0"/>
                <w:color w:val="17242D"/>
                <w:sz w:val="21"/>
              </w:rPr>
              <w:t>NAME_INITIAL:A is kept as its own board cell because the source ring begins with vowel A. The engine does not create a duplicate synthetic vowel target.</w:t>
            </w:r>
          </w:p>
        </w:tc>
      </w:tr>
    </w:tbl>
    <w:p>
      <w:pPr>
        <w:spacing w:after="20"/>
      </w:pPr>
    </w:p>
    <w:p>
      <w:pPr>
        <w:pStyle w:val="Heading2"/>
      </w:pPr>
      <w:r>
        <w:t>Plain-English glossary</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90" w:type="dxa"/>
              <w:start w:w="120" w:type="dxa"/>
              <w:bottom w:w="90" w:type="dxa"/>
              <w:end w:w="120" w:type="dxa"/>
            </w:tcMar>
          </w:tcPr>
          <w:p>
            <w:pPr>
              <w:spacing w:after="0"/>
            </w:pPr>
            <w:r>
              <w:rPr>
                <w:rFonts w:ascii="Calibri" w:hAnsi="Calibri"/>
                <w:b/>
                <w:i w:val="0"/>
                <w:color w:val="17242D"/>
                <w:sz w:val="19"/>
              </w:rPr>
              <w:t>Term</w:t>
            </w:r>
          </w:p>
        </w:tc>
        <w:tc>
          <w:tcPr>
            <w:tcW w:type="dxa" w:w="7200"/>
            <w:shd w:fill="E8EEF5"/>
            <w:vAlign w:val="center"/>
            <w:tcMar>
              <w:top w:w="90" w:type="dxa"/>
              <w:start w:w="120" w:type="dxa"/>
              <w:bottom w:w="90" w:type="dxa"/>
              <w:end w:w="120" w:type="dxa"/>
            </w:tcMar>
          </w:tcPr>
          <w:p>
            <w:pPr>
              <w:spacing w:after="0"/>
            </w:pPr>
            <w:r>
              <w:rPr>
                <w:rFonts w:ascii="Calibri" w:hAnsi="Calibri"/>
                <w:b/>
                <w:i w:val="0"/>
                <w:color w:val="17242D"/>
                <w:sz w:val="19"/>
              </w:rPr>
              <w:t>Meaning</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Actor</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A selected planet that projects one Vedha ray.</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Context</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Values active in the selected moment.</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Ray</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Figure-relative path generated from an actor's nakshatra cell.</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Matched cell</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A ray target that overlaps current context.</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Contribution</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One matched layer with resolved or unresolved guidance units.</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Coverage</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Share of matched contributions that could be scored.</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Evidence cutoff</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The same timestamp used for all facts in one snapshot.</w:t>
            </w:r>
          </w:p>
        </w:tc>
      </w:tr>
      <w:tr>
        <w:tc>
          <w:tcPr>
            <w:tcW w:type="dxa" w:w="2160"/>
            <w:shd w:fill="F2F5F7"/>
            <w:vAlign w:val="center"/>
            <w:tcMar>
              <w:top w:w="90" w:type="dxa"/>
              <w:start w:w="120" w:type="dxa"/>
              <w:bottom w:w="90" w:type="dxa"/>
              <w:end w:w="120" w:type="dxa"/>
            </w:tcMar>
          </w:tcPr>
          <w:p>
            <w:pPr>
              <w:spacing w:after="0"/>
            </w:pPr>
            <w:r>
              <w:rPr>
                <w:rFonts w:ascii="Calibri" w:hAnsi="Calibri"/>
                <w:b/>
                <w:i w:val="0"/>
                <w:color w:val="17242D"/>
                <w:sz w:val="19"/>
              </w:rPr>
              <w:t>Guidance band</w:t>
            </w:r>
          </w:p>
        </w:tc>
        <w:tc>
          <w:tcPr>
            <w:tcW w:type="dxa" w:w="7200"/>
            <w:vAlign w:val="center"/>
            <w:tcMar>
              <w:top w:w="90" w:type="dxa"/>
              <w:start w:w="120" w:type="dxa"/>
              <w:bottom w:w="90" w:type="dxa"/>
              <w:end w:w="120" w:type="dxa"/>
            </w:tcMar>
          </w:tcPr>
          <w:p>
            <w:pPr>
              <w:spacing w:after="0"/>
            </w:pPr>
            <w:r>
              <w:rPr>
                <w:rFonts w:ascii="Calibri" w:hAnsi="Calibri"/>
                <w:b w:val="0"/>
                <w:i w:val="0"/>
                <w:color w:val="17242D"/>
                <w:sz w:val="19"/>
              </w:rPr>
              <w:t>Which sign dominates the resolved matched evidence.</w:t>
            </w:r>
          </w:p>
        </w:tc>
      </w:tr>
    </w:tbl>
    <w:p>
      <w:pPr>
        <w:spacing w:after="20"/>
      </w:pPr>
    </w:p>
    <w:p>
      <w:pPr>
        <w:keepNext/>
        <w:pageBreakBefore/>
        <w:spacing w:before="0" w:after="0" w:line="20" w:lineRule="exact"/>
      </w:pPr>
      <w:r>
        <w:rPr>
          <w:rFonts w:ascii="Calibri" w:hAnsi="Calibri"/>
          <w:b w:val="0"/>
          <w:i w:val="0"/>
          <w:color w:val="FFFFFF"/>
          <w:sz w:val="2"/>
        </w:rPr>
      </w:r>
    </w:p>
    <w:p>
      <w:pPr>
        <w:pStyle w:val="Heading1"/>
      </w:pPr>
      <w:r>
        <w:t>What the Chakra Lab Does Not Do</w:t>
      </w:r>
    </w:p>
    <w:p>
      <w:pPr>
        <w:pStyle w:val="ListBullet"/>
      </w:pPr>
      <w:r>
        <w:rPr>
          <w:rFonts w:ascii="Calibri" w:hAnsi="Calibri"/>
          <w:b w:val="0"/>
          <w:i w:val="0"/>
          <w:color w:val="17242D"/>
          <w:sz w:val="22"/>
        </w:rPr>
        <w:t>It does not read price bars or MT5 market data.</w:t>
      </w:r>
    </w:p>
    <w:p>
      <w:pPr>
        <w:pStyle w:val="ListBullet"/>
      </w:pPr>
      <w:r>
        <w:rPr>
          <w:rFonts w:ascii="Calibri" w:hAnsi="Calibri"/>
          <w:b w:val="0"/>
          <w:i w:val="0"/>
          <w:color w:val="17242D"/>
          <w:sz w:val="22"/>
        </w:rPr>
        <w:t>It does not produce bullish, bearish, buy, sell, stop, target, position size, or P/L.</w:t>
      </w:r>
    </w:p>
    <w:p>
      <w:pPr>
        <w:pStyle w:val="ListBullet"/>
      </w:pPr>
      <w:r>
        <w:rPr>
          <w:rFonts w:ascii="Calibri" w:hAnsi="Calibri"/>
          <w:b w:val="0"/>
          <w:i w:val="0"/>
          <w:color w:val="17242D"/>
          <w:sz w:val="22"/>
        </w:rPr>
        <w:t>It does not feed Auto Suggest, the prospective shadow ledger, or order execution.</w:t>
      </w:r>
    </w:p>
    <w:p>
      <w:pPr>
        <w:pStyle w:val="ListBullet"/>
      </w:pPr>
      <w:r>
        <w:rPr>
          <w:rFonts w:ascii="Calibri" w:hAnsi="Calibri"/>
          <w:b w:val="0"/>
          <w:i w:val="0"/>
          <w:color w:val="17242D"/>
          <w:sz w:val="22"/>
        </w:rPr>
        <w:t>It does not infer direct/swift versus mean motion for Mars through Saturn.</w:t>
      </w:r>
    </w:p>
    <w:p>
      <w:pPr>
        <w:pStyle w:val="ListBullet"/>
      </w:pPr>
      <w:r>
        <w:rPr>
          <w:rFonts w:ascii="Calibri" w:hAnsi="Calibri"/>
          <w:b w:val="0"/>
          <w:i w:val="0"/>
          <w:color w:val="17242D"/>
          <w:sz w:val="22"/>
        </w:rPr>
        <w:t>It does not infer Mercury association nature.</w:t>
      </w:r>
    </w:p>
    <w:p>
      <w:pPr>
        <w:pStyle w:val="ListBullet"/>
      </w:pPr>
      <w:r>
        <w:rPr>
          <w:rFonts w:ascii="Calibri" w:hAnsi="Calibri"/>
          <w:b w:val="0"/>
          <w:i w:val="0"/>
          <w:color w:val="17242D"/>
          <w:sz w:val="22"/>
        </w:rPr>
        <w:t>It does not stack retrograde and dignity multipliers.</w:t>
      </w:r>
    </w:p>
    <w:p>
      <w:pPr>
        <w:pStyle w:val="ListBullet"/>
      </w:pPr>
      <w:r>
        <w:rPr>
          <w:rFonts w:ascii="Calibri" w:hAnsi="Calibri"/>
          <w:b w:val="0"/>
          <w:i w:val="0"/>
          <w:color w:val="17242D"/>
          <w:sz w:val="22"/>
        </w:rPr>
        <w:t>It does not apply special corner/junction rules, Latta, or classical natal-severity translation.</w:t>
      </w:r>
    </w:p>
    <w:p>
      <w:pPr>
        <w:pStyle w:val="ListBullet"/>
      </w:pPr>
      <w:r>
        <w:rPr>
          <w:rFonts w:ascii="Calibri" w:hAnsi="Calibri"/>
          <w:b w:val="0"/>
          <w:i w:val="0"/>
          <w:color w:val="17242D"/>
          <w:sz w:val="22"/>
        </w:rPr>
        <w:t>It does not resolve absolute cardinal orientation.</w:t>
      </w:r>
    </w:p>
    <w:p>
      <w:pPr>
        <w:pStyle w:val="ListBullet"/>
      </w:pPr>
      <w:r>
        <w:rPr>
          <w:rFonts w:ascii="Calibri" w:hAnsi="Calibri"/>
          <w:b w:val="0"/>
          <w:i w:val="0"/>
          <w:color w:val="17242D"/>
          <w:sz w:val="22"/>
        </w:rPr>
        <w:t>It is not yet prospectively validated for financial use.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CECEC"/>
            <w:tcBorders>
              <w:top w:val="single" w:sz="8" w:color="A43B3B"/>
              <w:left w:val="single" w:sz="8" w:color="A43B3B"/>
              <w:bottom w:val="single" w:sz="8" w:color="A43B3B"/>
              <w:right w:val="single" w:sz="8" w:color="A43B3B"/>
            </w:tcBorders>
          </w:tcPr>
          <w:p>
            <w:pPr>
              <w:spacing w:after="0"/>
            </w:pPr>
            <w:r>
              <w:rPr>
                <w:rFonts w:ascii="Calibri" w:hAnsi="Calibri"/>
                <w:b/>
                <w:i w:val="0"/>
                <w:color w:val="A43B3B"/>
                <w:sz w:val="21"/>
              </w:rPr>
              <w:t xml:space="preserve">Bottom line: </w:t>
            </w:r>
            <w:r>
              <w:rPr>
                <w:rFonts w:ascii="Calibri" w:hAnsi="Calibri"/>
                <w:b w:val="0"/>
                <w:i w:val="0"/>
                <w:color w:val="17242D"/>
                <w:sz w:val="21"/>
              </w:rPr>
              <w:t>Use the Chakra Lab to organize and compare source-profiled evidence. Keep all market interpretation in a separately validated research workflow.</w:t>
            </w:r>
          </w:p>
        </w:tc>
      </w:tr>
    </w:tbl>
    <w:p>
      <w:pPr>
        <w:spacing w:after="20"/>
      </w:pPr>
    </w:p>
    <w:p>
      <w:pPr>
        <w:pStyle w:val="Heading2"/>
      </w:pPr>
      <w:r>
        <w:t>Source and implementation references</w:t>
      </w:r>
    </w:p>
    <w:p>
      <w:pPr>
        <w:pStyle w:val="ListBullet"/>
      </w:pPr>
      <w:r>
        <w:rPr>
          <w:rFonts w:ascii="Calibri" w:hAnsi="Calibri"/>
          <w:b w:val="0"/>
          <w:i w:val="0"/>
          <w:color w:val="17242D"/>
          <w:sz w:val="22"/>
        </w:rPr>
        <w:t>Gann Astro Desk 0.10.9: src/views/ChakraLabWorkspace.tsx.</w:t>
      </w:r>
    </w:p>
    <w:p>
      <w:pPr>
        <w:pStyle w:val="ListBullet"/>
      </w:pPr>
      <w:r>
        <w:rPr>
          <w:rFonts w:ascii="Calibri" w:hAnsi="Calibri"/>
          <w:b w:val="0"/>
          <w:i w:val="0"/>
          <w:color w:val="17242D"/>
          <w:sz w:val="22"/>
        </w:rPr>
        <w:t>Snapshot contract: sbc/chakra_lab.py, SBC_CHAKRA_LAB_SNAPSHOT_V1.</w:t>
      </w:r>
    </w:p>
    <w:p>
      <w:pPr>
        <w:pStyle w:val="ListBullet"/>
      </w:pPr>
      <w:r>
        <w:rPr>
          <w:rFonts w:ascii="Calibri" w:hAnsi="Calibri"/>
          <w:b w:val="0"/>
          <w:i w:val="0"/>
          <w:color w:val="17242D"/>
          <w:sz w:val="22"/>
        </w:rPr>
        <w:t>Vedha engine and normalized ledger: sbc/vedha.py.</w:t>
      </w:r>
    </w:p>
    <w:p>
      <w:pPr>
        <w:pStyle w:val="ListBullet"/>
      </w:pPr>
      <w:r>
        <w:rPr>
          <w:rFonts w:ascii="Calibri" w:hAnsi="Calibri"/>
          <w:b w:val="0"/>
          <w:i w:val="0"/>
          <w:color w:val="17242D"/>
          <w:sz w:val="22"/>
        </w:rPr>
        <w:t>Executable profile: configs/sbc/vedha/phaladeepika_editor_vedha_guidance_v1.yaml.</w:t>
      </w:r>
    </w:p>
    <w:p>
      <w:pPr>
        <w:pStyle w:val="ListBullet"/>
      </w:pPr>
      <w:r>
        <w:rPr>
          <w:rFonts w:ascii="Calibri" w:hAnsi="Calibri"/>
          <w:b w:val="0"/>
          <w:i w:val="0"/>
          <w:color w:val="17242D"/>
          <w:sz w:val="22"/>
        </w:rPr>
        <w:t>81-cell profile: configs/sbc/grids/sbc_81_rotation_normalized_partial_v1.yaml.</w:t>
      </w:r>
    </w:p>
    <w:p>
      <w:pPr>
        <w:pStyle w:val="ListBullet"/>
      </w:pPr>
      <w:r>
        <w:rPr>
          <w:rFonts w:ascii="Calibri" w:hAnsi="Calibri"/>
          <w:b w:val="0"/>
          <w:i w:val="0"/>
          <w:color w:val="17242D"/>
          <w:sz w:val="22"/>
        </w:rPr>
        <w:t>Program audit: docs/sbc/VEDHA_GUIDANCE_AUDIT.md.</w:t>
      </w:r>
    </w:p>
    <w:p>
      <w:pPr>
        <w:pStyle w:val="ListBullet"/>
      </w:pPr>
      <w:r>
        <w:rPr>
          <w:rFonts w:ascii="Calibri" w:hAnsi="Calibri"/>
          <w:b w:val="0"/>
          <w:i w:val="0"/>
          <w:color w:val="17242D"/>
          <w:sz w:val="22"/>
        </w:rPr>
        <w:t>Primary rule witness: Phaladeepika 1937 editor supplement, PDF pages 347-351, printed pages 310-314.</w:t>
      </w:r>
    </w:p>
    <w:p>
      <w:pPr>
        <w:pStyle w:val="ListBullet"/>
      </w:pPr>
      <w:r>
        <w:rPr>
          <w:rFonts w:ascii="Calibri" w:hAnsi="Calibri"/>
          <w:b w:val="0"/>
          <w:i w:val="0"/>
          <w:color w:val="17242D"/>
          <w:sz w:val="22"/>
        </w:rPr>
        <w:t>Secondary geometry/motion cross-check: Sanjay Rath, Crux of Vedic Astrology, PDF pages 21-22, printed pages 10-11.</w:t>
      </w:r>
    </w:p>
    <w:p>
      <w:pPr>
        <w:spacing w:before="400"/>
        <w:jc w:val="center"/>
      </w:pPr>
      <w:r>
        <w:rPr>
          <w:rFonts w:ascii="Calibri" w:hAnsi="Calibri"/>
          <w:b/>
          <w:i w:val="0"/>
          <w:color w:val="5D6A73"/>
          <w:sz w:val="20"/>
        </w:rPr>
        <w:t>END OF MANUAL  |  VERSION 1.0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b w:val="0"/>
        <w:i w:val="0"/>
        <w:color w:val="5D6A73"/>
        <w:sz w:val="17"/>
      </w:rPr>
      <w:t xml:space="preserve">USER MANUAL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i w:val="0"/>
        <w:color w:val="5D6A73"/>
        <w:sz w:val="17"/>
      </w:rPr>
      <w:t>GANN ASTRO DESK  |  SARVATOBHADRA CHAKRA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4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A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D6A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