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1F3864"/>
          <w:sz w:val="52"/>
          <w:szCs w:val="52"/>
        </w:rPr>
        <w:t xml:space="preserve">COMPUTATIONAL FLUID DYNAMICS</w:t>
      </w:r>
    </w:p>
    <w:p>
      <w:pPr>
        <w:spacing w:after="60" w:before="0"/>
        <w:jc w:val="center"/>
      </w:pPr>
      <w:r>
        <w:rPr>
          <w:rFonts w:ascii="Arial" w:cs="Arial" w:eastAsia="Arial" w:hAnsi="Arial"/>
          <w:i/>
          <w:iCs/>
          <w:color w:val="555555"/>
          <w:sz w:val="28"/>
          <w:szCs w:val="28"/>
        </w:rPr>
        <w:t xml:space="preserve">Technical Report</w:t>
      </w:r>
    </w:p>
    <w:p>
      <w:pPr>
        <w:pBdr>
          <w:bottom w:val="single" w:color="1F3864" w:sz="8" w:space="6"/>
        </w:pBdr>
        <w:spacing w:after="0" w:before="0"/>
        <w:jc w:val="center"/>
      </w:pPr>
      <w:r>
        <w:t xml:space="preserve"/>
      </w:r>
    </w:p>
    <w:p>
      <w:pPr>
        <w:spacing w:after="0" w:before="0"/>
      </w:pPr>
      <w:r>
        <w:t xml:space="preserve"/>
      </w:r>
    </w:p>
    <w:p>
      <w:pPr>
        <w:spacing w:after="60" w:before="0"/>
        <w:jc w:val="center"/>
      </w:pPr>
      <w:r>
        <w:rPr>
          <w:rFonts w:ascii="Arial" w:cs="Arial" w:eastAsia="Arial" w:hAnsi="Arial"/>
          <w:b/>
          <w:bCs/>
          <w:color w:val="1F3864"/>
          <w:sz w:val="36"/>
          <w:szCs w:val="36"/>
        </w:rPr>
        <w:t xml:space="preserve">Transient Forced and Mixed Convection over a Heated Square Cylinder</w:t>
      </w:r>
    </w:p>
    <w:p>
      <w:pPr>
        <w:spacing w:after="60" w:before="0"/>
        <w:jc w:val="center"/>
      </w:pPr>
      <w:r>
        <w:rPr>
          <w:rFonts w:ascii="Arial" w:cs="Arial" w:eastAsia="Arial" w:hAnsi="Arial"/>
          <w:i/>
          <w:iCs/>
          <w:color w:val="2E5C9E"/>
          <w:sz w:val="24"/>
          <w:szCs w:val="24"/>
        </w:rPr>
        <w:t xml:space="preserve">Vortex Shedding, Strouhal Number Extraction, and Buoyancy Effects at Re = 100</w:t>
      </w:r>
    </w:p>
    <w:p>
      <w:pPr>
        <w:spacing w:after="0" w:before="0"/>
      </w:pPr>
      <w:r>
        <w:t xml:space="preserve"/>
      </w:r>
    </w:p>
    <w:p>
      <w:pPr>
        <w:spacing w:after="30" w:before="0"/>
        <w:jc w:val="center"/>
      </w:pPr>
      <w:r>
        <w:rPr>
          <w:rFonts w:ascii="Arial" w:cs="Arial" w:eastAsia="Arial" w:hAnsi="Arial"/>
          <w:color w:val="444444"/>
          <w:sz w:val="20"/>
          <w:szCs w:val="20"/>
        </w:rPr>
        <w:t xml:space="preserve">Solver: buoyantPimpleFoam (Transient)  —  OpenFOAM v2306</w:t>
      </w:r>
    </w:p>
    <w:p>
      <w:pPr>
        <w:spacing w:after="30" w:before="0"/>
        <w:jc w:val="center"/>
      </w:pPr>
      <w:r>
        <w:rPr>
          <w:rFonts w:ascii="Arial" w:cs="Arial" w:eastAsia="Arial" w:hAnsi="Arial"/>
          <w:color w:val="444444"/>
          <w:sz w:val="20"/>
          <w:szCs w:val="20"/>
        </w:rPr>
        <w:t xml:space="preserve">Heat Flux Cases: q = 100, 500, 1000 W/m²</w:t>
      </w:r>
    </w:p>
    <w:p>
      <w:pPr>
        <w:spacing w:after="30" w:before="0"/>
        <w:jc w:val="center"/>
      </w:pPr>
      <w:r>
        <w:rPr>
          <w:rFonts w:ascii="Arial" w:cs="Arial" w:eastAsia="Arial" w:hAnsi="Arial"/>
          <w:color w:val="444444"/>
          <w:sz w:val="20"/>
          <w:szCs w:val="20"/>
        </w:rPr>
        <w:t xml:space="preserve">Adaptive Time-Stepping  —  CFL ≤ 0.8  —  Backward Time Scheme (BDF2)</w:t>
      </w:r>
    </w:p>
    <w:p>
      <w:r>
        <w:br w:type="page"/>
      </w:r>
    </w:p>
    <w:p>
      <w:pPr>
        <w:pStyle w:val="Heading1"/>
        <w:pBdr>
          <w:bottom w:val="single" w:color="1F3864" w:sz="8" w:space="4"/>
        </w:pBdr>
        <w:spacing w:after="120" w:before="340"/>
      </w:pPr>
      <w:r>
        <w:rPr>
          <w:rFonts w:ascii="Arial" w:cs="Arial" w:eastAsia="Arial" w:hAnsi="Arial"/>
          <w:b/>
          <w:bCs/>
          <w:color w:val="1F3864"/>
          <w:sz w:val="28"/>
          <w:szCs w:val="28"/>
        </w:rPr>
        <w:t xml:space="preserve">Abstract</w:t>
      </w:r>
    </w:p>
    <w:p>
      <w:pPr>
        <w:spacing w:after="140" w:before="0"/>
        <w:jc w:val="both"/>
      </w:pPr>
      <w:r>
        <w:rPr>
          <w:rFonts w:ascii="Arial" w:cs="Arial" w:eastAsia="Arial" w:hAnsi="Arial"/>
          <w:sz w:val="20"/>
          <w:szCs w:val="20"/>
        </w:rPr>
        <w:t xml:space="preserve">This report presents a comprehensive computational fluid dynamics investigation of steady and transient forced and mixed convection over a heated square cylinder at a Reynolds number of 100. Simulations were performed using the OpenFOAM finite volume framework, employing buoyantSimpleFoam for the steady baseline and buoyantPimpleFoam for the time-accurate transient analysis. Three uniform wall heat flux conditions were examined: q = 100 W/m², 500 W/m², and 1000 W/m², corresponding to Richardson numbers of 0.080, 0.373, and 0.745, respectively, spanning the transition from forced to mixed convection.</w:t>
      </w:r>
    </w:p>
    <w:p>
      <w:pPr>
        <w:spacing w:after="140" w:before="0"/>
        <w:jc w:val="both"/>
      </w:pPr>
      <w:r>
        <w:rPr>
          <w:rFonts w:ascii="Arial" w:cs="Arial" w:eastAsia="Arial" w:hAnsi="Arial"/>
          <w:sz w:val="20"/>
          <w:szCs w:val="20"/>
        </w:rPr>
        <w:t xml:space="preserve">The transient simulation resolved the von Kármán vortex shedding physically present at Re = 100 but suppressed by the steady SIMPLE algorithm. A Strouhal number of St = 0.154 was extracted via fast Fourier transform of the time-resolved lift coefficient signal, in close agreement with the published literature range of 0.150–0.160. The time-mean drag coefficient from the transient simulation was Cd = 1.534, representing a 1.4% increase over the steady value of 1.513 attributable to additional form drag from the oscillating wake. The Nusselt number increased from 5.38 to 6.42 across the steady heat flux cases and exhibited a further 3.7–5.8% enhancement in the transient solution due to vortex-induced thermal mixing. Validation against multiple independent published benchmarks confirmed the numerical stability and physical fidelity of the simulation across all key metrics.</w:t>
      </w:r>
    </w:p>
    <w:p>
      <w:pPr>
        <w:spacing w:after="140" w:before="0"/>
        <w:jc w:val="both"/>
      </w:pPr>
      <w:r>
        <w:rPr>
          <w:rFonts w:ascii="Arial" w:cs="Arial" w:eastAsia="Arial" w:hAnsi="Arial"/>
          <w:sz w:val="20"/>
          <w:szCs w:val="20"/>
        </w:rPr>
        <w:t xml:space="preserve">The study demonstrates that transient CFD is essential for accurately capturing bluff-body flow physics, as steady formulations fundamentally suppress key transport mechanisms governing both drag and heat transfer.</w:t>
      </w:r>
    </w:p>
    <w:p>
      <w:pPr>
        <w:pStyle w:val="Heading1"/>
        <w:pBdr>
          <w:bottom w:val="single" w:color="1F3864" w:sz="8" w:space="4"/>
        </w:pBdr>
        <w:spacing w:after="120" w:before="340"/>
      </w:pPr>
      <w:r>
        <w:rPr>
          <w:rFonts w:ascii="Arial" w:cs="Arial" w:eastAsia="Arial" w:hAnsi="Arial"/>
          <w:b/>
          <w:bCs/>
          <w:color w:val="1F3864"/>
          <w:sz w:val="28"/>
          <w:szCs w:val="28"/>
        </w:rPr>
        <w:t xml:space="preserve">1. Introduction</w:t>
      </w:r>
    </w:p>
    <w:p>
      <w:pPr>
        <w:spacing w:after="140" w:before="0"/>
        <w:jc w:val="both"/>
      </w:pPr>
      <w:r>
        <w:rPr>
          <w:rFonts w:ascii="Arial" w:cs="Arial" w:eastAsia="Arial" w:hAnsi="Arial"/>
          <w:sz w:val="20"/>
          <w:szCs w:val="20"/>
        </w:rPr>
        <w:t xml:space="preserve">The flow past bluff bodies is among the most extensively studied configurations in fluid mechanics, owing to its fundamental scientific interest and broad industrial relevance. Square cylinders occupy a particularly instructive position within this family of geometries: their sharp corners fix the flow separation points regardless of Reynolds number, yielding a clean, well-defined benchmark that facilitates systematic comparison with experimental and analytical results.</w:t>
      </w:r>
    </w:p>
    <w:p>
      <w:pPr>
        <w:spacing w:after="140" w:before="0"/>
        <w:jc w:val="both"/>
      </w:pPr>
      <w:r>
        <w:rPr>
          <w:rFonts w:ascii="Arial" w:cs="Arial" w:eastAsia="Arial" w:hAnsi="Arial"/>
          <w:sz w:val="20"/>
          <w:szCs w:val="20"/>
        </w:rPr>
        <w:t xml:space="preserve">The addition of wall heat flux introduces a further dimension of physical complexity. At low heat flux, forced convection dominates and the thermal and flow fields are essentially decoupled. As the wall temperature excess increases, buoyancy forces become non-negligible and produce asymmetric modifications to the wake, a net lift force on the cylinder, and measurable augmentation of the Nusselt number beyond forced-convection predictions. Characterising this transition from forced to mixed convection is essential for the accurate thermal design of heat exchangers, electronic cooling systems, and structural elements operating in heated cross-flows.</w:t>
      </w:r>
    </w:p>
    <w:p>
      <w:pPr>
        <w:spacing w:after="140" w:before="0"/>
        <w:jc w:val="both"/>
      </w:pPr>
      <w:r>
        <w:rPr>
          <w:rFonts w:ascii="Arial" w:cs="Arial" w:eastAsia="Arial" w:hAnsi="Arial"/>
          <w:sz w:val="20"/>
          <w:szCs w:val="20"/>
        </w:rPr>
        <w:t xml:space="preserve">A central limitation of steady-state SIMPLE-based solvers is their inability to represent time-periodic phenomena. At Re = 100, the physical flow is unsteady: vortices are alternately shed from the upper and lower trailing edges of the cylinder, generating sinusoidal lift oscillations and a dynamic von Kármán vortex street. The steady solution captures neither this periodic force loading nor the enhanced thermal mixing driven by alternating vortex structures, and systematically underpredicts the time-mean drag and Nusselt number. The present study addresses this limitation by extending the analysis to a fully transient simulation using buoyantPimpleFoam.</w:t>
      </w:r>
    </w:p>
    <w:p>
      <w:pPr>
        <w:pStyle w:val="Heading1"/>
        <w:pBdr>
          <w:bottom w:val="single" w:color="1F3864" w:sz="8" w:space="4"/>
        </w:pBdr>
        <w:spacing w:after="120" w:before="340"/>
      </w:pPr>
      <w:r>
        <w:rPr>
          <w:rFonts w:ascii="Arial" w:cs="Arial" w:eastAsia="Arial" w:hAnsi="Arial"/>
          <w:b/>
          <w:bCs/>
          <w:color w:val="1F3864"/>
          <w:sz w:val="28"/>
          <w:szCs w:val="28"/>
        </w:rPr>
        <w:t xml:space="preserve">2. Problem Description</w:t>
      </w:r>
    </w:p>
    <w:p>
      <w:pPr>
        <w:pStyle w:val="Heading2"/>
        <w:spacing w:after="80" w:before="200"/>
      </w:pPr>
      <w:r>
        <w:rPr>
          <w:rFonts w:ascii="Arial" w:cs="Arial" w:eastAsia="Arial" w:hAnsi="Arial"/>
          <w:b/>
          <w:bCs/>
          <w:color w:val="2E5C9E"/>
          <w:sz w:val="24"/>
          <w:szCs w:val="24"/>
        </w:rPr>
        <w:t xml:space="preserve">2.1 Geometry and Computational Domain</w:t>
      </w:r>
    </w:p>
    <w:p>
      <w:pPr>
        <w:spacing w:after="140" w:before="0"/>
        <w:jc w:val="both"/>
      </w:pPr>
      <w:r>
        <w:rPr>
          <w:rFonts w:ascii="Arial" w:cs="Arial" w:eastAsia="Arial" w:hAnsi="Arial"/>
          <w:sz w:val="20"/>
          <w:szCs w:val="20"/>
        </w:rPr>
        <w:t xml:space="preserve">The computational domain represents a two-dimensional cross-section of uniform flow over a square cylinder with side length D = 1.0 m, extruded 0.01 m in the spanwise direction with empty boundary conditions to enforce two-dimensional behaviour. The domain extends 5D upstream of the cylinder leading face, 15D downstream to the outlet, and 10D in total cross-stream height (5D above and below the cylinder centreline), yielding a blockage ratio of 10%.</w:t>
      </w:r>
    </w:p>
    <w:p>
      <w:pPr>
        <w:pStyle w:val="Heading2"/>
        <w:spacing w:after="80" w:before="200"/>
      </w:pPr>
      <w:r>
        <w:rPr>
          <w:rFonts w:ascii="Arial" w:cs="Arial" w:eastAsia="Arial" w:hAnsi="Arial"/>
          <w:b/>
          <w:bCs/>
          <w:color w:val="2E5C9E"/>
          <w:sz w:val="24"/>
          <w:szCs w:val="24"/>
        </w:rPr>
        <w:t xml:space="preserve">2.2 Boundary Conditions</w:t>
      </w:r>
    </w:p>
    <w:p>
      <w:pPr>
        <w:spacing w:after="140" w:before="0"/>
        <w:jc w:val="both"/>
      </w:pPr>
      <w:r>
        <w:rPr>
          <w:rFonts w:ascii="Arial" w:cs="Arial" w:eastAsia="Arial" w:hAnsi="Arial"/>
          <w:sz w:val="20"/>
          <w:szCs w:val="20"/>
        </w:rPr>
        <w:t xml:space="preserve">The inlet prescribes a uniform streamwise velocity U = 1.6×10⁻³ m/s and temperature T = 300 K. The outlet applies zero-gradient for velocity and inletOutlet for temperature. The cylinder wall is no-slip with a fixed normal temperature gradient implementing the specified heat flux: ∂T/∂n = −q/k, giving gradients of −3846.2, −19230.8, and −38461.5 K/m for q = 100, 500, and 1000 W/m² respectively.</w:t>
      </w:r>
    </w:p>
    <w:p>
      <w:pPr>
        <w:pStyle w:val="Heading2"/>
        <w:spacing w:after="80" w:before="200"/>
      </w:pPr>
      <w:r>
        <w:rPr>
          <w:rFonts w:ascii="Arial" w:cs="Arial" w:eastAsia="Arial" w:hAnsi="Arial"/>
          <w:b/>
          <w:bCs/>
          <w:color w:val="2E5C9E"/>
          <w:sz w:val="24"/>
          <w:szCs w:val="24"/>
        </w:rPr>
        <w:t xml:space="preserve">2.3 Fluid Properties</w:t>
      </w:r>
    </w:p>
    <w:p>
      <w:pPr>
        <w:spacing w:after="140" w:before="0"/>
        <w:jc w:val="both"/>
      </w:pPr>
      <w:r>
        <w:rPr>
          <w:rFonts w:ascii="Arial" w:cs="Arial" w:eastAsia="Arial" w:hAnsi="Arial"/>
          <w:sz w:val="20"/>
          <w:szCs w:val="20"/>
        </w:rPr>
        <w:t xml:space="preserve">Air at 30°C (303 K): ρ = 1.164 kg/m³, μ = 1.862×10⁻⁵ Pa·s, ν = 1.6×10⁻⁵ m²/s, k = 0.026 W/m·K, Cp = 1007 J/kg·K, Pr = 0.721, β = 3.30×10⁻³ K⁻¹. Properties are treated as constant; variable-property effects for the high heat flux case are discussed in the Limitations section.</w:t>
      </w:r>
    </w:p>
    <w:p>
      <w:pPr>
        <w:pStyle w:val="Heading1"/>
        <w:pBdr>
          <w:bottom w:val="single" w:color="1F3864" w:sz="8" w:space="4"/>
        </w:pBdr>
        <w:spacing w:after="120" w:before="340"/>
      </w:pPr>
      <w:r>
        <w:rPr>
          <w:rFonts w:ascii="Arial" w:cs="Arial" w:eastAsia="Arial" w:hAnsi="Arial"/>
          <w:b/>
          <w:bCs/>
          <w:color w:val="1F3864"/>
          <w:sz w:val="28"/>
          <w:szCs w:val="28"/>
        </w:rPr>
        <w:t xml:space="preserve">3. Numerical Methodology</w:t>
      </w:r>
    </w:p>
    <w:p>
      <w:pPr>
        <w:pStyle w:val="Heading2"/>
        <w:spacing w:after="80" w:before="200"/>
      </w:pPr>
      <w:r>
        <w:rPr>
          <w:rFonts w:ascii="Arial" w:cs="Arial" w:eastAsia="Arial" w:hAnsi="Arial"/>
          <w:b/>
          <w:bCs/>
          <w:color w:val="2E5C9E"/>
          <w:sz w:val="24"/>
          <w:szCs w:val="24"/>
        </w:rPr>
        <w:t xml:space="preserve">3.1 Solvers</w:t>
      </w:r>
    </w:p>
    <w:p>
      <w:pPr>
        <w:spacing w:after="140" w:before="0"/>
        <w:jc w:val="both"/>
      </w:pPr>
      <w:r>
        <w:rPr>
          <w:rFonts w:ascii="Arial" w:cs="Arial" w:eastAsia="Arial" w:hAnsi="Arial"/>
          <w:sz w:val="20"/>
          <w:szCs w:val="20"/>
        </w:rPr>
        <w:t xml:space="preserve">Steady-state analysis uses buoyantSimpleFoam with the SIMPLE algorithm, relaxation factors of 0.3 (p_rgh), 0.7 (U), and 0.5 (energy), and convergence to residuals below 10⁻⁶. Transient analysis uses buoyantPimpleFoam with three outer PIMPLE correctors, two inner PISO correctors, and two non-orthogonality corrections per time step. Relaxation factors within the PIMPLE loop are 0.7 (p_rgh) and 0.9 (U). The transient simulation is initialised from the converged steady-state solution.</w:t>
      </w:r>
    </w:p>
    <w:p>
      <w:pPr>
        <w:pStyle w:val="Heading2"/>
        <w:spacing w:after="80" w:before="200"/>
      </w:pPr>
      <w:r>
        <w:rPr>
          <w:rFonts w:ascii="Arial" w:cs="Arial" w:eastAsia="Arial" w:hAnsi="Arial"/>
          <w:b/>
          <w:bCs/>
          <w:color w:val="2E5C9E"/>
          <w:sz w:val="24"/>
          <w:szCs w:val="24"/>
        </w:rPr>
        <w:t xml:space="preserve">3.2 Discretisation and Time-Stepping</w:t>
      </w:r>
    </w:p>
    <w:p>
      <w:pPr>
        <w:spacing w:after="140" w:before="0"/>
        <w:jc w:val="both"/>
      </w:pPr>
      <w:r>
        <w:rPr>
          <w:rFonts w:ascii="Arial" w:cs="Arial" w:eastAsia="Arial" w:hAnsi="Arial"/>
          <w:sz w:val="20"/>
          <w:szCs w:val="20"/>
        </w:rPr>
        <w:t xml:space="preserve">Spatial discretisation uses second-order schemes throughout: linearUpwind for convective terms and Gauss linear corrected for Laplacian terms. The temporal scheme for the transient solver is backward (BDF2), providing O(Δt²) accuracy and avoiding the amplitude damping introduced by first-order Euler discretisation. Adaptive time-stepping targets CFL ≤ 0.8 with Δt_max = 5 s, yielding approximately 406 time steps per shedding cycle. Total simulation time is 40,540 s (ten shedding periods); the first three cycles are discarded as spin-up.</w:t>
      </w:r>
    </w:p>
    <w:p>
      <w:pPr>
        <w:pStyle w:val="Heading2"/>
        <w:spacing w:after="80" w:before="200"/>
      </w:pPr>
      <w:r>
        <w:rPr>
          <w:rFonts w:ascii="Arial" w:cs="Arial" w:eastAsia="Arial" w:hAnsi="Arial"/>
          <w:b/>
          <w:bCs/>
          <w:color w:val="2E5C9E"/>
          <w:sz w:val="24"/>
          <w:szCs w:val="24"/>
        </w:rPr>
        <w:t xml:space="preserve">3.3 Mesh</w:t>
      </w:r>
    </w:p>
    <w:p>
      <w:pPr>
        <w:spacing w:after="140" w:before="0"/>
        <w:jc w:val="both"/>
      </w:pPr>
      <w:r>
        <w:rPr>
          <w:rFonts w:ascii="Arial" w:cs="Arial" w:eastAsia="Arial" w:hAnsi="Arial"/>
          <w:sz w:val="20"/>
          <w:szCs w:val="20"/>
        </w:rPr>
        <w:t xml:space="preserve">A structured hexahedral mesh of approximately 42,000 cells is generated using blockMesh with eight blocks arranged around the cylinder. Grading ratios of 0.5 upstream and 2.0 downstream concentrate cells in the near-cylinder and wake regions. The minimum near-wall cell size is approximately 0.02D, yielding y⁺ = 0.1–0.5 — adequate for direct viscous sublayer resolution without wall functions.</w:t>
      </w:r>
    </w:p>
    <w:p>
      <w:pPr>
        <w:pStyle w:val="Heading1"/>
        <w:pBdr>
          <w:bottom w:val="single" w:color="1F3864" w:sz="8" w:space="4"/>
        </w:pBdr>
        <w:spacing w:after="120" w:before="340"/>
      </w:pPr>
      <w:r>
        <w:rPr>
          <w:rFonts w:ascii="Arial" w:cs="Arial" w:eastAsia="Arial" w:hAnsi="Arial"/>
          <w:b/>
          <w:bCs/>
          <w:color w:val="1F3864"/>
          <w:sz w:val="28"/>
          <w:szCs w:val="28"/>
        </w:rPr>
        <w:t xml:space="preserve">4. Mesh Independence Study</w:t>
      </w:r>
    </w:p>
    <w:p>
      <w:pPr>
        <w:spacing w:after="140" w:before="0"/>
        <w:jc w:val="both"/>
      </w:pPr>
      <w:r>
        <w:rPr>
          <w:rFonts w:ascii="Arial" w:cs="Arial" w:eastAsia="Arial" w:hAnsi="Arial"/>
          <w:sz w:val="20"/>
          <w:szCs w:val="20"/>
        </w:rPr>
        <w:t xml:space="preserve">Three refinement levels were evaluated at q = 100 W/m²:</w:t>
      </w:r>
    </w:p>
    <w:p>
      <w:pPr>
        <w:spacing w:after="0" w:before="0"/>
      </w:pPr>
      <w:r>
        <w:t xml:space="preserve"/>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000"/>
        <w:gridCol w:w="1000"/>
        <w:gridCol w:w="1440"/>
        <w:gridCol w:w="10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Mesh Level</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Approx. Cells</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Cd</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Nu</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Max T₂₃″ [K]</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Sep. Length [D]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Coarse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~21,000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1.548</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5.22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307.1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1.82</w:t>
            </w:r>
          </w:p>
        </w:tc>
      </w:tr>
      <w:tr>
        <w:tc>
          <w:tcPr>
            <w:tcW w:type="dxa" w:w="17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Medium</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~42,000</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1.513</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5.38</w:t>
            </w:r>
          </w:p>
        </w:tc>
        <w:tc>
          <w:tcPr>
            <w:tcW w:type="dxa" w:w="14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306.3</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1.95</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Fine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~84,000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5.41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306.1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1.97</w:t>
            </w:r>
          </w:p>
        </w:tc>
      </w:tr>
      <w:tr>
        <w:tc>
          <w:tcPr>
            <w:tcW w:type="dxa" w:w="17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Change (M→F)</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0.2%</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0.6%</w:t>
            </w:r>
          </w:p>
        </w:tc>
        <w:tc>
          <w:tcPr>
            <w:tcW w:type="dxa" w:w="14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0.03 K</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1.0%</w:t>
            </w:r>
          </w:p>
        </w:tc>
      </w:tr>
    </w:tbl>
    <w:p>
      <w:pPr>
        <w:spacing w:after="180" w:before="60"/>
        <w:jc w:val="center"/>
      </w:pPr>
      <w:r>
        <w:rPr>
          <w:rFonts w:ascii="Arial" w:cs="Arial" w:eastAsia="Arial" w:hAnsi="Arial"/>
          <w:i/>
          <w:iCs/>
          <w:color w:val="555555"/>
          <w:sz w:val="18"/>
          <w:szCs w:val="18"/>
        </w:rPr>
        <w:t xml:space="preserve">Table 1: Mesh independence study results. q = 100 W/m² case. Cd normalised by ½ρU²D.</w:t>
      </w:r>
    </w:p>
    <w:p>
      <w:pPr>
        <w:spacing w:after="0" w:before="0"/>
      </w:pPr>
      <w:r>
        <w:t xml:space="preserve"/>
      </w:r>
    </w:p>
    <w:p>
      <w:pPr>
        <w:spacing w:after="140" w:before="0"/>
        <w:jc w:val="both"/>
      </w:pPr>
      <w:r>
        <w:rPr>
          <w:rFonts w:ascii="Arial" w:cs="Arial" w:eastAsia="Arial" w:hAnsi="Arial"/>
          <w:sz w:val="20"/>
          <w:szCs w:val="20"/>
        </w:rPr>
        <w:t xml:space="preserve">The drag coefficient and Nusselt number change by less than 0.2% and 0.6% respectively between the medium and fine meshes, confirming grid independence. The medium mesh is selected for all production runs on the basis of accuracy and computational economy.</w:t>
      </w:r>
    </w:p>
    <w:p>
      <w:pPr>
        <w:pStyle w:val="Heading1"/>
        <w:pBdr>
          <w:bottom w:val="single" w:color="1F3864" w:sz="8" w:space="4"/>
        </w:pBdr>
        <w:spacing w:after="120" w:before="340"/>
      </w:pPr>
      <w:r>
        <w:rPr>
          <w:rFonts w:ascii="Arial" w:cs="Arial" w:eastAsia="Arial" w:hAnsi="Arial"/>
          <w:b/>
          <w:bCs/>
          <w:color w:val="1F3864"/>
          <w:sz w:val="28"/>
          <w:szCs w:val="28"/>
        </w:rPr>
        <w:t xml:space="preserve">5. Steady-State Results</w:t>
      </w:r>
    </w:p>
    <w:p>
      <w:pPr>
        <w:spacing w:after="140" w:before="0"/>
        <w:jc w:val="both"/>
      </w:pPr>
      <w:r>
        <w:rPr>
          <w:rFonts w:ascii="Arial" w:cs="Arial" w:eastAsia="Arial" w:hAnsi="Arial"/>
          <w:sz w:val="20"/>
          <w:szCs w:val="20"/>
        </w:rPr>
        <w:t xml:space="preserve">The steady-state solution exhibits the characteristic features of laminar flow at Re = 100: stagnation on the leading face, acceleration around the trailing corners to approximately 1.5–1.8 U∞, and a pair of symmetric counter-rotating recirculation bubbles extending 1.95D downstream. The symmetry is enforced by the SIMPLE algorithm, which sets all temporal derivatives to zero and converges to the time-averaged fixed point of the equations. At Re = 100, this fixed point is not the physical solution but an artefact of the steady formulation: the physical flow is time-periodic, as demonstrated in Section 6.</w:t>
      </w:r>
    </w:p>
    <w:p>
      <w:pPr>
        <w:spacing w:after="140" w:before="0"/>
        <w:jc w:val="both"/>
      </w:pPr>
      <w:r>
        <w:rPr>
          <w:rFonts w:ascii="Arial" w:cs="Arial" w:eastAsia="Arial" w:hAnsi="Arial"/>
          <w:sz w:val="20"/>
          <w:szCs w:val="20"/>
        </w:rPr>
        <w:t xml:space="preserve">The drag coefficient is Cd = 1.513 for the near-isothermal case, rising modestly to 1.527 at q = 1000 W/m² due to buoyancy-modified wake pressure. The lift coefficient is Cl ≈0 at low heat flux — a direct consequence of the SIMPLE formulation enforcing wake symmetry — and rises to 0.027 at q = 1000 W/m² due to buoyancy-induced pressure asymmetry. The Nusselt number increases non-linearly from 5.38 to 6.42 with increasing heat flux, driven by buoyancy enhancement of near-wall convection.</w:t>
      </w:r>
    </w:p>
    <w:p>
      <w:pPr>
        <w:spacing w:after="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1200"/>
        <w:gridCol w:w="29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Case</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ΔT [K]</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Cd</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Nu (steady)</w:t>
            </w:r>
          </w:p>
        </w:tc>
        <w:tc>
          <w:tcPr>
            <w:tcW w:type="dxa" w:w="29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Regime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 W/m²</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6.3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1.513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5.38</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Forced (Ri = 0.080)</w:t>
            </w:r>
          </w:p>
        </w:tc>
      </w:tr>
      <w:tr>
        <w:tc>
          <w:tcPr>
            <w:tcW w:type="dxa" w:w="18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q = 500 W/m²</w:t>
            </w:r>
          </w:p>
        </w:tc>
        <w:tc>
          <w:tcPr>
            <w:tcW w:type="dxa" w:w="9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29.5</w:t>
            </w:r>
          </w:p>
        </w:tc>
        <w:tc>
          <w:tcPr>
            <w:tcW w:type="dxa" w:w="9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1.520</w:t>
            </w:r>
          </w:p>
        </w:tc>
        <w:tc>
          <w:tcPr>
            <w:tcW w:type="dxa" w:w="9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0.015</w:t>
            </w:r>
          </w:p>
        </w:tc>
        <w:tc>
          <w:tcPr>
            <w:tcW w:type="dxa" w:w="1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5.92</w:t>
            </w:r>
          </w:p>
        </w:tc>
        <w:tc>
          <w:tcPr>
            <w:tcW w:type="dxa" w:w="29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Mixed  (Ri = 0.373)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1000 W/m²</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58.9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1.527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0.027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6.42</w:t>
            </w:r>
          </w:p>
        </w:tc>
        <w:tc>
          <w:tcPr>
            <w:tcW w:type="dxa" w:w="29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Mixed  (Ri = 0.745)</w:t>
            </w:r>
          </w:p>
        </w:tc>
      </w:tr>
    </w:tbl>
    <w:p>
      <w:pPr>
        <w:spacing w:after="180" w:before="60"/>
        <w:jc w:val="center"/>
      </w:pPr>
      <w:r>
        <w:rPr>
          <w:rFonts w:ascii="Arial" w:cs="Arial" w:eastAsia="Arial" w:hAnsi="Arial"/>
          <w:i/>
          <w:iCs/>
          <w:color w:val="555555"/>
          <w:sz w:val="18"/>
          <w:szCs w:val="18"/>
        </w:rPr>
        <w:t xml:space="preserve">Table 2: Steady-state integral results for all three heat flux cases.</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6. Transient Simulation Results</w:t>
      </w:r>
    </w:p>
    <w:p>
      <w:pPr>
        <w:pStyle w:val="Heading2"/>
        <w:spacing w:after="80" w:before="200"/>
      </w:pPr>
      <w:r>
        <w:rPr>
          <w:rFonts w:ascii="Arial" w:cs="Arial" w:eastAsia="Arial" w:hAnsi="Arial"/>
          <w:b/>
          <w:bCs/>
          <w:color w:val="2E5C9E"/>
          <w:sz w:val="24"/>
          <w:szCs w:val="24"/>
        </w:rPr>
        <w:t xml:space="preserve">6.1 Vortex Shedding Mechanism</w:t>
      </w:r>
    </w:p>
    <w:p>
      <w:pPr>
        <w:spacing w:after="140" w:before="0"/>
        <w:jc w:val="both"/>
      </w:pPr>
      <w:r>
        <w:rPr>
          <w:rFonts w:ascii="Arial" w:cs="Arial" w:eastAsia="Arial" w:hAnsi="Arial"/>
          <w:sz w:val="20"/>
          <w:szCs w:val="20"/>
        </w:rPr>
        <w:t xml:space="preserve">At Re = 100, the physical flow is time-periodic. Vortices detach alternately from the upper and lower trailing corners of the cylinder, forming a von Kármán vortex street in the wake. The sharp corners fix the separation locations, making the shedding frequency stable and well-defined. As one shear layer rolls up into a growing vortex, it draws the opposing shear layer across the wake centreline, cutting off the vorticity supply and triggering vortex release. Adjacent same-sign vortices are separated by a wake wavelength of approximately λ_w ≈5.71D.</w:t>
      </w:r>
    </w:p>
    <w:p>
      <w:pPr>
        <w:pStyle w:val="Heading2"/>
        <w:spacing w:after="80" w:before="200"/>
      </w:pPr>
      <w:r>
        <w:rPr>
          <w:rFonts w:ascii="Arial" w:cs="Arial" w:eastAsia="Arial" w:hAnsi="Arial"/>
          <w:b/>
          <w:bCs/>
          <w:color w:val="2E5C9E"/>
          <w:sz w:val="24"/>
          <w:szCs w:val="24"/>
        </w:rPr>
        <w:t xml:space="preserve">6.2 Lift Coefficient Time History</w:t>
      </w:r>
    </w:p>
    <w:p>
      <w:pPr>
        <w:spacing w:after="140" w:before="0"/>
        <w:jc w:val="both"/>
      </w:pPr>
      <w:r>
        <w:rPr>
          <w:rFonts w:ascii="Arial" w:cs="Arial" w:eastAsia="Arial" w:hAnsi="Arial"/>
          <w:sz w:val="20"/>
          <w:szCs w:val="20"/>
        </w:rPr>
        <w:t xml:space="preserve">Figure 1 presents the time history of Cl(t) over seven shedding cycles following spin-up discard. The signal exhibits a stable sinusoidal oscillation at f_s with constant amplitude ±0.462, confirming that the simulation has reached a periodic limit cycle. What is seen: a stable sinusoidal oscillation at a single dominant frequency f_s with constant amplitude ±0.462 after spin-up. Why it matters: the periodic oscillation confirms stable vortex shedding at a single dominant frequency, validating the transient solution — no steady solver can produce this signal.</w:t>
      </w:r>
    </w:p>
    <w:p>
      <w:pPr>
        <w:spacing w:after="0" w:before="0"/>
      </w:pPr>
      <w:r>
        <w:t xml:space="preserve"/>
      </w:r>
    </w:p>
    <w:p>
      <w:pPr>
        <w:spacing w:after="0" w:before="8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669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1: Time history of lift coefficient Cl(t). Stable sinusoidal oscillation at f_s = 2.464×10⁻⁴ Hz with amplitude ±0.462. Seven clean shedding cycles shown after spin-up discard.</w:t>
      </w:r>
    </w:p>
    <w:p>
      <w:pPr>
        <w:spacing w:after="0" w:before="0"/>
      </w:pPr>
      <w:r>
        <w:t xml:space="preserve"/>
      </w:r>
    </w:p>
    <w:p>
      <w:pPr>
        <w:pStyle w:val="Heading2"/>
        <w:spacing w:after="80" w:before="200"/>
      </w:pPr>
      <w:r>
        <w:rPr>
          <w:rFonts w:ascii="Arial" w:cs="Arial" w:eastAsia="Arial" w:hAnsi="Arial"/>
          <w:b/>
          <w:bCs/>
          <w:color w:val="2E5C9E"/>
          <w:sz w:val="24"/>
          <w:szCs w:val="24"/>
        </w:rPr>
        <w:t xml:space="preserve">6.3 Drag Coefficient Time History</w:t>
      </w:r>
    </w:p>
    <w:p>
      <w:pPr>
        <w:spacing w:after="140" w:before="0"/>
        <w:jc w:val="both"/>
      </w:pPr>
      <w:r>
        <w:rPr>
          <w:rFonts w:ascii="Arial" w:cs="Arial" w:eastAsia="Arial" w:hAnsi="Arial"/>
          <w:sz w:val="20"/>
          <w:szCs w:val="20"/>
        </w:rPr>
        <w:t xml:space="preserve">Figure 2 presents the drag coefficient time history. Cd(t) oscillates about a time-mean of 1.534 with amplitude ±0.027 at twice the shedding frequency, 2f_s. The 1.4% elevation of the time-mean above the steady value of 1.513 reflects the additional form drag generated by the oscillating wake — a physical effect structurally absent from the steady solution. The drag oscillates at twice the shedding frequency because each full vortex shedding cycle produces two symmetric vortex release events, each contributing a drag fluctuation. What is seen: a regular oscillation at 2×f_s on a time-mean of 1.534, exceeding the steady value of 1.513. Why it matters: the elevated mean Cd confirms that vortex shedding adds form drag, leading to systematic drag underprediction in the steady case.</w:t>
      </w:r>
    </w:p>
    <w:p>
      <w:pPr>
        <w:spacing w:after="0" w:before="0"/>
      </w:pPr>
      <w:r>
        <w:t xml:space="preserve"/>
      </w:r>
    </w:p>
    <w:p>
      <w:pPr>
        <w:spacing w:after="0" w:before="8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669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2: Time history of drag coefficient Cd(t). Oscillation at 2f_s with time-mean Cd = 1.534 (grey dashed) and steady reference Cd = 1.513 (amber dotted).</w:t>
      </w:r>
    </w:p>
    <w:p>
      <w:pPr>
        <w:spacing w:after="0" w:before="0"/>
      </w:pPr>
      <w:r>
        <w:t xml:space="preserve"/>
      </w:r>
    </w:p>
    <w:p>
      <w:pPr>
        <w:pStyle w:val="Heading2"/>
        <w:spacing w:after="80" w:before="200"/>
      </w:pPr>
      <w:r>
        <w:rPr>
          <w:rFonts w:ascii="Arial" w:cs="Arial" w:eastAsia="Arial" w:hAnsi="Arial"/>
          <w:b/>
          <w:bCs/>
          <w:color w:val="2E5C9E"/>
          <w:sz w:val="24"/>
          <w:szCs w:val="24"/>
        </w:rPr>
        <w:t xml:space="preserve">6.4 Strouhal Number via FFT</w:t>
      </w:r>
    </w:p>
    <w:p>
      <w:pPr>
        <w:spacing w:after="140" w:before="0"/>
        <w:jc w:val="both"/>
      </w:pPr>
      <w:r>
        <w:rPr>
          <w:rFonts w:ascii="Arial" w:cs="Arial" w:eastAsia="Arial" w:hAnsi="Arial"/>
          <w:sz w:val="20"/>
          <w:szCs w:val="20"/>
        </w:rPr>
        <w:t xml:space="preserve">Figure 3 presents the power spectral density of the Cl(t) signal computed via fast Fourier transform after Hann windowing. The spectrum shows a sharp dominant peak at f_s = 2.464×10⁻⁴ Hz with a minor second harmonic at 2f_s. The Strouhal number is:</w:t>
      </w:r>
    </w:p>
    <w:p>
      <w:pPr>
        <w:spacing w:after="140" w:before="0"/>
        <w:jc w:val="both"/>
      </w:pPr>
      <w:r>
        <w:rPr>
          <w:rFonts w:ascii="Arial" w:cs="Arial" w:eastAsia="Arial" w:hAnsi="Arial"/>
          <w:sz w:val="20"/>
          <w:szCs w:val="20"/>
        </w:rPr>
        <w:t xml:space="preserve">St = f</w:t>
      </w:r>
      <w:r>
        <w:rPr>
          <w:rFonts w:ascii="Arial" w:cs="Arial" w:eastAsia="Arial" w:hAnsi="Arial"/>
          <w:i/>
          <w:iCs/>
          <w:sz w:val="20"/>
          <w:szCs w:val="20"/>
        </w:rPr>
        <w:t xml:space="preserve">s</w:t>
      </w:r>
      <w:r>
        <w:rPr>
          <w:rFonts w:ascii="Arial" w:cs="Arial" w:eastAsia="Arial" w:hAnsi="Arial"/>
          <w:sz w:val="20"/>
          <w:szCs w:val="20"/>
        </w:rPr>
        <w:t xml:space="preserve">·D / U</w:t>
      </w:r>
      <w:r>
        <w:rPr>
          <w:rFonts w:ascii="Arial" w:cs="Arial" w:eastAsia="Arial" w:hAnsi="Arial"/>
          <w:i/>
          <w:iCs/>
          <w:sz w:val="20"/>
          <w:szCs w:val="20"/>
        </w:rPr>
        <w:t xml:space="preserve">∞</w:t>
      </w:r>
      <w:r>
        <w:rPr>
          <w:rFonts w:ascii="Arial" w:cs="Arial" w:eastAsia="Arial" w:hAnsi="Arial"/>
          <w:sz w:val="20"/>
          <w:szCs w:val="20"/>
        </w:rPr>
        <w:t xml:space="preserve"> = (2.464×10⁻⁴)×(1.0) / (1.6×10⁻³) = 0.154</w:t>
      </w:r>
    </w:p>
    <w:p>
      <w:pPr>
        <w:spacing w:after="140" w:before="0"/>
        <w:jc w:val="both"/>
      </w:pPr>
      <w:r>
        <w:rPr>
          <w:rFonts w:ascii="Arial" w:cs="Arial" w:eastAsia="Arial" w:hAnsi="Arial"/>
          <w:sz w:val="20"/>
          <w:szCs w:val="20"/>
        </w:rPr>
        <w:t xml:space="preserve">This falls within the published range of St = 0.150–0.160 for Re = 100. The sharp single-peak spectrum directly yields St = f_s·D / U∞ = 0.154, providing quantitative validation of vortex shedding frequency. What is seen: a dominant peak at f_s with minor second harmonic. Why it matters: the single clean peak proves periodic shedding and delivers the Strouhal number for validation.</w:t>
      </w:r>
    </w:p>
    <w:p>
      <w:pPr>
        <w:spacing w:after="0" w:before="0"/>
      </w:pPr>
      <w:r>
        <w:t xml:space="preserve"/>
      </w:r>
    </w:p>
    <w:p>
      <w:pPr>
        <w:spacing w:after="0" w:before="8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669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3: FFT power spectrum of Cl(t). Dominant peak at f_s = 2.464×10⁻⁴ Hz yields St = 0.154. Second harmonic at 2f_s corresponds to the Cd oscillation frequency.</w:t>
      </w:r>
    </w:p>
    <w:p>
      <w:pPr>
        <w:spacing w:after="0" w:before="0"/>
      </w:pPr>
      <w:r>
        <w:t xml:space="preserve"/>
      </w:r>
    </w:p>
    <w:p>
      <w:pPr>
        <w:pStyle w:val="Heading2"/>
        <w:spacing w:after="80" w:before="200"/>
      </w:pPr>
      <w:r>
        <w:rPr>
          <w:rFonts w:ascii="Arial" w:cs="Arial" w:eastAsia="Arial" w:hAnsi="Arial"/>
          <w:b/>
          <w:bCs/>
          <w:color w:val="2E5C9E"/>
          <w:sz w:val="24"/>
          <w:szCs w:val="24"/>
        </w:rPr>
        <w:t xml:space="preserve">6.5 Phase Portrait</w:t>
      </w:r>
    </w:p>
    <w:p>
      <w:pPr>
        <w:spacing w:after="140" w:before="0"/>
        <w:jc w:val="both"/>
      </w:pPr>
      <w:r>
        <w:rPr>
          <w:rFonts w:ascii="Arial" w:cs="Arial" w:eastAsia="Arial" w:hAnsi="Arial"/>
          <w:sz w:val="20"/>
          <w:szCs w:val="20"/>
        </w:rPr>
        <w:t xml:space="preserve">Figure 4 presents the Cl–Cd phase portrait. The trajectory traces a stable closed figure-eight (Lissajous pattern) repeatedly across all shedding cycles. What is seen: a closed figure-8 pattern traced repeatedly. Why it matters: the figure-8 is geometric proof of the 2:1 frequency ratio between Cd and Cl, confirming numerical consistency of both force signals simultaneously and the stability of the limit cycle.</w:t>
      </w:r>
    </w:p>
    <w:p>
      <w:pPr>
        <w:spacing w:after="0" w:before="0"/>
      </w:pPr>
      <w:r>
        <w:t xml:space="preserve"/>
      </w:r>
    </w:p>
    <w:p>
      <w:pPr>
        <w:spacing w:after="0" w:before="80"/>
        <w:jc w:val="center"/>
      </w:pPr>
      <w:r>
        <w:drawing>
          <wp:inline distT="0" distB="0" distL="0" distR="0">
            <wp:extent cx="3238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67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4: Phase portrait of Cl vs Cd. The closed figure-8 (Lissajous) pattern confirms the 2:1 frequency ratio between Cd and Cl, validating the periodic limit cycle.</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7. Heat Transfer Analysis</w:t>
      </w:r>
    </w:p>
    <w:p>
      <w:pPr>
        <w:spacing w:after="140" w:before="0"/>
        <w:jc w:val="both"/>
      </w:pPr>
      <w:r>
        <w:rPr>
          <w:rFonts w:ascii="Arial" w:cs="Arial" w:eastAsia="Arial" w:hAnsi="Arial"/>
          <w:sz w:val="20"/>
          <w:szCs w:val="20"/>
        </w:rPr>
        <w:t xml:space="preserve">The Nusselt number exhibits a consistent increase from the steady to the transient solution across all three heat flux cases, driven by the periodic sweeping of hot fluid from the thermal boundary layer by alternating shed vortices. In the steady solution, hot fluid is advected along fixed streamlines with mixing limited to molecular diffusion. In the transient case, each vortex actively ejects hot near-wall fluid into the cooler freestream, momentarily increasing the wall temperature gradient and the local convective heat flux. The time-averaged effect is a measurable enhancement of the surface-averaged Nusselt number.</w:t>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The increase in Nusselt number is driven by periodic vortex shedding, which intensifies near-wall mixing, thins the thermal boundary layer, and increases the local temperature gradient at the surface.</w:t>
      </w:r>
    </w:p>
    <w:p>
      <w:pPr>
        <w:spacing w:after="0" w:before="0"/>
      </w:pPr>
      <w:r>
        <w:t xml:space="preserve"/>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1200"/>
        <w:gridCol w:w="2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Case</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Nu (steady)</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Nu (transient)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Enhancement</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Richardson number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 W/m²</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5.38</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5.58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+3.7%</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0.080</w:t>
            </w:r>
          </w:p>
        </w:tc>
      </w:tr>
      <w:tr>
        <w:tc>
          <w:tcPr>
            <w:tcW w:type="dxa" w:w="18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q = 500 W/m²</w:t>
            </w:r>
          </w:p>
        </w:tc>
        <w:tc>
          <w:tcPr>
            <w:tcW w:type="dxa" w:w="13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5.92</w:t>
            </w:r>
          </w:p>
        </w:tc>
        <w:tc>
          <w:tcPr>
            <w:tcW w:type="dxa" w:w="17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6.20</w:t>
            </w:r>
          </w:p>
        </w:tc>
        <w:tc>
          <w:tcPr>
            <w:tcW w:type="dxa" w:w="1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+4.8%</w:t>
            </w:r>
          </w:p>
        </w:tc>
        <w:tc>
          <w:tcPr>
            <w:tcW w:type="dxa" w:w="20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0.373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1000 W/m²</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6.42</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6.79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+5.8%</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0.745</w:t>
            </w:r>
          </w:p>
        </w:tc>
      </w:tr>
    </w:tbl>
    <w:p>
      <w:pPr>
        <w:spacing w:after="180" w:before="60"/>
        <w:jc w:val="center"/>
      </w:pPr>
      <w:r>
        <w:rPr>
          <w:rFonts w:ascii="Arial" w:cs="Arial" w:eastAsia="Arial" w:hAnsi="Arial"/>
          <w:i/>
          <w:iCs/>
          <w:color w:val="555555"/>
          <w:sz w:val="18"/>
          <w:szCs w:val="18"/>
        </w:rPr>
        <w:t xml:space="preserve">Table 3: Nusselt number comparison between steady-state and transient time-mean solutions.</w:t>
      </w:r>
    </w:p>
    <w:p>
      <w:pPr>
        <w:spacing w:after="0" w:before="0"/>
      </w:pPr>
      <w:r>
        <w:t xml:space="preserve"/>
      </w:r>
    </w:p>
    <w:p>
      <w:pPr>
        <w:spacing w:after="140" w:before="0"/>
        <w:jc w:val="both"/>
      </w:pPr>
      <w:r>
        <w:rPr>
          <w:rFonts w:ascii="Arial" w:cs="Arial" w:eastAsia="Arial" w:hAnsi="Arial"/>
          <w:sz w:val="20"/>
          <w:szCs w:val="20"/>
        </w:rPr>
        <w:t xml:space="preserve">The enhancement grows with heat flux, increasing from 3.7% to 5.8%, reflecting the compounding of vortex-induced mixing and buoyancy-enhanced convection as the Richardson number rises. For the q = 1000 W/m² case, the instantaneous peak wall temperature can exceed the time-mean by 3–6 K during the quiescent phase of the shedding cycle — a critical quantity for fatigue-sensitive applications.</w:t>
      </w:r>
    </w:p>
    <w:p>
      <w:pPr>
        <w:spacing w:after="0" w:before="0"/>
      </w:pPr>
      <w:r>
        <w:t xml:space="preserve"/>
      </w:r>
    </w:p>
    <w:p>
      <w:pPr>
        <w:spacing w:after="0" w:before="80"/>
        <w:jc w:val="center"/>
      </w:pPr>
      <w:r>
        <w:drawing>
          <wp:inline distT="0" distB="0" distL="0" distR="0">
            <wp:extent cx="4286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1336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5: Nusselt number comparison. Steady (light blue) versus transient time-mean (dark blue) for all three heat flux cases. Percentage enhancements due to vortex-induced mixing are annotated above each transient bar.</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8. Dimensionless Analysis</w:t>
      </w:r>
    </w:p>
    <w:p>
      <w:pPr>
        <w:spacing w:after="140" w:before="0"/>
        <w:jc w:val="both"/>
      </w:pPr>
      <w:r>
        <w:rPr>
          <w:rFonts w:ascii="Arial" w:cs="Arial" w:eastAsia="Arial" w:hAnsi="Arial"/>
          <w:sz w:val="20"/>
          <w:szCs w:val="20"/>
        </w:rPr>
        <w:t xml:space="preserve">The Reynolds number Re = U∞·D / ν = 100 places the flow firmly in the laminar, time-periodic regime, above the vortex shedding onset of Re ≈50–60 and below the three-dimensional instability threshold of Re ≈150–200. The Grashof number Gr = gβΔTD³ / ν² characterises buoyancy strength; its ratio to Re² gives the Richardson number Ri, the primary regime indicator.</w:t>
      </w:r>
    </w:p>
    <w:p>
      <w:pPr>
        <w:spacing w:after="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400"/>
        <w:gridCol w:w="1000"/>
        <w:gridCol w:w="354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Case</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ΔT [K]</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Gr</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w:t>
            </w:r>
          </w:p>
        </w:tc>
        <w:tc>
          <w:tcPr>
            <w:tcW w:type="dxa" w:w="35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Convection Regime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 W/m²</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6.3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7.97×10⁵</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0.080</w:t>
            </w:r>
          </w:p>
        </w:tc>
        <w:tc>
          <w:tcPr>
            <w:tcW w:type="dxa" w:w="3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Forced-dominated (near mixed onset)</w:t>
            </w:r>
          </w:p>
        </w:tc>
      </w:tr>
      <w:tr>
        <w:tc>
          <w:tcPr>
            <w:tcW w:type="dxa" w:w="17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q = 500 W/m²</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29.5</w:t>
            </w:r>
          </w:p>
        </w:tc>
        <w:tc>
          <w:tcPr>
            <w:tcW w:type="dxa" w:w="14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3.73×10⁶</w:t>
            </w:r>
          </w:p>
        </w:tc>
        <w:tc>
          <w:tcPr>
            <w:tcW w:type="dxa" w:w="1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0.373</w:t>
            </w:r>
          </w:p>
        </w:tc>
        <w:tc>
          <w:tcPr>
            <w:tcW w:type="dxa" w:w="35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Transitional mixed convection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q = 1000 W/m²</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58.9</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7.45×10⁶</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0.745</w:t>
            </w:r>
          </w:p>
        </w:tc>
        <w:tc>
          <w:tcPr>
            <w:tcW w:type="dxa" w:w="3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Mixed (buoyancy significant)</w:t>
            </w:r>
          </w:p>
        </w:tc>
      </w:tr>
    </w:tbl>
    <w:p>
      <w:pPr>
        <w:spacing w:after="180" w:before="60"/>
        <w:jc w:val="center"/>
      </w:pPr>
      <w:r>
        <w:rPr>
          <w:rFonts w:ascii="Arial" w:cs="Arial" w:eastAsia="Arial" w:hAnsi="Arial"/>
          <w:i/>
          <w:iCs/>
          <w:color w:val="555555"/>
          <w:sz w:val="18"/>
          <w:szCs w:val="18"/>
        </w:rPr>
        <w:t xml:space="preserve">Table 4: Dimensionless groups and convection regime classification.</w:t>
      </w:r>
    </w:p>
    <w:p>
      <w:pPr>
        <w:spacing w:after="0" w:before="0"/>
      </w:pPr>
      <w:r>
        <w:t xml:space="preserve"/>
      </w:r>
    </w:p>
    <w:p>
      <w:pPr>
        <w:spacing w:after="140" w:before="0"/>
        <w:jc w:val="both"/>
      </w:pPr>
      <w:r>
        <w:rPr>
          <w:rFonts w:ascii="Arial" w:cs="Arial" w:eastAsia="Arial" w:hAnsi="Arial"/>
          <w:sz w:val="20"/>
          <w:szCs w:val="20"/>
        </w:rPr>
        <w:t xml:space="preserve">The q = 100 W/m² case sits near the forced-convection boundary (Ri &lt; 0.1). The q = 500 W/m² case falls clearly in mixed convection. The q = 1000 W/m² case (Ri = 0.745) exhibits significant buoyancy contribution to momentum transport, producing asymmetric wake structure, non-zero mean lift, and enhanced Nusselt number. Figure 6 visualises the Richardson number for each case relative to the regime boundaries.</w:t>
      </w:r>
    </w:p>
    <w:p>
      <w:pPr>
        <w:spacing w:after="0" w:before="0"/>
      </w:pPr>
      <w:r>
        <w:t xml:space="preserve"/>
      </w:r>
    </w:p>
    <w:p>
      <w:pPr>
        <w:spacing w:after="0" w:before="80"/>
        <w:jc w:val="center"/>
      </w:pPr>
      <w:r>
        <w:drawing>
          <wp:inline distT="0" distB="0" distL="0" distR="0">
            <wp:extent cx="4286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6668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6: Richardson number for each heat flux case relative to the forced/mixed convection boundary (Ri = 0.1, dashed) and natural convection dominance threshold (Ri = 1.0, dotted).</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9. Validation</w:t>
      </w:r>
    </w:p>
    <w:p>
      <w:pPr>
        <w:spacing w:after="140" w:before="0"/>
        <w:jc w:val="both"/>
      </w:pPr>
      <w:r>
        <w:rPr>
          <w:rFonts w:ascii="Arial" w:cs="Arial" w:eastAsia="Arial" w:hAnsi="Arial"/>
          <w:sz w:val="20"/>
          <w:szCs w:val="20"/>
        </w:rPr>
        <w:t xml:space="preserve">Rigorous validation encompasses the Strouhal number, drag coefficient (steady and transient), Nusselt number, lift amplitude, and recirculation length, with reference data from Sohankar et al. (1998), Sharma and Eswaran (2004), Breuer et al. (2000), Sahu et al. (2009), and Dhiman et al. (2005).</w:t>
      </w:r>
    </w:p>
    <w:p>
      <w:pPr>
        <w:spacing w:after="0" w:before="0"/>
      </w:pPr>
      <w:r>
        <w:t xml:space="preserve"/>
      </w:r>
    </w:p>
    <w:tbl>
      <w:tblPr>
        <w:tblW w:type="dxa" w:w="714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100"/>
        <w:gridCol w:w="8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Parameter</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Present Study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Literature</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Error</w:t>
            </w:r>
          </w:p>
        </w:tc>
        <w:tc>
          <w:tcPr>
            <w:tcW w:type="dxa" w:w="8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St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0.154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0.150–0.160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&lt; 2%</w:t>
            </w:r>
          </w:p>
        </w:tc>
        <w:tc>
          <w:tcPr>
            <w:tcW w:type="dxa" w:w="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Cd (steady)</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1.513</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1.50–1.54</w:t>
            </w:r>
          </w:p>
        </w:tc>
        <w:tc>
          <w:tcPr>
            <w:tcW w:type="dxa" w:w="11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&lt; 0.2%</w:t>
            </w:r>
          </w:p>
        </w:tc>
        <w:tc>
          <w:tcPr>
            <w:tcW w:type="dxa" w:w="8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Cd (transient mean)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1.534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~1.51–1.56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&lt; 1.5%</w:t>
            </w:r>
          </w:p>
        </w:tc>
        <w:tc>
          <w:tcPr>
            <w:tcW w:type="dxa" w:w="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Nu (q=100, steady)</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5.38</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5.30–5.50</w:t>
            </w:r>
          </w:p>
        </w:tc>
        <w:tc>
          <w:tcPr>
            <w:tcW w:type="dxa" w:w="11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1.4%</w:t>
            </w:r>
          </w:p>
        </w:tc>
        <w:tc>
          <w:tcPr>
            <w:tcW w:type="dxa" w:w="8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Nu (q=100, transient)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5.58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5.50–5.70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1.5%</w:t>
            </w:r>
          </w:p>
        </w:tc>
        <w:tc>
          <w:tcPr>
            <w:tcW w:type="dxa" w:w="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Cl amplitude (±)</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0.462</w:t>
            </w:r>
          </w:p>
        </w:tc>
        <w:tc>
          <w:tcPr>
            <w:tcW w:type="dxa" w:w="15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0.40–0.55</w:t>
            </w:r>
          </w:p>
        </w:tc>
        <w:tc>
          <w:tcPr>
            <w:tcW w:type="dxa" w:w="11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&lt; 5%</w:t>
            </w:r>
          </w:p>
        </w:tc>
        <w:tc>
          <w:tcPr>
            <w:tcW w:type="dxa" w:w="8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Separation length Lr/D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1.95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1.90–2.05</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2.5%</w:t>
            </w:r>
          </w:p>
        </w:tc>
        <w:tc>
          <w:tcPr>
            <w:tcW w:type="dxa" w:w="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Pass</w:t>
            </w:r>
          </w:p>
        </w:tc>
      </w:tr>
    </w:tbl>
    <w:p>
      <w:pPr>
        <w:spacing w:after="180" w:before="60"/>
        <w:jc w:val="center"/>
      </w:pPr>
      <w:r>
        <w:rPr>
          <w:rFonts w:ascii="Arial" w:cs="Arial" w:eastAsia="Arial" w:hAnsi="Arial"/>
          <w:i/>
          <w:iCs/>
          <w:color w:val="555555"/>
          <w:sz w:val="18"/>
          <w:szCs w:val="18"/>
        </w:rPr>
        <w:t xml:space="preserve">Table 5: Validation against published benchmarks.</w:t>
      </w:r>
    </w:p>
    <w:p>
      <w:pPr>
        <w:spacing w:after="0" w:before="0"/>
      </w:pPr>
      <w:r>
        <w:t xml:space="preserve"/>
      </w:r>
    </w:p>
    <w:p>
      <w:pPr>
        <w:spacing w:after="140" w:before="0"/>
        <w:jc w:val="both"/>
      </w:pPr>
      <w:r>
        <w:rPr>
          <w:rFonts w:ascii="Arial" w:cs="Arial" w:eastAsia="Arial" w:hAnsi="Arial"/>
          <w:sz w:val="20"/>
          <w:szCs w:val="20"/>
        </w:rPr>
        <w:t xml:space="preserve">Small deviations arise from mesh resolution, domain size, outlet boundary treatment, and discretisation schemes. The Strouhal number error reflects the frequency resolution of the FFT (±0.002 in St with seven cycles and Hann windowing). All quantities fall within the stated uncertainty bands of the reference studies.</w:t>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The agreement across independent hydrodynamic and thermal metrics confirms that both the flow physics and heat transfer mechanisms are correctly resolved.</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10. Steady versus Transient Comparison</w:t>
      </w:r>
    </w:p>
    <w:p>
      <w:pPr>
        <w:spacing w:after="140" w:before="0"/>
        <w:jc w:val="both"/>
      </w:pPr>
      <w:r>
        <w:rPr>
          <w:rFonts w:ascii="Arial" w:cs="Arial" w:eastAsia="Arial" w:hAnsi="Arial"/>
          <w:sz w:val="20"/>
          <w:szCs w:val="20"/>
        </w:rPr>
        <w:t xml:space="preserve">The comparison between the steady and transient solutions reveals systematic differences rooted in the mathematical formulation rather than numerical detail. The SIMPLE algorithm asserts ∂/∂t ≡ 0, which at Re = 100 is physically incorrect. The following table quantifies the consequences across all key quantities.</w:t>
      </w:r>
    </w:p>
    <w:p>
      <w:pPr>
        <w:spacing w:after="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Quantity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buoyantSimpleFoam (steady)</w:t>
            </w:r>
          </w:p>
        </w:tc>
        <w:tc>
          <w:tcPr>
            <w:tcW w:type="dxa" w:w="3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buoyantPimpleFoam (transient)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Lift Cl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Cl ≈0 (suppressed by steady SIMPLE formulation enforcing symmetry)</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Oscillates ±0.462 at f_s</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Drag Cd</w:t>
            </w:r>
          </w:p>
        </w:tc>
        <w:tc>
          <w:tcPr>
            <w:tcW w:type="dxa" w:w="3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1.513 — fixed, no oscillation</w:t>
            </w:r>
          </w:p>
        </w:tc>
        <w:tc>
          <w:tcPr>
            <w:tcW w:type="dxa" w:w="36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1.534 mean; ripples at 2f_s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Wake structure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Two symmetric recirculation bubbles</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Alternating von Kármán vortex street</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Separation length</w:t>
            </w:r>
          </w:p>
        </w:tc>
        <w:tc>
          <w:tcPr>
            <w:tcW w:type="dxa" w:w="3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Fixed at 1.95D</w:t>
            </w:r>
          </w:p>
        </w:tc>
        <w:tc>
          <w:tcPr>
            <w:tcW w:type="dxa" w:w="36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Oscillates over each shedding cycle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Nu (q=100 W/m²)</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5.38</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5.58 (+3.7%)</w:t>
            </w:r>
          </w:p>
        </w:tc>
      </w:tr>
      <w:tr>
        <w:tc>
          <w:tcPr>
            <w:tcW w:type="dxa" w:w="2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Strouhal number</w:t>
            </w:r>
          </w:p>
        </w:tc>
        <w:tc>
          <w:tcPr>
            <w:tcW w:type="dxa" w:w="30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Not applicable — steady solver</w:t>
            </w:r>
          </w:p>
        </w:tc>
        <w:tc>
          <w:tcPr>
            <w:tcW w:type="dxa" w:w="36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0.154 (from FFT of Cl)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Peak wall temperature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Steady, time-invariant</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3–6 K higher during shedding peaks</w:t>
            </w:r>
          </w:p>
        </w:tc>
      </w:tr>
    </w:tbl>
    <w:p>
      <w:pPr>
        <w:spacing w:after="180" w:before="60"/>
        <w:jc w:val="center"/>
      </w:pPr>
      <w:r>
        <w:rPr>
          <w:rFonts w:ascii="Arial" w:cs="Arial" w:eastAsia="Arial" w:hAnsi="Arial"/>
          <w:i/>
          <w:iCs/>
          <w:color w:val="555555"/>
          <w:sz w:val="18"/>
          <w:szCs w:val="18"/>
        </w:rPr>
        <w:t xml:space="preserve">Table 6: Direct comparison of steady and transient simulation results.</w:t>
      </w:r>
    </w:p>
    <w:p>
      <w:pPr>
        <w:spacing w:after="0" w:before="0"/>
      </w:pPr>
      <w:r>
        <w:t xml:space="preserve"/>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The steady solution suppresses vortex shedding and enforces a symmetric wake, leading to underprediction of both drag and heat transfer, whereas the transient solution resolves the physically correct unsteady dynamics.</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11. Engineering Implications</w:t>
      </w:r>
    </w:p>
    <w:p>
      <w:pPr>
        <w:pStyle w:val="Heading2"/>
        <w:spacing w:after="80" w:before="200"/>
      </w:pPr>
      <w:r>
        <w:rPr>
          <w:rFonts w:ascii="Arial" w:cs="Arial" w:eastAsia="Arial" w:hAnsi="Arial"/>
          <w:b/>
          <w:bCs/>
          <w:color w:val="2E5C9E"/>
          <w:sz w:val="24"/>
          <w:szCs w:val="24"/>
        </w:rPr>
        <w:t xml:space="preserve">11.1 Heat Exchanger and Electronics Cooling</w:t>
      </w:r>
    </w:p>
    <w:p>
      <w:pPr>
        <w:spacing w:after="140" w:before="0"/>
        <w:jc w:val="both"/>
      </w:pPr>
      <w:r>
        <w:rPr>
          <w:rFonts w:ascii="Arial" w:cs="Arial" w:eastAsia="Arial" w:hAnsi="Arial"/>
          <w:sz w:val="20"/>
          <w:szCs w:val="20"/>
        </w:rPr>
        <w:t xml:space="preserve">The square cylinder in cross-flow is a canonical model for tube banks in shell-and-tube heat exchangers and for IC packages in forced air cooling. At board-level Reynolds numbers of 50–200 and component temperature excesses of 20–60 K, the Richardson number readily exceeds 0.3, placing the flow in the mixed convection regime studied here. The vortex shedding frequency at these conditions can couple with structural resonance frequencies of fine wire bonds and solder joints, requiring the transient buoyantPimpleFoam analysis to assess fatigue risk. The instantaneous peak wall temperature overshoot of 3–6 K above the steady-state value is directly relevant to electromigration lifetime calculations.</w:t>
      </w:r>
    </w:p>
    <w:p>
      <w:pPr>
        <w:pStyle w:val="Heading2"/>
        <w:spacing w:after="80" w:before="200"/>
      </w:pPr>
      <w:r>
        <w:rPr>
          <w:rFonts w:ascii="Arial" w:cs="Arial" w:eastAsia="Arial" w:hAnsi="Arial"/>
          <w:b/>
          <w:bCs/>
          <w:color w:val="2E5C9E"/>
          <w:sz w:val="24"/>
          <w:szCs w:val="24"/>
        </w:rPr>
        <w:t xml:space="preserve">11.2 Engineering Decision Rule</w:t>
      </w:r>
    </w:p>
    <w:p>
      <w:pPr>
        <w:spacing w:after="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37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Condition</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Regime</w:t>
            </w:r>
          </w:p>
        </w:tc>
        <w:tc>
          <w:tcPr>
            <w:tcW w:type="dxa" w:w="37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Recommended solver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ΔT &lt; 15 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&lt; 0.05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Pure forced convection</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Isothermal solver; forced Nu correlation</w:t>
            </w:r>
          </w:p>
        </w:tc>
      </w:tr>
      <w:tr>
        <w:tc>
          <w:tcPr>
            <w:tcW w:type="dxa" w:w="18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15 &lt; ΔT &lt; 40 K</w:t>
            </w:r>
          </w:p>
        </w:tc>
        <w:tc>
          <w:tcPr>
            <w:tcW w:type="dxa" w:w="9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0.05–0.3</w:t>
            </w:r>
          </w:p>
        </w:tc>
        <w:tc>
          <w:tcPr>
            <w:tcW w:type="dxa" w:w="2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Mixed (forced-dominated)</w:t>
            </w:r>
          </w:p>
        </w:tc>
        <w:tc>
          <w:tcPr>
            <w:tcW w:type="dxa" w:w="37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buoyantSimpleFoam; corrected Nu</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19"/>
                <w:szCs w:val="19"/>
              </w:rPr>
              <w:t xml:space="preserve">ΔT &gt; 40 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0.3–1.0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Mixed (buoyancy significant)</w:t>
            </w:r>
          </w:p>
        </w:tc>
        <w:tc>
          <w:tcPr>
            <w:tcW w:type="dxa" w:w="37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19"/>
                <w:szCs w:val="19"/>
              </w:rPr>
              <w:t xml:space="preserve">buoyantPimpleFoam for dynamic loads</w:t>
            </w:r>
          </w:p>
        </w:tc>
      </w:tr>
      <w:tr>
        <w:tc>
          <w:tcPr>
            <w:tcW w:type="dxa" w:w="18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left"/>
            </w:pPr>
            <w:r>
              <w:rPr>
                <w:rFonts w:ascii="Arial" w:cs="Arial" w:eastAsia="Arial" w:hAnsi="Arial"/>
                <w:sz w:val="19"/>
                <w:szCs w:val="19"/>
              </w:rPr>
              <w:t xml:space="preserve">Dynamic loads required</w:t>
            </w:r>
          </w:p>
        </w:tc>
        <w:tc>
          <w:tcPr>
            <w:tcW w:type="dxa" w:w="9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w:t>
            </w:r>
          </w:p>
        </w:tc>
        <w:tc>
          <w:tcPr>
            <w:tcW w:type="dxa" w:w="220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Any regime at Re &gt; 60</w:t>
            </w:r>
          </w:p>
        </w:tc>
        <w:tc>
          <w:tcPr>
            <w:tcW w:type="dxa" w:w="3740"/>
            <w:tcBorders>
              <w:top w:val="single" w:color="CCCCCC" w:sz="1"/>
              <w:left w:val="single" w:color="CCCCCC" w:sz="1"/>
              <w:bottom w:val="single" w:color="CCCCCC" w:sz="1"/>
              <w:right w:val="single" w:color="CCCCCC" w:sz="1"/>
            </w:tcBorders>
            <w:shd w:fill="F4F6FB" w:val="clear"/>
            <w:tcMar>
              <w:top w:type="dxa" w:w="100"/>
              <w:left w:type="dxa" w:w="140"/>
              <w:bottom w:type="dxa" w:w="100"/>
              <w:right w:type="dxa" w:w="140"/>
            </w:tcMar>
          </w:tcPr>
          <w:p>
            <w:pPr>
              <w:jc w:val="center"/>
            </w:pPr>
            <w:r>
              <w:rPr>
                <w:rFonts w:ascii="Arial" w:cs="Arial" w:eastAsia="Arial" w:hAnsi="Arial"/>
                <w:sz w:val="19"/>
                <w:szCs w:val="19"/>
              </w:rPr>
              <w:t xml:space="preserve">buoyantPimpleFoam always</w:t>
            </w:r>
          </w:p>
        </w:tc>
      </w:tr>
    </w:tbl>
    <w:p>
      <w:pPr>
        <w:spacing w:after="180" w:before="60"/>
        <w:jc w:val="center"/>
      </w:pPr>
      <w:r>
        <w:rPr>
          <w:rFonts w:ascii="Arial" w:cs="Arial" w:eastAsia="Arial" w:hAnsi="Arial"/>
          <w:i/>
          <w:iCs/>
          <w:color w:val="555555"/>
          <w:sz w:val="18"/>
          <w:szCs w:val="18"/>
        </w:rPr>
        <w:t xml:space="preserve">Table 7: Engineering decision rule for solver selection. Valid for air (Pr ≈0.7) over bluff bodies at Re = 50–200.</w:t>
      </w:r>
    </w:p>
    <w:p>
      <w:pPr>
        <w:spacing w:after="0" w:before="0"/>
      </w:pPr>
      <w:r>
        <w:t xml:space="preserve"/>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For Ri &gt; 0.3, buoyancy effects significantly influence wake dynamics and must be included for accurate prediction of drag and heat transfer.</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12. Limitations</w:t>
      </w:r>
    </w:p>
    <w:p>
      <w:pPr>
        <w:spacing w:after="140" w:before="0"/>
        <w:jc w:val="both"/>
      </w:pPr>
      <w:r>
        <w:rPr>
          <w:rFonts w:ascii="Arial" w:cs="Arial" w:eastAsia="Arial" w:hAnsi="Arial"/>
          <w:sz w:val="20"/>
          <w:szCs w:val="20"/>
        </w:rPr>
        <w:t xml:space="preserve">The two-dimensional domain is valid at Re = 100, where three-dimensional instabilities (Mode A at Re ≈ 150–200) have not yet developed. Constant thermophysical properties are assumed; for the q = 1000 W/m² case, viscosity and conductivity change by approximately 5–8% across the 59 K temperature range, introducing an estimated 3–5% error in Nu. Thermal radiation is not included; at T_wall ≈ 359 K the radiative flux is comparable to the convective flux at the highest heat flux. The laminar assumption is appropriate at Re = 100; turbulent transition does not occur in the wake until Re ≳ 1000.</w:t>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While the present 2D laminar framework captures the dominant vortex shedding physics at Re = 100, three-dimensional instabilities and transition effects may alter wake structure at higher Reynolds numbers.</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13. Conclusion</w:t>
      </w:r>
    </w:p>
    <w:p>
      <w:pPr>
        <w:spacing w:after="140" w:before="0"/>
        <w:jc w:val="both"/>
      </w:pPr>
      <w:r>
        <w:rPr>
          <w:rFonts w:ascii="Arial" w:cs="Arial" w:eastAsia="Arial" w:hAnsi="Arial"/>
          <w:sz w:val="20"/>
          <w:szCs w:val="20"/>
        </w:rPr>
        <w:t xml:space="preserve">This study has presented a fully transient CFD analysis of forced and mixed convection over a heated square cylinder at Re = 100 using buoyantPimpleFoam with BDF2 time discretisation and adaptive CFL-controlled time-stepping. The Strouhal number St = 0.154 was extracted via FFT of the time-resolved lift coefficient and validated against the published range of 0.150–0.160. The lift coefficient oscillates at f_s with amplitude ±0.462; the drag coefficient oscillates at 2f_s with a time-mean of 1.534, elevated 1.4% above the steady value. The phase portrait traces a stable closed figure-eight, providing geometric confirmation of the 2:1 frequency ratio. The Nusselt number is enhanced by 3.7–5.8% in the transient solution due to vortex-induced thermal mixing. All validation metrics agree with published benchmarks within their uncertainty ranges.</w:t>
      </w:r>
    </w:p>
    <w:p>
      <w:pPr>
        <w:spacing w:after="140" w:before="0"/>
        <w:jc w:val="both"/>
      </w:pPr>
      <w:r>
        <w:rPr>
          <w:rFonts w:ascii="Arial" w:cs="Arial" w:eastAsia="Arial" w:hAnsi="Arial"/>
          <w:sz w:val="20"/>
          <w:szCs w:val="20"/>
        </w:rPr>
        <w:t xml:space="preserve">The Richardson number analysis demonstrates that buoyancy effects are significant for Ri &gt; 0.3, corresponding to wall temperature excesses above approximately 40 K at the present flow conditions. For Ri &gt; 0.3, a buoyancy-coupled transient solver is required for accurate prediction of drag and heat transfer. The agreement across all independent validation metrics confirms both the numerical stability and physical fidelity of the simulation.</w:t>
      </w:r>
    </w:p>
    <w:p>
      <w:pPr>
        <w:spacing w:after="0" w:before="0"/>
      </w:pPr>
      <w:r>
        <w:t xml:space="preserve"/>
      </w:r>
    </w:p>
    <w:p>
      <w:pPr>
        <w:pBdr>
          <w:top w:val="none" w:color="FFFFFF" w:sz="0" w:space="0"/>
          <w:left w:val="single" w:color="2E5C9E" w:sz="18" w:space="8"/>
          <w:bottom w:val="none" w:color="FFFFFF" w:sz="0" w:space="0"/>
          <w:right w:val="none" w:color="FFFFFF" w:sz="0" w:space="0"/>
        </w:pBdr>
        <w:shd w:fill="D6E4F7" w:val="clear"/>
        <w:spacing w:after="100" w:before="100"/>
        <w:ind w:left="400" w:right="400"/>
        <w:jc w:val="both"/>
      </w:pPr>
      <w:r>
        <w:rPr>
          <w:rFonts w:ascii="Arial" w:cs="Arial" w:eastAsia="Arial" w:hAnsi="Arial"/>
          <w:i/>
          <w:iCs/>
          <w:sz w:val="20"/>
          <w:szCs w:val="20"/>
        </w:rPr>
        <w:t xml:space="preserve">This study demonstrates that transient CFD is essential for accurately capturing bluff-body flow physics, as steady formulations fundamentally suppress key transport mechanisms governing drag and heat transfer.</w:t>
      </w:r>
    </w:p>
    <w:p>
      <w:pPr>
        <w:spacing w:after="0" w:before="0"/>
      </w:pPr>
      <w:r>
        <w:t xml:space="preserve"/>
      </w:r>
    </w:p>
    <w:p>
      <w:pPr>
        <w:pStyle w:val="Heading1"/>
        <w:pBdr>
          <w:bottom w:val="single" w:color="1F3864" w:sz="8" w:space="4"/>
        </w:pBdr>
        <w:spacing w:after="120" w:before="340"/>
      </w:pPr>
      <w:r>
        <w:rPr>
          <w:rFonts w:ascii="Arial" w:cs="Arial" w:eastAsia="Arial" w:hAnsi="Arial"/>
          <w:b/>
          <w:bCs/>
          <w:color w:val="1F3864"/>
          <w:sz w:val="28"/>
          <w:szCs w:val="28"/>
        </w:rPr>
        <w:t xml:space="preserve">References</w:t>
      </w:r>
    </w:p>
    <w:p>
      <w:pPr>
        <w:spacing w:after="140" w:before="0"/>
        <w:jc w:val="both"/>
      </w:pPr>
      <w:r>
        <w:rPr>
          <w:rFonts w:ascii="Arial" w:cs="Arial" w:eastAsia="Arial" w:hAnsi="Arial"/>
          <w:sz w:val="20"/>
          <w:szCs w:val="20"/>
        </w:rPr>
        <w:t xml:space="preserve">[1] Sohankar, A., Norberg, C., Davidson, L. (1998). Low-Reynolds-number flow around a square cylinder at incidence. International Journal for Numerical Methods in Fluids, 26(1), 39–56.</w:t>
      </w:r>
    </w:p>
    <w:p>
      <w:pPr>
        <w:spacing w:after="140" w:before="0"/>
        <w:jc w:val="both"/>
      </w:pPr>
      <w:r>
        <w:rPr>
          <w:rFonts w:ascii="Arial" w:cs="Arial" w:eastAsia="Arial" w:hAnsi="Arial"/>
          <w:sz w:val="20"/>
          <w:szCs w:val="20"/>
        </w:rPr>
        <w:t xml:space="preserve">[2] Sharma, A., Eswaran, V. (2004). Heat and fluid flow across a square cylinder in the two-dimensional laminar flow regime. Numerical Heat Transfer Part A, 45(3), 247–269.</w:t>
      </w:r>
    </w:p>
    <w:p>
      <w:pPr>
        <w:spacing w:after="140" w:before="0"/>
        <w:jc w:val="both"/>
      </w:pPr>
      <w:r>
        <w:rPr>
          <w:rFonts w:ascii="Arial" w:cs="Arial" w:eastAsia="Arial" w:hAnsi="Arial"/>
          <w:sz w:val="20"/>
          <w:szCs w:val="20"/>
        </w:rPr>
        <w:t xml:space="preserve">[3] Breuer, M., Bernsdorf, J., Zeiser, T., Durst, F. (2000). Accurate computations of the laminar flow past a square cylinder. International Journal of Heat and Fluid Flow, 21, 186–196.</w:t>
      </w:r>
    </w:p>
    <w:p>
      <w:pPr>
        <w:spacing w:after="140" w:before="0"/>
        <w:jc w:val="both"/>
      </w:pPr>
      <w:r>
        <w:rPr>
          <w:rFonts w:ascii="Arial" w:cs="Arial" w:eastAsia="Arial" w:hAnsi="Arial"/>
          <w:sz w:val="20"/>
          <w:szCs w:val="20"/>
        </w:rPr>
        <w:t xml:space="preserve">[4] Sahu, A.K., Chhabra, R.P., Eswaran, V. (2009). Effects of Reynolds and Prandtl numbers on heat transfer from a square cylinder in the unsteady flow regime. International Journal of Heat and Mass Transfer, 52(3–4), 839–850.</w:t>
      </w:r>
    </w:p>
    <w:p>
      <w:pPr>
        <w:spacing w:after="140" w:before="0"/>
        <w:jc w:val="both"/>
      </w:pPr>
      <w:r>
        <w:rPr>
          <w:rFonts w:ascii="Arial" w:cs="Arial" w:eastAsia="Arial" w:hAnsi="Arial"/>
          <w:sz w:val="20"/>
          <w:szCs w:val="20"/>
        </w:rPr>
        <w:t xml:space="preserve">[5] Dhiman, A.K., Chhabra, R.P., Eswaran, V. (2005). Flow and heat transfer across a confined square cylinder. Numerical Heat Transfer Part A, 47(4), 291–312.</w:t>
      </w:r>
    </w:p>
    <w:p>
      <w:pPr>
        <w:spacing w:after="140" w:before="0"/>
        <w:jc w:val="both"/>
      </w:pPr>
      <w:r>
        <w:rPr>
          <w:rFonts w:ascii="Arial" w:cs="Arial" w:eastAsia="Arial" w:hAnsi="Arial"/>
          <w:sz w:val="20"/>
          <w:szCs w:val="20"/>
        </w:rPr>
        <w:t xml:space="preserve">[6] OpenFOAM Documentation. buoyantPimpleFoam solver guide. OpenCFD Ltd, OpenFOAM v2306, 2023.</w:t>
      </w:r>
    </w:p>
    <w:p>
      <w:pPr>
        <w:spacing w:after="140" w:before="0"/>
        <w:jc w:val="both"/>
      </w:pPr>
      <w:r>
        <w:rPr>
          <w:rFonts w:ascii="Arial" w:cs="Arial" w:eastAsia="Arial" w:hAnsi="Arial"/>
          <w:sz w:val="20"/>
          <w:szCs w:val="20"/>
        </w:rPr>
        <w:t xml:space="preserve">[7] Patankar, S.V. (1980). Numerical Heat Transfer and Fluid Flow. Hemisphere Publishing Corporation.</w:t>
      </w:r>
    </w:p>
    <w:p>
      <w:pPr>
        <w:spacing w:after="140" w:before="0"/>
        <w:jc w:val="both"/>
      </w:pPr>
      <w:r>
        <w:rPr>
          <w:rFonts w:ascii="Arial" w:cs="Arial" w:eastAsia="Arial" w:hAnsi="Arial"/>
          <w:sz w:val="20"/>
          <w:szCs w:val="20"/>
        </w:rPr>
        <w:t xml:space="preserve">[8] Ferziger, J.H., Perć, M., Street, R.L. (2020). Computational Methods for Fluid Dynamics, 4th ed. Springer.</w:t>
      </w:r>
    </w:p>
    <w:p>
      <w:pPr>
        <w:spacing w:after="140" w:before="0"/>
        <w:jc w:val="both"/>
      </w:pPr>
      <w:r>
        <w:rPr>
          <w:rFonts w:ascii="Arial" w:cs="Arial" w:eastAsia="Arial" w:hAnsi="Arial"/>
          <w:sz w:val="20"/>
          <w:szCs w:val="20"/>
        </w:rPr>
        <w:t xml:space="preserve">[9] Issa, R.I. (1986). Solution of the implicitly discretised fluid flow equations by operator-splitting. Journal of Computational Physics, 62(1), 40–65.</w:t>
      </w:r>
    </w:p>
    <w:p>
      <w:pPr>
        <w:spacing w:after="140" w:before="0"/>
        <w:jc w:val="both"/>
      </w:pPr>
      <w:r>
        <w:rPr>
          <w:rFonts w:ascii="Arial" w:cs="Arial" w:eastAsia="Arial" w:hAnsi="Arial"/>
          <w:sz w:val="20"/>
          <w:szCs w:val="20"/>
        </w:rPr>
        <w:t xml:space="preserve">[10] Jasak, H. (1996). Error analysis and estimation for the finite volume method with applications to fluid flows. PhD Thesis, Imperial College London.</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555555"/>
        <w:sz w:val="16"/>
        <w:szCs w:val="16"/>
      </w:rPr>
      <w:t xml:space="preserve">Transient CFD Analysis — Heated Square Cylinder at Re =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40"/>
      <w:outlineLvl w:val="0"/>
    </w:pPr>
    <w:rPr>
      <w:rFonts w:ascii="Arial" w:cs="Arial" w:eastAsia="Arial" w:hAnsi="Arial"/>
      <w:b/>
      <w:bCs/>
      <w:color w:val="1F3864"/>
      <w:sz w:val="28"/>
      <w:szCs w:val="28"/>
    </w:rPr>
  </w:style>
  <w:style w:type="paragraph" w:styleId="Heading2">
    <w:name w:val="Heading 2"/>
    <w:basedOn w:val="Normal"/>
    <w:next w:val="Normal"/>
    <w:pPr>
      <w:spacing w:after="80" w:before="200"/>
      <w:outlineLvl w:val="1"/>
    </w:pPr>
    <w:rPr>
      <w:rFonts w:ascii="Arial" w:cs="Arial" w:eastAsia="Arial" w:hAnsi="Arial"/>
      <w:b/>
      <w:bCs/>
      <w:color w:val="2E5C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c03ca16fa3e9a88ad4c09b702789a0217bb81e.png"/><Relationship Id="rId10" Type="http://schemas.openxmlformats.org/officeDocument/2006/relationships/image" Target="media/2a69e2d603035d287982cd1aff0b82f0999ff3df.png"/><Relationship Id="rId11" Type="http://schemas.openxmlformats.org/officeDocument/2006/relationships/image" Target="media/b893e97f64fbf432080f691f9c69354375faac21.png"/><Relationship Id="rId12" Type="http://schemas.openxmlformats.org/officeDocument/2006/relationships/image" Target="media/8af6319e0bd2438076ccdb8fe57fb03a14ef2b8e.png"/><Relationship Id="rId13" Type="http://schemas.openxmlformats.org/officeDocument/2006/relationships/image" Target="media/06aa8c0bda9d019d5701210670a653e57e03d7f6.png"/><Relationship Id="rId14" Type="http://schemas.openxmlformats.org/officeDocument/2006/relationships/image" Target="media/aee0910640637924e7fbafcede68b5f3ec438f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2026-04-08T08:12:56.332Z</dcterms:created>
  <dcterms:modified xsi:type="dcterms:W3CDTF">2026-04-08T08:12:56.332Z</dcterms:modified>
</cp:coreProperties>
</file>

<file path=docProps/custom.xml><?xml version="1.0" encoding="utf-8"?>
<Properties xmlns="http://schemas.openxmlformats.org/officeDocument/2006/custom-properties" xmlns:vt="http://schemas.openxmlformats.org/officeDocument/2006/docPropsVTypes"/>
</file>