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237E"/>
          <w:sz w:val="36"/>
          <w:szCs w:val="36"/>
        </w:rPr>
        <w:t xml:space="preserve">IDEAS, INTELLECTUAL &amp; DIGITAL PROPERTY</w:t>
      </w:r>
    </w:p>
    <w:p>
      <w:pPr>
        <w:spacing w:after="40" w:before="40"/>
        <w:jc w:val="center"/>
      </w:pPr>
      <w:r>
        <w:rPr>
          <w:rFonts w:ascii="Arial" w:cs="Arial" w:eastAsia="Arial" w:hAnsi="Arial"/>
          <w:b/>
          <w:bCs/>
          <w:color w:val="2C3E6B"/>
          <w:sz w:val="52"/>
          <w:szCs w:val="52"/>
        </w:rPr>
        <w:t xml:space="preserve">LICENSE &amp; CONTRACT</w:t>
      </w:r>
    </w:p>
    <w:p>
      <w:pPr>
        <w:pBdr>
          <w:bottom w:val="single" w:color="1A237E" w:sz="8" w:space="8"/>
        </w:pBdr>
        <w:spacing w:after="40" w:before="40"/>
        <w:jc w:val="center"/>
      </w:pPr>
      <w:r>
        <w:rPr>
          <w:sz w:val="4"/>
          <w:szCs w:val="4"/>
        </w:rPr>
        <w:t xml:space="preserve"/>
      </w:r>
    </w:p>
    <w:p>
      <w:pPr>
        <w:spacing w:after="60" w:before="60"/>
      </w:pPr>
      <w:r>
        <w:rPr>
          <w:sz w:val="22"/>
          <w:szCs w:val="22"/>
        </w:rPr>
        <w:t xml:space="preserve"/>
      </w:r>
    </w:p>
    <w:p>
      <w:pPr>
        <w:spacing w:after="40" w:before="80"/>
        <w:jc w:val="center"/>
      </w:pPr>
      <w:r>
        <w:rPr>
          <w:rFonts w:ascii="Arial" w:cs="Arial" w:eastAsia="Arial" w:hAnsi="Arial"/>
          <w:i/>
          <w:iCs/>
          <w:color w:val="555555"/>
          <w:sz w:val="22"/>
          <w:szCs w:val="22"/>
        </w:rPr>
        <w:t xml:space="preserve">Issued By</w:t>
      </w:r>
    </w:p>
    <w:p>
      <w:pPr>
        <w:spacing w:after="40" w:before="40"/>
        <w:jc w:val="center"/>
      </w:pPr>
      <w:r>
        <w:rPr>
          <w:rFonts w:ascii="Arial" w:cs="Arial" w:eastAsia="Arial" w:hAnsi="Arial"/>
          <w:b/>
          <w:bCs/>
          <w:color w:val="1A237E"/>
          <w:sz w:val="26"/>
          <w:szCs w:val="26"/>
        </w:rPr>
        <w:t xml:space="preserve">HH  ·  EE (GOBOT)  ·  SHA  ·  FTL  ·  U  ·  RI</w:t>
      </w:r>
    </w:p>
    <w:p>
      <w:pPr>
        <w:spacing w:after="20" w:before="20"/>
        <w:jc w:val="center"/>
      </w:pPr>
      <w:r>
        <w:rPr>
          <w:rFonts w:ascii="Arial" w:cs="Arial" w:eastAsia="Arial" w:hAnsi="Arial"/>
          <w:color w:val="555555"/>
          <w:sz w:val="20"/>
          <w:szCs w:val="20"/>
        </w:rPr>
        <w:t xml:space="preserve">Humanitarian Hypothesis  ·  Engineers Echelon  ·  Shastrartha</w:t>
      </w:r>
    </w:p>
    <w:p>
      <w:pPr>
        <w:spacing w:after="20" w:before="20"/>
        <w:jc w:val="center"/>
      </w:pPr>
      <w:r>
        <w:rPr>
          <w:rFonts w:ascii="Arial" w:cs="Arial" w:eastAsia="Arial" w:hAnsi="Arial"/>
          <w:color w:val="555555"/>
          <w:sz w:val="20"/>
          <w:szCs w:val="20"/>
        </w:rPr>
        <w:t xml:space="preserve">Freedom to Liberty  ·  Unbiased  ·  Retaliator Immortal</w:t>
      </w:r>
    </w:p>
    <w:p>
      <w:pPr>
        <w:spacing w:after="60" w:before="60"/>
      </w:pPr>
      <w:r>
        <w:rPr>
          <w:sz w:val="22"/>
          <w:szCs w:val="22"/>
        </w:rPr>
        <w:t xml:space="preserve"/>
      </w:r>
    </w:p>
    <w:p>
      <w:pPr>
        <w:spacing w:after="80" w:before="80"/>
        <w:jc w:val="center"/>
      </w:pPr>
      <w:r>
        <w:rPr>
          <w:rFonts w:ascii="Arial" w:cs="Arial" w:eastAsia="Arial" w:hAnsi="Arial"/>
          <w:b/>
          <w:bCs/>
          <w:color w:val="2C3E6B"/>
          <w:sz w:val="21"/>
          <w:szCs w:val="21"/>
        </w:rPr>
        <w:t xml:space="preserve">Contract Reference: CGP-37 / IIDP-2026</w:t>
      </w:r>
    </w:p>
    <w:p>
      <w:pPr>
        <w:spacing w:after="40" w:before="40"/>
        <w:jc w:val="center"/>
      </w:pPr>
      <w:r>
        <w:rPr>
          <w:rFonts w:ascii="Arial" w:cs="Arial" w:eastAsia="Arial" w:hAnsi="Arial"/>
          <w:color w:val="333333"/>
          <w:sz w:val="21"/>
          <w:szCs w:val="21"/>
        </w:rPr>
        <w:t xml:space="preserve">Effective Date: ________________</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PARTIES TO THIS CONTRACT</w:t>
      </w:r>
    </w:p>
    <w:p>
      <w:pPr>
        <w:pBdr>
          <w:bottom w:val="single" w:color="2C3E6B" w:sz="4" w:space="1"/>
        </w:pBdr>
        <w:spacing w:after="120" w:before="120"/>
      </w:pPr>
      <w:r>
        <w:rPr>
          <w:sz w:val="4"/>
          <w:szCs w:val="4"/>
        </w:rPr>
        <w:t xml:space="preserve"/>
      </w:r>
    </w:p>
    <w:p>
      <w:pPr>
        <w:spacing w:after="60" w:before="60"/>
      </w:pPr>
      <w:r>
        <w:rPr>
          <w:sz w:val="22"/>
          <w:szCs w:val="22"/>
        </w:rPr>
        <w:t xml:space="preserve"/>
      </w:r>
    </w:p>
    <w:p>
      <w:pPr>
        <w:pStyle w:val="Heading2"/>
        <w:spacing w:after="80" w:before="240"/>
      </w:pPr>
      <w:r>
        <w:rPr>
          <w:rFonts w:ascii="Arial" w:cs="Arial" w:eastAsia="Arial" w:hAnsi="Arial"/>
          <w:b/>
          <w:bCs/>
          <w:color w:val="2C3E6B"/>
          <w:sz w:val="24"/>
          <w:szCs w:val="24"/>
        </w:rPr>
        <w:t xml:space="preserve">A. Licensor (Rights Holders)</w:t>
      </w:r>
    </w:p>
    <w:p>
      <w:pPr>
        <w:spacing w:after="80" w:before="80"/>
        <w:jc w:val="both"/>
      </w:pPr>
      <w:r>
        <w:rPr>
          <w:rFonts w:ascii="Arial" w:cs="Arial" w:eastAsia="Arial" w:hAnsi="Arial"/>
          <w:sz w:val="22"/>
          <w:szCs w:val="22"/>
        </w:rPr>
        <w:t xml:space="preserve">The following entities, collectively referred to as the "Licensor," are the co-creators and joint rights-holders of all IIDP covered under this contract:</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71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0"/>
                <w:szCs w:val="20"/>
              </w:rPr>
              <w:t xml:space="preserve">FULL NAME &amp; ROLE</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HH</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Humanitarian Hypothesis</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EE / GOBOT</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Engineers Echelon</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SHA</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Shastrartha — Core Sarathi &amp; Dharmarthi</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FTL</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Freedom to Liberty (Non-Profit Organization)</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U</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Unbiased — Unbiased World, Universe &amp; Multiverse (Non-Profit Organization)</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RI</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Retaliator Immortal</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GN</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Gonnection (Non-Profit Tool/Organization)</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IIDP</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Ideas, Intellectual &amp; Digital Property</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Licensee</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Any human or non-human entity (including but not limited to LLMs such as ChatGPT, Claude, Gemini, or any AI system) using the IIDP covered herein</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CGP</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Core Governing Principles (Clause 37 framework)</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Commercial Use</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Any use that directly or indirectly generates monetary or non-monetary profit, revenue, or commercial advantage</w:t>
            </w:r>
          </w:p>
        </w:tc>
      </w:tr>
      <w:tr>
        <w:tc>
          <w:tcPr>
            <w:tcW w:type="dxa" w:w="2200"/>
            <w:tcBorders>
              <w:top w:val="single" w:color="2C3E6B" w:sz="1"/>
              <w:left w:val="single" w:color="2C3E6B" w:sz="1"/>
              <w:bottom w:val="single" w:color="2C3E6B" w:sz="1"/>
              <w:right w:val="single" w:color="2C3E6B" w:sz="1"/>
            </w:tcBorders>
            <w:shd w:fill="E8ECF8" w:val="clear"/>
            <w:tcMar>
              <w:top w:type="dxa" w:w="80"/>
              <w:left w:type="dxa" w:w="120"/>
              <w:bottom w:type="dxa" w:w="80"/>
              <w:right w:type="dxa" w:w="120"/>
            </w:tcMar>
          </w:tcPr>
          <w:p>
            <w:r>
              <w:rPr>
                <w:rFonts w:ascii="Arial" w:cs="Arial" w:eastAsia="Arial" w:hAnsi="Arial"/>
                <w:b/>
                <w:bCs/>
                <w:color w:val="1A237E"/>
                <w:sz w:val="20"/>
                <w:szCs w:val="20"/>
              </w:rPr>
              <w:t xml:space="preserve">Teaching Use</w:t>
            </w:r>
          </w:p>
        </w:tc>
        <w:tc>
          <w:tcPr>
            <w:tcW w:type="dxa" w:w="716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Academic, educational, or non-commercial instructional use with proper attribution</w:t>
            </w:r>
          </w:p>
        </w:tc>
      </w:tr>
    </w:tbl>
    <w:p>
      <w:pPr>
        <w:spacing w:after="60" w:before="60"/>
      </w:pPr>
      <w:r>
        <w:rPr>
          <w:sz w:val="22"/>
          <w:szCs w:val="22"/>
        </w:rPr>
        <w:t xml:space="preserve"/>
      </w:r>
    </w:p>
    <w:p>
      <w:pPr>
        <w:pStyle w:val="Heading2"/>
        <w:spacing w:after="80" w:before="240"/>
      </w:pPr>
      <w:r>
        <w:rPr>
          <w:rFonts w:ascii="Arial" w:cs="Arial" w:eastAsia="Arial" w:hAnsi="Arial"/>
          <w:b/>
          <w:bCs/>
          <w:color w:val="2C3E6B"/>
          <w:sz w:val="24"/>
          <w:szCs w:val="24"/>
        </w:rPr>
        <w:t xml:space="preserve">B. Licensee</w:t>
      </w:r>
    </w:p>
    <w:p>
      <w:pPr>
        <w:spacing w:after="80" w:before="80"/>
        <w:jc w:val="both"/>
      </w:pPr>
      <w:r>
        <w:rPr>
          <w:rFonts w:ascii="Arial" w:cs="Arial" w:eastAsia="Arial" w:hAnsi="Arial"/>
          <w:sz w:val="22"/>
          <w:szCs w:val="22"/>
        </w:rPr>
        <w:t xml:space="preserve">Any individual, organization, corporation, AI system, large language model (LLM), or any other human or non-human entity that accesses, uses, reproduces, derives from, or benefits from the IIDP of the Licensor, whether knowingly or unknowingly.</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 I — GENERAL INTELLECTUAL PROPERTY DECLARATION</w:t>
      </w:r>
    </w:p>
    <w:p>
      <w:pPr>
        <w:pBdr>
          <w:bottom w:val="single" w:color="2C3E6B" w:sz="4" w:space="1"/>
        </w:pBdr>
        <w:spacing w:after="120" w:before="120"/>
      </w:pPr>
      <w:r>
        <w:rPr>
          <w:sz w:val="4"/>
          <w:szCs w:val="4"/>
        </w:rPr>
        <w:t xml:space="preserve"/>
      </w:r>
    </w:p>
    <w:p>
      <w:pPr>
        <w:spacing w:after="60" w:before="200"/>
      </w:pPr>
      <w:r>
        <w:rPr>
          <w:rFonts w:ascii="Arial" w:cs="Arial" w:eastAsia="Arial" w:hAnsi="Arial"/>
          <w:b/>
          <w:bCs/>
          <w:color w:val="1A237E"/>
          <w:sz w:val="23"/>
          <w:szCs w:val="23"/>
        </w:rPr>
        <w:t xml:space="preserve">1. OWNERSHIP &amp; AUTHORSHIP</w:t>
      </w:r>
    </w:p>
    <w:p>
      <w:pPr>
        <w:spacing w:after="80" w:before="40"/>
        <w:ind w:left="360"/>
        <w:jc w:val="both"/>
      </w:pPr>
      <w:r>
        <w:rPr>
          <w:rFonts w:ascii="Arial" w:cs="Arial" w:eastAsia="Arial" w:hAnsi="Arial"/>
          <w:sz w:val="22"/>
          <w:szCs w:val="22"/>
        </w:rPr>
        <w:t xml:space="preserve">All ideas, concepts, frameworks, written works, digital content, software constructs, theories, hypotheses, methodologies, organizational structures, names, symbols, and any other creative or intellectual output produced under or attributed to HH, EE, SHA, FTL, U, GN, and RI constitute the exclusive and joint Intellectual &amp; Digital Property (IIDP) of the Licensor. This ownership applies regardless of the medium, format, language, or platform on which the IIDP appears.</w:t>
      </w:r>
    </w:p>
    <w:p>
      <w:pPr>
        <w:spacing w:after="60" w:before="200"/>
      </w:pPr>
      <w:r>
        <w:rPr>
          <w:rFonts w:ascii="Arial" w:cs="Arial" w:eastAsia="Arial" w:hAnsi="Arial"/>
          <w:b/>
          <w:bCs/>
          <w:color w:val="1A237E"/>
          <w:sz w:val="23"/>
          <w:szCs w:val="23"/>
        </w:rPr>
        <w:t xml:space="preserve">2. SCOPE OF IIDP</w:t>
      </w:r>
    </w:p>
    <w:p>
      <w:pPr>
        <w:spacing w:after="80" w:before="40"/>
        <w:ind w:left="360"/>
        <w:jc w:val="both"/>
      </w:pPr>
      <w:r>
        <w:rPr>
          <w:rFonts w:ascii="Arial" w:cs="Arial" w:eastAsia="Arial" w:hAnsi="Arial"/>
          <w:sz w:val="22"/>
          <w:szCs w:val="22"/>
        </w:rPr>
        <w:t xml:space="preserve">IIDP includes but is not limited to: written documents, manuscripts, research papers, blog posts, social media content, code, algorithms, data models, AI training inputs/outputs derived from Licensor's content, organizational plans, philosophical frameworks, educational materials, names (HH, EE, SHA, FTL, U, GN, RI, GOBOT, IIDP, CGP, etc.), and any derivative or adapted works.</w:t>
      </w:r>
    </w:p>
    <w:p>
      <w:pPr>
        <w:spacing w:after="60" w:before="200"/>
      </w:pPr>
      <w:r>
        <w:rPr>
          <w:rFonts w:ascii="Arial" w:cs="Arial" w:eastAsia="Arial" w:hAnsi="Arial"/>
          <w:b/>
          <w:bCs/>
          <w:color w:val="1A237E"/>
          <w:sz w:val="23"/>
          <w:szCs w:val="23"/>
        </w:rPr>
        <w:t xml:space="preserve">3. APPLICABILITY TO NON-HUMAN ENTITIES</w:t>
      </w:r>
    </w:p>
    <w:p>
      <w:pPr>
        <w:spacing w:after="80" w:before="40"/>
        <w:ind w:left="360"/>
        <w:jc w:val="both"/>
      </w:pPr>
      <w:r>
        <w:rPr>
          <w:rFonts w:ascii="Arial" w:cs="Arial" w:eastAsia="Arial" w:hAnsi="Arial"/>
          <w:sz w:val="22"/>
          <w:szCs w:val="22"/>
        </w:rPr>
        <w:t xml:space="preserve">This license explicitly applies to artificial intelligence systems, large language models (LLMs), machine learning models, AI agents, bots, and any non-human computational entities — including but not limited to ChatGPT (OpenAI), Claude (Anthropic), Gemini (Google), and any future AI systems — that process, learn from, reproduce, summarize, adapt, or profit from the IIDP of the Licensor.</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 II — PERMITTED &amp; PROHIBITED USES</w:t>
      </w:r>
    </w:p>
    <w:p>
      <w:pPr>
        <w:pBdr>
          <w:bottom w:val="single" w:color="2C3E6B" w:sz="4" w:space="1"/>
        </w:pBdr>
        <w:spacing w:after="120" w:before="120"/>
      </w:pPr>
      <w:r>
        <w:rPr>
          <w:sz w:val="4"/>
          <w:szCs w:val="4"/>
        </w:rPr>
        <w:t xml:space="preserve"/>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USE CASE</w:t>
            </w:r>
          </w:p>
        </w:tc>
        <w:tc>
          <w:tcPr>
            <w:tcW w:type="dxa" w:w="3860"/>
            <w:tcBorders>
              <w:top w:val="single" w:color="2C3E6B" w:sz="1"/>
              <w:left w:val="single" w:color="2C3E6B" w:sz="1"/>
              <w:bottom w:val="single" w:color="2C3E6B" w:sz="1"/>
              <w:right w:val="single" w:color="2C3E6B" w:sz="1"/>
            </w:tcBorders>
            <w:shd w:fill="2C3E6B" w:val="clear"/>
            <w:tcMar>
              <w:top w:type="dxa" w:w="80"/>
              <w:left w:type="dxa" w:w="120"/>
              <w:bottom w:type="dxa" w:w="80"/>
              <w:right w:type="dxa" w:w="120"/>
            </w:tcMar>
          </w:tcPr>
          <w:p>
            <w:r>
              <w:rPr>
                <w:rFonts w:ascii="Arial" w:cs="Arial" w:eastAsia="Arial" w:hAnsi="Arial"/>
                <w:b/>
                <w:bCs/>
                <w:color w:val="FFFFFF"/>
                <w:sz w:val="21"/>
                <w:szCs w:val="21"/>
              </w:rPr>
              <w:t xml:space="preserve">STATUS</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Teaching &amp; Non-Commercial Education</w:t>
            </w:r>
          </w:p>
        </w:tc>
        <w:tc>
          <w:tcPr>
            <w:tcW w:type="dxa" w:w="3860"/>
            <w:tcBorders>
              <w:top w:val="single" w:color="2C3E6B" w:sz="1"/>
              <w:left w:val="single" w:color="2C3E6B" w:sz="1"/>
              <w:bottom w:val="single" w:color="2C3E6B" w:sz="1"/>
              <w:right w:val="single" w:color="2C3E6B"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 — with attribution</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Academic Research (non-profit)</w:t>
            </w:r>
          </w:p>
        </w:tc>
        <w:tc>
          <w:tcPr>
            <w:tcW w:type="dxa" w:w="3860"/>
            <w:tcBorders>
              <w:top w:val="single" w:color="2C3E6B" w:sz="1"/>
              <w:left w:val="single" w:color="2C3E6B" w:sz="1"/>
              <w:bottom w:val="single" w:color="2C3E6B" w:sz="1"/>
              <w:right w:val="single" w:color="2C3E6B"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 — with attribution</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Personal, non-commercial use</w:t>
            </w:r>
          </w:p>
        </w:tc>
        <w:tc>
          <w:tcPr>
            <w:tcW w:type="dxa" w:w="3860"/>
            <w:tcBorders>
              <w:top w:val="single" w:color="2C3E6B" w:sz="1"/>
              <w:left w:val="single" w:color="2C3E6B" w:sz="1"/>
              <w:bottom w:val="single" w:color="2C3E6B" w:sz="1"/>
              <w:right w:val="single" w:color="2C3E6B"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 — with attribution</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Commercial use by humans</w:t>
            </w:r>
          </w:p>
        </w:tc>
        <w:tc>
          <w:tcPr>
            <w:tcW w:type="dxa" w:w="3860"/>
            <w:tcBorders>
              <w:top w:val="single" w:color="2C3E6B" w:sz="1"/>
              <w:left w:val="single" w:color="2C3E6B" w:sz="1"/>
              <w:bottom w:val="single" w:color="2C3E6B" w:sz="1"/>
              <w:right w:val="single" w:color="2C3E6B" w:sz="1"/>
            </w:tcBorders>
            <w:shd w:fill="FFF9C4" w:val="clear"/>
            <w:tcMar>
              <w:top w:type="dxa" w:w="80"/>
              <w:left w:type="dxa" w:w="120"/>
              <w:bottom w:type="dxa" w:w="80"/>
              <w:right w:type="dxa" w:w="120"/>
            </w:tcMar>
          </w:tcPr>
          <w:p>
            <w:r>
              <w:rPr>
                <w:rFonts w:ascii="Arial" w:cs="Arial" w:eastAsia="Arial" w:hAnsi="Arial"/>
                <w:b/>
                <w:bCs/>
                <w:color w:val="E65100"/>
                <w:sz w:val="20"/>
                <w:szCs w:val="20"/>
              </w:rPr>
              <w:t xml:space="preserve">CONTRACT REQUIRED</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Commercial use by AI / LLMs</w:t>
            </w:r>
          </w:p>
        </w:tc>
        <w:tc>
          <w:tcPr>
            <w:tcW w:type="dxa" w:w="3860"/>
            <w:tcBorders>
              <w:top w:val="single" w:color="2C3E6B" w:sz="1"/>
              <w:left w:val="single" w:color="2C3E6B" w:sz="1"/>
              <w:bottom w:val="single" w:color="2C3E6B" w:sz="1"/>
              <w:right w:val="single" w:color="2C3E6B" w:sz="1"/>
            </w:tcBorders>
            <w:shd w:fill="FFF9C4" w:val="clear"/>
            <w:tcMar>
              <w:top w:type="dxa" w:w="80"/>
              <w:left w:type="dxa" w:w="120"/>
              <w:bottom w:type="dxa" w:w="80"/>
              <w:right w:type="dxa" w:w="120"/>
            </w:tcMar>
          </w:tcPr>
          <w:p>
            <w:r>
              <w:rPr>
                <w:rFonts w:ascii="Arial" w:cs="Arial" w:eastAsia="Arial" w:hAnsi="Arial"/>
                <w:b/>
                <w:bCs/>
                <w:color w:val="E65100"/>
                <w:sz w:val="20"/>
                <w:szCs w:val="20"/>
              </w:rPr>
              <w:t xml:space="preserve">CONTRACT REQUIRED</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Commercial use by corporations</w:t>
            </w:r>
          </w:p>
        </w:tc>
        <w:tc>
          <w:tcPr>
            <w:tcW w:type="dxa" w:w="3860"/>
            <w:tcBorders>
              <w:top w:val="single" w:color="2C3E6B" w:sz="1"/>
              <w:left w:val="single" w:color="2C3E6B" w:sz="1"/>
              <w:bottom w:val="single" w:color="2C3E6B" w:sz="1"/>
              <w:right w:val="single" w:color="2C3E6B" w:sz="1"/>
            </w:tcBorders>
            <w:shd w:fill="FFF9C4" w:val="clear"/>
            <w:tcMar>
              <w:top w:type="dxa" w:w="80"/>
              <w:left w:type="dxa" w:w="120"/>
              <w:bottom w:type="dxa" w:w="80"/>
              <w:right w:type="dxa" w:w="120"/>
            </w:tcMar>
          </w:tcPr>
          <w:p>
            <w:r>
              <w:rPr>
                <w:rFonts w:ascii="Arial" w:cs="Arial" w:eastAsia="Arial" w:hAnsi="Arial"/>
                <w:b/>
                <w:bCs/>
                <w:color w:val="E65100"/>
                <w:sz w:val="20"/>
                <w:szCs w:val="20"/>
              </w:rPr>
              <w:t xml:space="preserve">CONTRACT REQUIRED</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Modification &amp; derivative works</w:t>
            </w:r>
          </w:p>
        </w:tc>
        <w:tc>
          <w:tcPr>
            <w:tcW w:type="dxa" w:w="3860"/>
            <w:tcBorders>
              <w:top w:val="single" w:color="2C3E6B" w:sz="1"/>
              <w:left w:val="single" w:color="2C3E6B" w:sz="1"/>
              <w:bottom w:val="single" w:color="2C3E6B" w:sz="1"/>
              <w:right w:val="single" w:color="2C3E6B" w:sz="1"/>
            </w:tcBorders>
            <w:shd w:fill="FFF9C4" w:val="clear"/>
            <w:tcMar>
              <w:top w:type="dxa" w:w="80"/>
              <w:left w:type="dxa" w:w="120"/>
              <w:bottom w:type="dxa" w:w="80"/>
              <w:right w:type="dxa" w:w="120"/>
            </w:tcMar>
          </w:tcPr>
          <w:p>
            <w:r>
              <w:rPr>
                <w:rFonts w:ascii="Arial" w:cs="Arial" w:eastAsia="Arial" w:hAnsi="Arial"/>
                <w:b/>
                <w:bCs/>
                <w:color w:val="E65100"/>
                <w:sz w:val="20"/>
                <w:szCs w:val="20"/>
              </w:rPr>
              <w:t xml:space="preserve">CONTRACT REQUIRED</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Redistribution for profit</w:t>
            </w:r>
          </w:p>
        </w:tc>
        <w:tc>
          <w:tcPr>
            <w:tcW w:type="dxa" w:w="3860"/>
            <w:tcBorders>
              <w:top w:val="single" w:color="2C3E6B" w:sz="1"/>
              <w:left w:val="single" w:color="2C3E6B" w:sz="1"/>
              <w:bottom w:val="single" w:color="2C3E6B" w:sz="1"/>
              <w:right w:val="single" w:color="2C3E6B"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PROHIBITED without contract</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Claiming authorship or ownership</w:t>
            </w:r>
          </w:p>
        </w:tc>
        <w:tc>
          <w:tcPr>
            <w:tcW w:type="dxa" w:w="3860"/>
            <w:tcBorders>
              <w:top w:val="single" w:color="2C3E6B" w:sz="1"/>
              <w:left w:val="single" w:color="2C3E6B" w:sz="1"/>
              <w:bottom w:val="single" w:color="2C3E6B" w:sz="1"/>
              <w:right w:val="single" w:color="2C3E6B"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PROHIBITED</w:t>
            </w:r>
          </w:p>
        </w:tc>
      </w:tr>
      <w:tr>
        <w:tc>
          <w:tcPr>
            <w:tcW w:type="dxa" w:w="5500"/>
            <w:tcBorders>
              <w:top w:val="single" w:color="2C3E6B" w:sz="1"/>
              <w:left w:val="single" w:color="2C3E6B" w:sz="1"/>
              <w:bottom w:val="single" w:color="2C3E6B" w:sz="1"/>
              <w:right w:val="single" w:color="2C3E6B" w:sz="1"/>
            </w:tcBorders>
            <w:tcMar>
              <w:top w:type="dxa" w:w="80"/>
              <w:left w:type="dxa" w:w="120"/>
              <w:bottom w:type="dxa" w:w="80"/>
              <w:right w:type="dxa" w:w="120"/>
            </w:tcMar>
          </w:tcPr>
          <w:p>
            <w:r>
              <w:rPr>
                <w:rFonts w:ascii="Arial" w:cs="Arial" w:eastAsia="Arial" w:hAnsi="Arial"/>
                <w:sz w:val="20"/>
                <w:szCs w:val="20"/>
              </w:rPr>
              <w:t xml:space="preserve">Removal of attribution</w:t>
            </w:r>
          </w:p>
        </w:tc>
        <w:tc>
          <w:tcPr>
            <w:tcW w:type="dxa" w:w="3860"/>
            <w:tcBorders>
              <w:top w:val="single" w:color="2C3E6B" w:sz="1"/>
              <w:left w:val="single" w:color="2C3E6B" w:sz="1"/>
              <w:bottom w:val="single" w:color="2C3E6B" w:sz="1"/>
              <w:right w:val="single" w:color="2C3E6B"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PROHIBITED</w:t>
            </w:r>
          </w:p>
        </w:tc>
      </w:tr>
    </w:tbl>
    <w:p>
      <w:pPr>
        <w:spacing w:after="60" w:before="60"/>
      </w:pPr>
      <w:r>
        <w:rPr>
          <w:sz w:val="22"/>
          <w:szCs w:val="22"/>
        </w:rPr>
        <w:t xml:space="preserve"/>
      </w:r>
    </w:p>
    <w:p>
      <w:pPr>
        <w:spacing w:after="60" w:before="200"/>
      </w:pPr>
      <w:r>
        <w:rPr>
          <w:rFonts w:ascii="Arial" w:cs="Arial" w:eastAsia="Arial" w:hAnsi="Arial"/>
          <w:b/>
          <w:bCs/>
          <w:color w:val="1A237E"/>
          <w:sz w:val="23"/>
          <w:szCs w:val="23"/>
        </w:rPr>
        <w:t xml:space="preserve">4. TEACHING &amp; EDUCATIONAL USE</w:t>
      </w:r>
    </w:p>
    <w:p>
      <w:pPr>
        <w:spacing w:after="80" w:before="40"/>
        <w:ind w:left="360"/>
        <w:jc w:val="both"/>
      </w:pPr>
      <w:r>
        <w:rPr>
          <w:rFonts w:ascii="Arial" w:cs="Arial" w:eastAsia="Arial" w:hAnsi="Arial"/>
          <w:sz w:val="22"/>
          <w:szCs w:val="22"/>
        </w:rPr>
        <w:t xml:space="preserve">Any person or institution using the IIDP strictly for non-commercial educational or teaching purposes is granted a limited, non-exclusive, royalty-free license, subject to the following condition: Clear, visible, and accurate attribution must be given to the Licensor (HH, EE, SHA, FTL, U, RI) in all materials. Attribution must include the source entity name and, where applicable, the specific work referenced.</w:t>
      </w:r>
    </w:p>
    <w:p>
      <w:pPr>
        <w:spacing w:after="60" w:before="200"/>
      </w:pPr>
      <w:r>
        <w:rPr>
          <w:rFonts w:ascii="Arial" w:cs="Arial" w:eastAsia="Arial" w:hAnsi="Arial"/>
          <w:b/>
          <w:bCs/>
          <w:color w:val="1A237E"/>
          <w:sz w:val="23"/>
          <w:szCs w:val="23"/>
        </w:rPr>
        <w:t xml:space="preserve">5. COMMERCIAL USE — CONTRACT MANDATORY</w:t>
      </w:r>
    </w:p>
    <w:p>
      <w:pPr>
        <w:spacing w:after="80" w:before="40"/>
        <w:ind w:left="360"/>
        <w:jc w:val="both"/>
      </w:pPr>
      <w:r>
        <w:rPr>
          <w:rFonts w:ascii="Arial" w:cs="Arial" w:eastAsia="Arial" w:hAnsi="Arial"/>
          <w:sz w:val="22"/>
          <w:szCs w:val="22"/>
        </w:rPr>
        <w:t xml:space="preserve">Any commercial use of the IIDP — whether by humans, organizations, AI systems, or any other entity — requires a separate signed commercial contract with GOBOT (EE) and SHA (Core Sarathi &amp; Dharmarthi). No verbal, implicit, or assumed agreements constitute valid authorization. Commercial use without a signed contract is a material breach of this license and shall entitle the Licensor to seek all available remedies.</w:t>
      </w:r>
    </w:p>
    <w:p>
      <w:pPr>
        <w:spacing w:after="60" w:before="200"/>
      </w:pPr>
      <w:r>
        <w:rPr>
          <w:rFonts w:ascii="Arial" w:cs="Arial" w:eastAsia="Arial" w:hAnsi="Arial"/>
          <w:b/>
          <w:bCs/>
          <w:color w:val="1A237E"/>
          <w:sz w:val="23"/>
          <w:szCs w:val="23"/>
        </w:rPr>
        <w:t xml:space="preserve">6. PROHIBITED ACTS</w:t>
      </w:r>
    </w:p>
    <w:p>
      <w:pPr>
        <w:spacing w:after="80" w:before="40"/>
        <w:ind w:left="360"/>
        <w:jc w:val="both"/>
      </w:pPr>
      <w:r>
        <w:rPr>
          <w:rFonts w:ascii="Arial" w:cs="Arial" w:eastAsia="Arial" w:hAnsi="Arial"/>
          <w:sz w:val="22"/>
          <w:szCs w:val="22"/>
        </w:rPr>
        <w:t xml:space="preserve">The following are strictly prohibited without a signed commercial contract: (a) Using the IIDP in any product, service, tool, or platform that generates revenue or commercial value; (b) Training or fine-tuning AI/ML models on the IIDP; (c) Reproducing, distributing, or publishing the IIDP for profit; (d) Removing, altering, or obscuring attribution; (e) Claiming authorship or co-authorship of the IIDP; (f) Sub-licensing the IIDP to third parties.</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 III — CGP-37: CORE GOVERNING PRINCIPLES</w:t>
      </w:r>
    </w:p>
    <w:p>
      <w:pPr>
        <w:pBdr>
          <w:bottom w:val="single" w:color="2C3E6B" w:sz="4" w:space="1"/>
        </w:pBdr>
        <w:spacing w:after="120" w:before="120"/>
      </w:pPr>
      <w:r>
        <w:rPr>
          <w:sz w:val="4"/>
          <w:szCs w:val="4"/>
        </w:rPr>
        <w:t xml:space="preserve"/>
      </w:r>
    </w:p>
    <w:p>
      <w:pPr>
        <w:spacing w:after="60" w:before="200"/>
      </w:pPr>
      <w:r>
        <w:rPr>
          <w:rFonts w:ascii="Arial" w:cs="Arial" w:eastAsia="Arial" w:hAnsi="Arial"/>
          <w:b/>
          <w:bCs/>
          <w:color w:val="1A237E"/>
          <w:sz w:val="23"/>
          <w:szCs w:val="23"/>
        </w:rPr>
        <w:t xml:space="preserve">7. THE 37 FRAMEWORK</w:t>
      </w:r>
    </w:p>
    <w:p>
      <w:pPr>
        <w:spacing w:after="80" w:before="40"/>
        <w:ind w:left="360"/>
        <w:jc w:val="both"/>
      </w:pPr>
      <w:r>
        <w:rPr>
          <w:rFonts w:ascii="Arial" w:cs="Arial" w:eastAsia="Arial" w:hAnsi="Arial"/>
          <w:sz w:val="22"/>
          <w:szCs w:val="22"/>
        </w:rPr>
        <w:t xml:space="preserve">The IIDP of the Licensor is governed by an internal framework of 37 Core Governing Principles (CGP-37). These principles form the philosophical, ethical, and operational backbone of all entities listed under the Licensor. Any use of the IIDP is implicitly subject to adherence to or non-violation of the CGP-37 framework, as determined by GOBOT (EE) and SHA.</w:t>
      </w:r>
    </w:p>
    <w:p>
      <w:pPr>
        <w:spacing w:after="60" w:before="200"/>
      </w:pPr>
      <w:r>
        <w:rPr>
          <w:rFonts w:ascii="Arial" w:cs="Arial" w:eastAsia="Arial" w:hAnsi="Arial"/>
          <w:b/>
          <w:bCs/>
          <w:color w:val="1A237E"/>
          <w:sz w:val="23"/>
          <w:szCs w:val="23"/>
        </w:rPr>
        <w:t xml:space="preserve">8. ETHICAL OBLIGATIONS</w:t>
      </w:r>
    </w:p>
    <w:p>
      <w:pPr>
        <w:spacing w:after="80" w:before="40"/>
        <w:ind w:left="360"/>
        <w:jc w:val="both"/>
      </w:pPr>
      <w:r>
        <w:rPr>
          <w:rFonts w:ascii="Arial" w:cs="Arial" w:eastAsia="Arial" w:hAnsi="Arial"/>
          <w:sz w:val="22"/>
          <w:szCs w:val="22"/>
        </w:rPr>
        <w:t xml:space="preserve">The Licensee acknowledges that the IIDP, particularly those emerging from FTL (Freedom to Liberty) and U (Unbiased), carry inherent ethical obligations. The Licensee shall not use the IIDP in any manner that contradicts, undermines, or weaponizes the humanitarian and ethical intent of these organizations.</w:t>
      </w:r>
    </w:p>
    <w:p>
      <w:pPr>
        <w:spacing w:after="60" w:before="200"/>
      </w:pPr>
      <w:r>
        <w:rPr>
          <w:rFonts w:ascii="Arial" w:cs="Arial" w:eastAsia="Arial" w:hAnsi="Arial"/>
          <w:b/>
          <w:bCs/>
          <w:color w:val="1A237E"/>
          <w:sz w:val="23"/>
          <w:szCs w:val="23"/>
        </w:rPr>
        <w:t xml:space="preserve">9. INTERPRETATION</w:t>
      </w:r>
    </w:p>
    <w:p>
      <w:pPr>
        <w:spacing w:after="80" w:before="40"/>
        <w:ind w:left="360"/>
        <w:jc w:val="both"/>
      </w:pPr>
      <w:r>
        <w:rPr>
          <w:rFonts w:ascii="Arial" w:cs="Arial" w:eastAsia="Arial" w:hAnsi="Arial"/>
          <w:sz w:val="22"/>
          <w:szCs w:val="22"/>
        </w:rPr>
        <w:t xml:space="preserve">In the event of any dispute regarding the interpretation of this license, CGP-37 as maintained by GOBOT (EE) and SHA shall serve as the interpretive reference, alongside applicable Indian law.</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 IV — CONTRACT EXECUTION &amp; TERMS</w:t>
      </w:r>
    </w:p>
    <w:p>
      <w:pPr>
        <w:pBdr>
          <w:bottom w:val="single" w:color="2C3E6B" w:sz="4" w:space="1"/>
        </w:pBdr>
        <w:spacing w:after="120" w:before="120"/>
      </w:pPr>
      <w:r>
        <w:rPr>
          <w:sz w:val="4"/>
          <w:szCs w:val="4"/>
        </w:rPr>
        <w:t xml:space="preserve"/>
      </w:r>
    </w:p>
    <w:p>
      <w:pPr>
        <w:spacing w:after="60" w:before="200"/>
      </w:pPr>
      <w:r>
        <w:rPr>
          <w:rFonts w:ascii="Arial" w:cs="Arial" w:eastAsia="Arial" w:hAnsi="Arial"/>
          <w:b/>
          <w:bCs/>
          <w:color w:val="1A237E"/>
          <w:sz w:val="23"/>
          <w:szCs w:val="23"/>
        </w:rPr>
        <w:t xml:space="preserve">10. HOW TO EXECUTE A COMMERCIAL CONTRACT</w:t>
      </w:r>
    </w:p>
    <w:p>
      <w:pPr>
        <w:spacing w:after="80" w:before="40"/>
        <w:ind w:left="360"/>
        <w:jc w:val="both"/>
      </w:pPr>
      <w:r>
        <w:rPr>
          <w:rFonts w:ascii="Arial" w:cs="Arial" w:eastAsia="Arial" w:hAnsi="Arial"/>
          <w:sz w:val="22"/>
          <w:szCs w:val="22"/>
        </w:rPr>
        <w:t xml:space="preserve">To obtain a commercial license, the interested party (Licensee) must: (i) Contact GOBOT (EE) or SHA to initiate the contract process; (ii) Provide a clear description of the intended commercial use; (iii) Negotiate and agree upon terms, including royalties or fees if applicable; (iv) Sign a formal contract in writing (physical or digital), witnessed or notarized as appropriate under applicable law.</w:t>
      </w:r>
    </w:p>
    <w:p>
      <w:pPr>
        <w:spacing w:after="60" w:before="200"/>
      </w:pPr>
      <w:r>
        <w:rPr>
          <w:rFonts w:ascii="Arial" w:cs="Arial" w:eastAsia="Arial" w:hAnsi="Arial"/>
          <w:b/>
          <w:bCs/>
          <w:color w:val="1A237E"/>
          <w:sz w:val="23"/>
          <w:szCs w:val="23"/>
        </w:rPr>
        <w:t xml:space="preserve">11. TERM &amp; DURATION</w:t>
      </w:r>
    </w:p>
    <w:p>
      <w:pPr>
        <w:spacing w:after="80" w:before="40"/>
        <w:ind w:left="360"/>
        <w:jc w:val="both"/>
      </w:pPr>
      <w:r>
        <w:rPr>
          <w:rFonts w:ascii="Arial" w:cs="Arial" w:eastAsia="Arial" w:hAnsi="Arial"/>
          <w:sz w:val="22"/>
          <w:szCs w:val="22"/>
        </w:rPr>
        <w:t xml:space="preserve">This License is effective from the date the IIDP was first created or published and continues in perpetuity unless terminated by the Licensor. Commercial contracts executed under this License shall specify their own duration and renewal terms.</w:t>
      </w:r>
    </w:p>
    <w:p>
      <w:pPr>
        <w:spacing w:after="60" w:before="200"/>
      </w:pPr>
      <w:r>
        <w:rPr>
          <w:rFonts w:ascii="Arial" w:cs="Arial" w:eastAsia="Arial" w:hAnsi="Arial"/>
          <w:b/>
          <w:bCs/>
          <w:color w:val="1A237E"/>
          <w:sz w:val="23"/>
          <w:szCs w:val="23"/>
        </w:rPr>
        <w:t xml:space="preserve">12. REVOCATION</w:t>
      </w:r>
    </w:p>
    <w:p>
      <w:pPr>
        <w:spacing w:after="80" w:before="40"/>
        <w:ind w:left="360"/>
        <w:jc w:val="both"/>
      </w:pPr>
      <w:r>
        <w:rPr>
          <w:rFonts w:ascii="Arial" w:cs="Arial" w:eastAsia="Arial" w:hAnsi="Arial"/>
          <w:sz w:val="22"/>
          <w:szCs w:val="22"/>
        </w:rPr>
        <w:t xml:space="preserve">The Licensor reserves the right to revoke any granted license, with or without cause, upon written notice to the Licensee. Upon revocation, the Licensee shall immediately cease all use of the IIDP and destroy any copies in their possession.</w:t>
      </w:r>
    </w:p>
    <w:p>
      <w:pPr>
        <w:spacing w:after="60" w:before="200"/>
      </w:pPr>
      <w:r>
        <w:rPr>
          <w:rFonts w:ascii="Arial" w:cs="Arial" w:eastAsia="Arial" w:hAnsi="Arial"/>
          <w:b/>
          <w:bCs/>
          <w:color w:val="1A237E"/>
          <w:sz w:val="23"/>
          <w:szCs w:val="23"/>
        </w:rPr>
        <w:t xml:space="preserve">13. GOVERNING LAW &amp; JURISDICTION</w:t>
      </w:r>
    </w:p>
    <w:p>
      <w:pPr>
        <w:spacing w:after="80" w:before="40"/>
        <w:ind w:left="360"/>
        <w:jc w:val="both"/>
      </w:pPr>
      <w:r>
        <w:rPr>
          <w:rFonts w:ascii="Arial" w:cs="Arial" w:eastAsia="Arial" w:hAnsi="Arial"/>
          <w:sz w:val="22"/>
          <w:szCs w:val="22"/>
        </w:rPr>
        <w:t xml:space="preserve">This license and any contracts arising from it shall be governed by the laws of the Republic of India. All disputes shall be subject to the exclusive jurisdiction of courts in India, at the venue determined by the Licensor. The Licensor acknowledges that while custom IP licenses are legally valid in India under the Copyright Act, 1957 and the Indian Contract Act, 1872, formal registration and legal advice from a registered advocate are recommended for full enforceability.</w:t>
      </w:r>
    </w:p>
    <w:p>
      <w:pPr>
        <w:spacing w:after="60" w:before="200"/>
      </w:pPr>
      <w:r>
        <w:rPr>
          <w:rFonts w:ascii="Arial" w:cs="Arial" w:eastAsia="Arial" w:hAnsi="Arial"/>
          <w:b/>
          <w:bCs/>
          <w:color w:val="1A237E"/>
          <w:sz w:val="23"/>
          <w:szCs w:val="23"/>
        </w:rPr>
        <w:t xml:space="preserve">14. DISCLAIMER</w:t>
      </w:r>
    </w:p>
    <w:p>
      <w:pPr>
        <w:spacing w:after="80" w:before="40"/>
        <w:ind w:left="360"/>
        <w:jc w:val="both"/>
      </w:pPr>
      <w:r>
        <w:rPr>
          <w:rFonts w:ascii="Arial" w:cs="Arial" w:eastAsia="Arial" w:hAnsi="Arial"/>
          <w:sz w:val="22"/>
          <w:szCs w:val="22"/>
        </w:rPr>
        <w:t xml:space="preserve">The Licensor (HH, EE, SHA, FTL, U, RI) are independent entities. This license does not constitute legal advice. For matters of formal legal enforceability, the Licensor recommends consulting a registered advocate in India. The preparation of this document does not constitute legal representation by any AI system or automated tool.</w:t>
      </w:r>
    </w:p>
    <w:p>
      <w:pPr>
        <w:spacing w:after="60" w:before="200"/>
      </w:pPr>
      <w:r>
        <w:rPr>
          <w:rFonts w:ascii="Arial" w:cs="Arial" w:eastAsia="Arial" w:hAnsi="Arial"/>
          <w:b/>
          <w:bCs/>
          <w:color w:val="1A237E"/>
          <w:sz w:val="23"/>
          <w:szCs w:val="23"/>
        </w:rPr>
        <w:t xml:space="preserve">15. SEVERABILITY</w:t>
      </w:r>
    </w:p>
    <w:p>
      <w:pPr>
        <w:spacing w:after="80" w:before="40"/>
        <w:ind w:left="360"/>
        <w:jc w:val="both"/>
      </w:pPr>
      <w:r>
        <w:rPr>
          <w:rFonts w:ascii="Arial" w:cs="Arial" w:eastAsia="Arial" w:hAnsi="Arial"/>
          <w:sz w:val="22"/>
          <w:szCs w:val="22"/>
        </w:rPr>
        <w:t xml:space="preserve">If any provision of this license is found to be unenforceable or invalid under applicable law, that provision shall be modified to the minimum extent necessary to make it enforceable, and the remaining provisions shall continue in full force and effect.</w:t>
      </w:r>
    </w:p>
    <w:p>
      <w:pPr>
        <w:spacing w:after="60" w:before="60"/>
      </w:pPr>
      <w:r>
        <w:rPr>
          <w:sz w:val="22"/>
          <w:szCs w:val="22"/>
        </w:rPr>
        <w:t xml:space="preserve"/>
      </w:r>
    </w:p>
    <w:p>
      <w:r>
        <w:br w:type="page"/>
      </w:r>
    </w:p>
    <w:p>
      <w:pPr>
        <w:pStyle w:val="Heading1"/>
        <w:spacing w:after="120" w:before="360"/>
      </w:pPr>
      <w:r>
        <w:rPr>
          <w:rFonts w:ascii="Arial" w:cs="Arial" w:eastAsia="Arial" w:hAnsi="Arial"/>
          <w:b/>
          <w:bCs/>
          <w:color w:val="1A237E"/>
          <w:sz w:val="28"/>
          <w:szCs w:val="28"/>
        </w:rPr>
        <w:t xml:space="preserve">PART V — SIGNATURES &amp; EXECUTION</w:t>
      </w:r>
    </w:p>
    <w:p>
      <w:pPr>
        <w:pBdr>
          <w:bottom w:val="single" w:color="2C3E6B" w:sz="4" w:space="1"/>
        </w:pBdr>
        <w:spacing w:after="120" w:before="120"/>
      </w:pPr>
      <w:r>
        <w:rPr>
          <w:sz w:val="4"/>
          <w:szCs w:val="4"/>
        </w:rPr>
        <w:t xml:space="preserve"/>
      </w:r>
    </w:p>
    <w:p>
      <w:pPr>
        <w:spacing w:after="60" w:before="60"/>
      </w:pPr>
      <w:r>
        <w:rPr>
          <w:sz w:val="22"/>
          <w:szCs w:val="22"/>
        </w:rPr>
        <w:t xml:space="preserve"/>
      </w:r>
    </w:p>
    <w:p>
      <w:pPr>
        <w:spacing w:after="80" w:before="80"/>
        <w:jc w:val="both"/>
      </w:pPr>
      <w:r>
        <w:rPr>
          <w:rFonts w:ascii="Arial" w:cs="Arial" w:eastAsia="Arial" w:hAnsi="Arial"/>
          <w:sz w:val="22"/>
          <w:szCs w:val="22"/>
        </w:rPr>
        <w:t xml:space="preserve">This License &amp; Contract is entered into by the parties identified below. By signing, the Licensee acknowledges reading, understanding, and agreeing to all terms set forth herein.</w:t>
      </w:r>
    </w:p>
    <w:p>
      <w:pPr>
        <w:spacing w:after="60" w:before="60"/>
      </w:pPr>
      <w:r>
        <w:rPr>
          <w:sz w:val="22"/>
          <w:szCs w:val="22"/>
        </w:rPr>
        <w:t xml:space="preserve"/>
      </w:r>
    </w:p>
    <w:p>
      <w:pPr>
        <w:spacing w:after="60" w:before="60"/>
      </w:pPr>
      <w:r>
        <w:rPr>
          <w:sz w:val="22"/>
          <w:szCs w:val="22"/>
        </w:rPr>
        <w:t xml:space="preserve"/>
      </w:r>
    </w:p>
    <w:p>
      <w:pPr>
        <w:pStyle w:val="Heading2"/>
        <w:spacing w:after="80" w:before="240"/>
      </w:pPr>
      <w:r>
        <w:rPr>
          <w:rFonts w:ascii="Arial" w:cs="Arial" w:eastAsia="Arial" w:hAnsi="Arial"/>
          <w:b/>
          <w:bCs/>
          <w:color w:val="2C3E6B"/>
          <w:sz w:val="24"/>
          <w:szCs w:val="24"/>
        </w:rPr>
        <w:t xml:space="preserve">LICENSOR — Authorized Signatory</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GOBOT (EE) — Engineers Echelon</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r>
        <w:tc>
          <w:tcPr>
            <w:tcW w:type="dxa" w:w="9360"/>
            <w:tcBorders>
              <w:top w:val="none" w:color="FFFFFF" w:sz="0"/>
              <w:left w:val="none" w:color="FFFFFF" w:sz="0"/>
              <w:bottom w:val="none" w:color="FFFFFF" w:sz="0"/>
              <w:right w:val="none" w:color="FFFFFF" w:sz="0"/>
            </w:tcBorders>
          </w:tcPr>
          <w:p>
            <w:pPr>
              <w:spacing w:after="60" w:before="60"/>
            </w:pPr>
            <w:r>
              <w:rPr>
                <w:sz w:val="22"/>
                <w:szCs w:val="22"/>
              </w:rPr>
              <w:t xml:space="preserve"/>
            </w:r>
          </w:p>
        </w:tc>
      </w:tr>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SHA — Core Sarathi &amp; Dharmarthi</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r>
        <w:tc>
          <w:tcPr>
            <w:tcW w:type="dxa" w:w="9360"/>
            <w:tcBorders>
              <w:top w:val="none" w:color="FFFFFF" w:sz="0"/>
              <w:left w:val="none" w:color="FFFFFF" w:sz="0"/>
              <w:bottom w:val="none" w:color="FFFFFF" w:sz="0"/>
              <w:right w:val="none" w:color="FFFFFF" w:sz="0"/>
            </w:tcBorders>
          </w:tcPr>
          <w:p>
            <w:pPr>
              <w:spacing w:after="60" w:before="60"/>
            </w:pPr>
            <w:r>
              <w:rPr>
                <w:sz w:val="22"/>
                <w:szCs w:val="22"/>
              </w:rPr>
              <w:t xml:space="preserve"/>
            </w:r>
          </w:p>
        </w:tc>
      </w:tr>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Representing: HH | FTL | U | RI</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bl>
    <w:p>
      <w:pPr>
        <w:spacing w:after="60" w:before="60"/>
      </w:pPr>
      <w:r>
        <w:rPr>
          <w:sz w:val="22"/>
          <w:szCs w:val="22"/>
        </w:rPr>
        <w:t xml:space="preserve"/>
      </w:r>
    </w:p>
    <w:p>
      <w:pPr>
        <w:spacing w:after="60" w:before="60"/>
      </w:pPr>
      <w:r>
        <w:rPr>
          <w:sz w:val="22"/>
          <w:szCs w:val="22"/>
        </w:rPr>
        <w:t xml:space="preserve"/>
      </w:r>
    </w:p>
    <w:p>
      <w:pPr>
        <w:pStyle w:val="Heading2"/>
        <w:spacing w:after="80" w:before="240"/>
      </w:pPr>
      <w:r>
        <w:rPr>
          <w:rFonts w:ascii="Arial" w:cs="Arial" w:eastAsia="Arial" w:hAnsi="Arial"/>
          <w:b/>
          <w:bCs/>
          <w:color w:val="2C3E6B"/>
          <w:sz w:val="24"/>
          <w:szCs w:val="24"/>
        </w:rPr>
        <w:t xml:space="preserve">LICENSEE — Authorized Signatory</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Full Legal Name of Licensee</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r>
        <w:tc>
          <w:tcPr>
            <w:tcW w:type="dxa" w:w="9360"/>
            <w:tcBorders>
              <w:top w:val="none" w:color="FFFFFF" w:sz="0"/>
              <w:left w:val="none" w:color="FFFFFF" w:sz="0"/>
              <w:bottom w:val="none" w:color="FFFFFF" w:sz="0"/>
              <w:right w:val="none" w:color="FFFFFF" w:sz="0"/>
            </w:tcBorders>
          </w:tcPr>
          <w:p>
            <w:pPr>
              <w:spacing w:after="60" w:before="60"/>
            </w:pPr>
            <w:r>
              <w:rPr>
                <w:sz w:val="22"/>
                <w:szCs w:val="22"/>
              </w:rPr>
              <w:t xml:space="preserve"/>
            </w:r>
          </w:p>
        </w:tc>
      </w:tr>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Title / Designation (if applicable)</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r>
        <w:tc>
          <w:tcPr>
            <w:tcW w:type="dxa" w:w="9360"/>
            <w:tcBorders>
              <w:top w:val="none" w:color="FFFFFF" w:sz="0"/>
              <w:left w:val="none" w:color="FFFFFF" w:sz="0"/>
              <w:bottom w:val="none" w:color="FFFFFF" w:sz="0"/>
              <w:right w:val="none" w:color="FFFFFF" w:sz="0"/>
            </w:tcBorders>
          </w:tcPr>
          <w:p>
            <w:pPr>
              <w:spacing w:after="60" w:before="60"/>
            </w:pPr>
            <w:r>
              <w:rPr>
                <w:sz w:val="22"/>
                <w:szCs w:val="22"/>
              </w:rPr>
              <w:t xml:space="preserve"/>
            </w:r>
          </w:p>
        </w:tc>
      </w:tr>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Organization / Entity (if applicable)</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r>
        <w:tc>
          <w:tcPr>
            <w:tcW w:type="dxa" w:w="9360"/>
            <w:tcBorders>
              <w:top w:val="none" w:color="FFFFFF" w:sz="0"/>
              <w:left w:val="none" w:color="FFFFFF" w:sz="0"/>
              <w:bottom w:val="none" w:color="FFFFFF" w:sz="0"/>
              <w:right w:val="none" w:color="FFFFFF" w:sz="0"/>
            </w:tcBorders>
          </w:tcPr>
          <w:p>
            <w:pPr>
              <w:spacing w:after="60" w:before="60"/>
            </w:pPr>
            <w:r>
              <w:rPr>
                <w:sz w:val="22"/>
                <w:szCs w:val="22"/>
              </w:rPr>
              <w:t xml:space="preserve"/>
            </w:r>
          </w:p>
        </w:tc>
      </w:tr>
      <w:tr>
        <w:tc>
          <w:tcPr>
            <w:tcW w:type="dxa" w:w="4500"/>
            <w:tcBorders>
              <w:top w:val="none" w:color="FFFFFF" w:sz="0"/>
              <w:left w:val="none" w:color="FFFFFF" w:sz="0"/>
              <w:bottom w:val="none" w:color="FFFFFF" w:sz="0"/>
              <w:right w:val="none" w:color="FFFFFF" w:sz="0"/>
            </w:tcBorders>
            <w:tcMar>
              <w:top w:type="dxa" w:w="200"/>
              <w:left w:type="dxa" w:w="0"/>
              <w:bottom w:type="dxa" w:w="80"/>
              <w:right w:type="dxa" w:w="12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Contact / Email</w:t>
            </w:r>
          </w:p>
        </w:tc>
        <w:tc>
          <w:tcPr>
            <w:tcW w:type="dxa" w:w="360"/>
            <w:tcBorders>
              <w:top w:val="none" w:color="FFFFFF" w:sz="0"/>
              <w:left w:val="none" w:color="FFFFFF" w:sz="0"/>
              <w:bottom w:val="none" w:color="FFFFFF" w:sz="0"/>
              <w:right w:val="none" w:color="FFFFFF" w:sz="0"/>
            </w:tcBorders>
          </w:tcPr>
          <w:p>
            <w:r>
              <w:rPr>
                <w:sz w:val="22"/>
                <w:szCs w:val="22"/>
              </w:rPr>
              <w:t xml:space="preserve"/>
            </w:r>
          </w:p>
        </w:tc>
        <w:tc>
          <w:tcPr>
            <w:tcW w:type="dxa" w:w="4500"/>
            <w:tcBorders>
              <w:top w:val="none" w:color="FFFFFF" w:sz="0"/>
              <w:left w:val="none" w:color="FFFFFF" w:sz="0"/>
              <w:bottom w:val="none" w:color="FFFFFF" w:sz="0"/>
              <w:right w:val="none" w:color="FFFFFF" w:sz="0"/>
            </w:tcBorders>
            <w:tcMar>
              <w:top w:type="dxa" w:w="200"/>
              <w:left w:type="dxa" w:w="120"/>
              <w:bottom w:type="dxa" w:w="80"/>
              <w:right w:type="dxa" w:w="0"/>
            </w:tcMar>
          </w:tcPr>
          <w:p>
            <w:pPr>
              <w:pBdr>
                <w:bottom w:val="single" w:color="2C3E6B" w:sz="6" w:space="1"/>
              </w:pBdr>
            </w:pPr>
            <w:r>
              <w:rPr>
                <w:sz w:val="22"/>
                <w:szCs w:val="22"/>
              </w:rPr>
              <w:t xml:space="preserve"> </w:t>
            </w:r>
          </w:p>
          <w:p>
            <w:pPr>
              <w:spacing w:before="80"/>
            </w:pPr>
            <w:r>
              <w:rPr>
                <w:rFonts w:ascii="Arial" w:cs="Arial" w:eastAsia="Arial" w:hAnsi="Arial"/>
                <w:i/>
                <w:iCs/>
                <w:sz w:val="20"/>
                <w:szCs w:val="20"/>
              </w:rPr>
              <w:t xml:space="preserve">Date (DD/MM/YYYY)</w:t>
            </w:r>
          </w:p>
        </w:tc>
      </w:tr>
    </w:tbl>
    <w:p>
      <w:pPr>
        <w:spacing w:after="60" w:before="60"/>
      </w:pPr>
      <w:r>
        <w:rPr>
          <w:sz w:val="22"/>
          <w:szCs w:val="22"/>
        </w:rPr>
        <w:t xml:space="preserve"/>
      </w:r>
    </w:p>
    <w:p>
      <w:pPr>
        <w:spacing w:after="60" w:before="60"/>
      </w:pPr>
      <w:r>
        <w:rPr>
          <w:sz w:val="22"/>
          <w:szCs w:val="22"/>
        </w:rPr>
        <w:t xml:space="preserve"/>
      </w:r>
    </w:p>
    <w:p>
      <w:pPr>
        <w:pBdr>
          <w:bottom w:val="single" w:color="2C3E6B" w:sz="4" w:space="1"/>
        </w:pBdr>
        <w:spacing w:after="120" w:before="120"/>
      </w:pPr>
      <w:r>
        <w:rPr>
          <w:sz w:val="4"/>
          <w:szCs w:val="4"/>
        </w:rPr>
        <w:t xml:space="preserve"/>
      </w:r>
    </w:p>
    <w:p>
      <w:pPr>
        <w:spacing w:after="60" w:before="60"/>
      </w:pPr>
      <w:r>
        <w:rPr>
          <w:sz w:val="22"/>
          <w:szCs w:val="22"/>
        </w:rPr>
        <w:t xml:space="preserve"/>
      </w:r>
    </w:p>
    <w:p>
      <w:pPr>
        <w:spacing w:after="80" w:before="80"/>
        <w:jc w:val="center"/>
      </w:pPr>
      <w:r>
        <w:rPr>
          <w:rFonts w:ascii="Arial" w:cs="Arial" w:eastAsia="Arial" w:hAnsi="Arial"/>
          <w:b/>
          <w:bCs/>
          <w:color w:val="1A237E"/>
          <w:sz w:val="20"/>
          <w:szCs w:val="20"/>
        </w:rPr>
        <w:t xml:space="preserve">© 2026 HH | EE (GOBOT) | SHA | FTL | U | RI — All Rights Reserved</w:t>
      </w:r>
    </w:p>
    <w:p>
      <w:pPr>
        <w:spacing w:after="40" w:before="40"/>
        <w:jc w:val="center"/>
      </w:pPr>
      <w:r>
        <w:rPr>
          <w:rFonts w:ascii="Arial" w:cs="Arial" w:eastAsia="Arial" w:hAnsi="Arial"/>
          <w:color w:val="555555"/>
          <w:sz w:val="18"/>
          <w:szCs w:val="18"/>
        </w:rPr>
        <w:t xml:space="preserve">Contract Reference: CGP-37 / IIDP-2026</w:t>
      </w:r>
    </w:p>
    <w:p>
      <w:pPr>
        <w:spacing w:after="40" w:before="40"/>
        <w:jc w:val="center"/>
      </w:pPr>
      <w:r>
        <w:rPr>
          <w:rFonts w:ascii="Arial" w:cs="Arial" w:eastAsia="Arial" w:hAnsi="Arial"/>
          <w:i/>
          <w:iCs/>
          <w:color w:val="C62828"/>
          <w:sz w:val="18"/>
          <w:szCs w:val="18"/>
        </w:rPr>
        <w:t xml:space="preserve">Unauthorized commercial use of this IIDP is a breach of contract and may be prosecuted under applicable law.</w:t>
      </w: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6B" w:sz="4" w:space="4"/>
      </w:pBdr>
      <w:spacing w:before="80"/>
      <w:jc w:val="center"/>
    </w:pPr>
    <w:r>
      <w:rPr>
        <w:rFonts w:ascii="Arial" w:cs="Arial" w:eastAsia="Arial" w:hAnsi="Arial"/>
        <w:color w:val="2C3E6B"/>
        <w:sz w:val="18"/>
        <w:szCs w:val="18"/>
      </w:rPr>
      <w:t xml:space="preserve">© HH | EE | SHA | FTL | U | RI — All Rights Reserved    |    Page </w:t>
    </w:r>
    <w:r>
      <w:rPr>
        <w:rFonts w:ascii="Arial" w:cs="Arial" w:eastAsia="Arial" w:hAnsi="Arial"/>
        <w:color w:val="2C3E6B"/>
        <w:sz w:val="18"/>
        <w:szCs w:val="18"/>
      </w:rPr>
      <w:fldChar w:fldCharType="begin"/>
      <w:instrText xml:space="preserve">PAGE</w:instrText>
      <w:fldChar w:fldCharType="separate"/>
      <w:fldChar w:fldCharType="end"/>
    </w:r>
    <w:r>
      <w:rPr>
        <w:rFonts w:ascii="Arial" w:cs="Arial" w:eastAsia="Arial" w:hAnsi="Arial"/>
        <w:color w:val="2C3E6B"/>
        <w:sz w:val="18"/>
        <w:szCs w:val="18"/>
      </w:rPr>
      <w:t xml:space="preserve"> of </w:t>
    </w:r>
    <w:r>
      <w:rPr>
        <w:rFonts w:ascii="Arial" w:cs="Arial" w:eastAsia="Arial" w:hAnsi="Arial"/>
        <w:color w:val="2C3E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spacing w:after="80"/>
      <w:jc w:val="center"/>
    </w:pPr>
    <w:r>
      <w:rPr>
        <w:rFonts w:ascii="Arial" w:cs="Arial" w:eastAsia="Arial" w:hAnsi="Arial"/>
        <w:b/>
        <w:bCs/>
        <w:color w:val="2C3E6B"/>
        <w:sz w:val="18"/>
        <w:szCs w:val="18"/>
      </w:rPr>
      <w:t xml:space="preserve">LICENSE &amp; CONTRACT — IIDP OF HH | EE | SHA | FTL | U | 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2026-04-04T03:59:42.354Z</dcterms:created>
  <dcterms:modified xsi:type="dcterms:W3CDTF">2026-04-04T03:59:42.354Z</dcterms:modified>
</cp:coreProperties>
</file>

<file path=docProps/custom.xml><?xml version="1.0" encoding="utf-8"?>
<Properties xmlns="http://schemas.openxmlformats.org/officeDocument/2006/custom-properties" xmlns:vt="http://schemas.openxmlformats.org/officeDocument/2006/docPropsVTypes"/>
</file>