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t xml:space="preserve"/>
      </w:r>
    </w:p>
    <w:p>
      <w:pPr>
        <w:spacing w:after="0"/>
        <w:jc w:val="center"/>
      </w:pPr>
      <w:r>
        <w:rPr>
          <w:rFonts w:ascii="Arial" w:cs="Arial" w:eastAsia="Arial" w:hAnsi="Arial"/>
          <w:b/>
          <w:bCs/>
          <w:color w:val="B8860B"/>
          <w:sz w:val="96"/>
          <w:szCs w:val="96"/>
        </w:rPr>
        <w:t xml:space="preserve">37CGP</w:t>
      </w:r>
    </w:p>
    <w:p>
      <w:pPr>
        <w:spacing w:after="160"/>
        <w:jc w:val="center"/>
      </w:pPr>
      <w:r>
        <w:rPr>
          <w:rFonts w:ascii="Arial" w:cs="Arial" w:eastAsia="Arial" w:hAnsi="Arial"/>
          <w:b/>
          <w:bCs/>
          <w:color w:val="0A0A2E"/>
          <w:sz w:val="52"/>
          <w:szCs w:val="52"/>
        </w:rPr>
        <w:t xml:space="preserve">GICENSE</w:t>
      </w:r>
    </w:p>
    <w:p>
      <w:pPr>
        <w:pBdr>
          <w:bottom w:val="single" w:color="B8860B" w:sz="16" w:space="1"/>
        </w:pBdr>
        <w:spacing w:after="80" w:before="80"/>
      </w:pPr>
      <w:r>
        <w:t xml:space="preserve"/>
      </w:r>
    </w:p>
    <w:p>
      <w:pPr>
        <w:spacing w:after="160" w:before="160"/>
      </w:pPr>
      <w:r>
        <w:t xml:space="preserve"/>
      </w:r>
    </w:p>
    <w:p>
      <w:pPr>
        <w:spacing w:after="80"/>
        <w:jc w:val="center"/>
      </w:pPr>
      <w:r>
        <w:rPr>
          <w:rFonts w:ascii="Arial" w:cs="Arial" w:eastAsia="Arial" w:hAnsi="Arial"/>
          <w:b/>
          <w:bCs/>
          <w:color w:val="444444"/>
          <w:spacing w:val="80"/>
          <w:sz w:val="22"/>
          <w:szCs w:val="22"/>
        </w:rPr>
        <w:t xml:space="preserve">LICENSE  ·  CONTRACT  ·  AGREEMENT  ·  TERMS  ·  PRIVACY</w:t>
      </w:r>
    </w:p>
    <w:p>
      <w:pPr>
        <w:spacing w:after="120" w:before="120"/>
      </w:pPr>
      <w:r>
        <w:t xml:space="preserve"/>
      </w:r>
    </w:p>
    <w:p>
      <w:pPr>
        <w:spacing w:after="160"/>
        <w:jc w:val="center"/>
      </w:pPr>
      <w:r>
        <w:rPr>
          <w:rFonts w:ascii="Arial" w:cs="Arial" w:eastAsia="Arial" w:hAnsi="Arial"/>
          <w:i/>
          <w:iCs/>
          <w:color w:val="444444"/>
          <w:sz w:val="20"/>
          <w:szCs w:val="20"/>
        </w:rPr>
        <w:t xml:space="preserve">UNIVERSAL NON-NEGOTIABLE MASTER FRAMEWORK</w:t>
      </w:r>
    </w:p>
    <w:p>
      <w:pPr>
        <w:pBdr>
          <w:bottom w:val="single" w:color="B8860B" w:sz="8" w:space="1"/>
        </w:pBdr>
        <w:spacing w:after="80" w:before="80"/>
      </w:pPr>
      <w:r>
        <w:t xml:space="preserve"/>
      </w:r>
    </w:p>
    <w:p>
      <w:pPr>
        <w:spacing w:after="320" w:before="32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8860B" w:sz="4"/>
              <w:left w:val="single" w:color="B8860B" w:sz="4"/>
              <w:bottom w:val="single" w:color="B8860B" w:sz="4"/>
              <w:right w:val="single" w:color="B8860B" w:sz="4"/>
            </w:tcBorders>
            <w:shd w:fill="0A0A2E" w:val="clear"/>
            <w:tcMar>
              <w:top w:type="dxa" w:w="80"/>
              <w:left w:type="dxa" w:w="160"/>
              <w:bottom w:type="dxa" w:w="80"/>
              <w:right w:type="dxa" w:w="160"/>
            </w:tcMar>
          </w:tcPr>
          <w:p>
            <w:r>
              <w:rPr>
                <w:rFonts w:ascii="Arial" w:cs="Arial" w:eastAsia="Arial" w:hAnsi="Arial"/>
                <w:b/>
                <w:bCs/>
                <w:color w:val="B8860B"/>
                <w:sz w:val="20"/>
                <w:szCs w:val="20"/>
              </w:rPr>
              <w:t xml:space="preserve">License Name</w:t>
            </w:r>
          </w:p>
        </w:tc>
        <w:tc>
          <w:tcPr>
            <w:tcW w:type="dxa" w:w="4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37CGP · GICENSE</w:t>
            </w:r>
          </w:p>
        </w:tc>
      </w:tr>
      <w:tr>
        <w:tc>
          <w:tcPr>
            <w:tcW w:type="dxa" w:w="2400"/>
            <w:tcBorders>
              <w:top w:val="single" w:color="B8860B" w:sz="4"/>
              <w:left w:val="single" w:color="B8860B" w:sz="4"/>
              <w:bottom w:val="single" w:color="B8860B" w:sz="4"/>
              <w:right w:val="single" w:color="B8860B" w:sz="4"/>
            </w:tcBorders>
            <w:shd w:fill="0A0A2E" w:val="clear"/>
            <w:tcMar>
              <w:top w:type="dxa" w:w="80"/>
              <w:left w:type="dxa" w:w="160"/>
              <w:bottom w:type="dxa" w:w="80"/>
              <w:right w:type="dxa" w:w="160"/>
            </w:tcMar>
          </w:tcPr>
          <w:p>
            <w:r>
              <w:rPr>
                <w:rFonts w:ascii="Arial" w:cs="Arial" w:eastAsia="Arial" w:hAnsi="Arial"/>
                <w:b/>
                <w:bCs/>
                <w:color w:val="B8860B"/>
                <w:sz w:val="20"/>
                <w:szCs w:val="20"/>
              </w:rPr>
              <w:t xml:space="preserve">Version</w:t>
            </w:r>
          </w:p>
        </w:tc>
        <w:tc>
          <w:tcPr>
            <w:tcW w:type="dxa" w:w="4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3.0</w:t>
            </w:r>
          </w:p>
        </w:tc>
      </w:tr>
      <w:tr>
        <w:tc>
          <w:tcPr>
            <w:tcW w:type="dxa" w:w="2400"/>
            <w:tcBorders>
              <w:top w:val="single" w:color="B8860B" w:sz="4"/>
              <w:left w:val="single" w:color="B8860B" w:sz="4"/>
              <w:bottom w:val="single" w:color="B8860B" w:sz="4"/>
              <w:right w:val="single" w:color="B8860B" w:sz="4"/>
            </w:tcBorders>
            <w:shd w:fill="0A0A2E" w:val="clear"/>
            <w:tcMar>
              <w:top w:type="dxa" w:w="80"/>
              <w:left w:type="dxa" w:w="160"/>
              <w:bottom w:type="dxa" w:w="80"/>
              <w:right w:type="dxa" w:w="160"/>
            </w:tcMar>
          </w:tcPr>
          <w:p>
            <w:r>
              <w:rPr>
                <w:rFonts w:ascii="Arial" w:cs="Arial" w:eastAsia="Arial" w:hAnsi="Arial"/>
                <w:b/>
                <w:bCs/>
                <w:color w:val="B8860B"/>
                <w:sz w:val="20"/>
                <w:szCs w:val="20"/>
              </w:rPr>
              <w:t xml:space="preserve">Author &amp; Licensor</w:t>
            </w:r>
          </w:p>
        </w:tc>
        <w:tc>
          <w:tcPr>
            <w:tcW w:type="dxa" w:w="4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Gourav Gope Yadav (GG)</w:t>
            </w:r>
          </w:p>
        </w:tc>
      </w:tr>
      <w:tr>
        <w:tc>
          <w:tcPr>
            <w:tcW w:type="dxa" w:w="2400"/>
            <w:tcBorders>
              <w:top w:val="single" w:color="B8860B" w:sz="4"/>
              <w:left w:val="single" w:color="B8860B" w:sz="4"/>
              <w:bottom w:val="single" w:color="B8860B" w:sz="4"/>
              <w:right w:val="single" w:color="B8860B" w:sz="4"/>
            </w:tcBorders>
            <w:shd w:fill="0A0A2E" w:val="clear"/>
            <w:tcMar>
              <w:top w:type="dxa" w:w="80"/>
              <w:left w:type="dxa" w:w="160"/>
              <w:bottom w:type="dxa" w:w="80"/>
              <w:right w:type="dxa" w:w="160"/>
            </w:tcMar>
          </w:tcPr>
          <w:p>
            <w:r>
              <w:rPr>
                <w:rFonts w:ascii="Arial" w:cs="Arial" w:eastAsia="Arial" w:hAnsi="Arial"/>
                <w:b/>
                <w:bCs/>
                <w:color w:val="B8860B"/>
                <w:sz w:val="20"/>
                <w:szCs w:val="20"/>
              </w:rPr>
              <w:t xml:space="preserve">Parent Framework</w:t>
            </w:r>
          </w:p>
        </w:tc>
        <w:tc>
          <w:tcPr>
            <w:tcW w:type="dxa" w:w="4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HH (Humanitarian Hypothesis)</w:t>
            </w:r>
          </w:p>
        </w:tc>
      </w:tr>
      <w:tr>
        <w:tc>
          <w:tcPr>
            <w:tcW w:type="dxa" w:w="2400"/>
            <w:tcBorders>
              <w:top w:val="single" w:color="B8860B" w:sz="4"/>
              <w:left w:val="single" w:color="B8860B" w:sz="4"/>
              <w:bottom w:val="single" w:color="B8860B" w:sz="4"/>
              <w:right w:val="single" w:color="B8860B" w:sz="4"/>
            </w:tcBorders>
            <w:shd w:fill="0A0A2E" w:val="clear"/>
            <w:tcMar>
              <w:top w:type="dxa" w:w="80"/>
              <w:left w:type="dxa" w:w="160"/>
              <w:bottom w:type="dxa" w:w="80"/>
              <w:right w:type="dxa" w:w="160"/>
            </w:tcMar>
          </w:tcPr>
          <w:p>
            <w:r>
              <w:rPr>
                <w:rFonts w:ascii="Arial" w:cs="Arial" w:eastAsia="Arial" w:hAnsi="Arial"/>
                <w:b/>
                <w:bCs/>
                <w:color w:val="B8860B"/>
                <w:sz w:val="20"/>
                <w:szCs w:val="20"/>
              </w:rPr>
              <w:t xml:space="preserve">Organizations</w:t>
            </w:r>
          </w:p>
        </w:tc>
        <w:tc>
          <w:tcPr>
            <w:tcW w:type="dxa" w:w="4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HH · EE · SHA · FTL · U · RI · GN &amp; ALL SUB-ORGS</w:t>
            </w:r>
          </w:p>
        </w:tc>
      </w:tr>
      <w:tr>
        <w:tc>
          <w:tcPr>
            <w:tcW w:type="dxa" w:w="2400"/>
            <w:tcBorders>
              <w:top w:val="single" w:color="B8860B" w:sz="4"/>
              <w:left w:val="single" w:color="B8860B" w:sz="4"/>
              <w:bottom w:val="single" w:color="B8860B" w:sz="4"/>
              <w:right w:val="single" w:color="B8860B" w:sz="4"/>
            </w:tcBorders>
            <w:shd w:fill="0A0A2E" w:val="clear"/>
            <w:tcMar>
              <w:top w:type="dxa" w:w="80"/>
              <w:left w:type="dxa" w:w="160"/>
              <w:bottom w:type="dxa" w:w="80"/>
              <w:right w:type="dxa" w:w="160"/>
            </w:tcMar>
          </w:tcPr>
          <w:p>
            <w:r>
              <w:rPr>
                <w:rFonts w:ascii="Arial" w:cs="Arial" w:eastAsia="Arial" w:hAnsi="Arial"/>
                <w:b/>
                <w:bCs/>
                <w:color w:val="B8860B"/>
                <w:sz w:val="20"/>
                <w:szCs w:val="20"/>
              </w:rPr>
              <w:t xml:space="preserve">Website</w:t>
            </w:r>
          </w:p>
        </w:tc>
        <w:tc>
          <w:tcPr>
            <w:tcW w:type="dxa" w:w="4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gouravgope.com</w:t>
            </w:r>
          </w:p>
        </w:tc>
      </w:tr>
      <w:tr>
        <w:tc>
          <w:tcPr>
            <w:tcW w:type="dxa" w:w="2400"/>
            <w:tcBorders>
              <w:top w:val="single" w:color="B8860B" w:sz="4"/>
              <w:left w:val="single" w:color="B8860B" w:sz="4"/>
              <w:bottom w:val="single" w:color="B8860B" w:sz="4"/>
              <w:right w:val="single" w:color="B8860B" w:sz="4"/>
            </w:tcBorders>
            <w:shd w:fill="0A0A2E" w:val="clear"/>
            <w:tcMar>
              <w:top w:type="dxa" w:w="80"/>
              <w:left w:type="dxa" w:w="160"/>
              <w:bottom w:type="dxa" w:w="80"/>
              <w:right w:type="dxa" w:w="160"/>
            </w:tcMar>
          </w:tcPr>
          <w:p>
            <w:r>
              <w:rPr>
                <w:rFonts w:ascii="Arial" w:cs="Arial" w:eastAsia="Arial" w:hAnsi="Arial"/>
                <w:b/>
                <w:bCs/>
                <w:color w:val="B8860B"/>
                <w:sz w:val="20"/>
                <w:szCs w:val="20"/>
              </w:rPr>
              <w:t xml:space="preserve">GitHub</w:t>
            </w:r>
          </w:p>
        </w:tc>
        <w:tc>
          <w:tcPr>
            <w:tcW w:type="dxa" w:w="4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github.com/gouravgope · github.com/freedomtoliberty</w:t>
            </w:r>
          </w:p>
        </w:tc>
      </w:tr>
      <w:tr>
        <w:tc>
          <w:tcPr>
            <w:tcW w:type="dxa" w:w="2400"/>
            <w:tcBorders>
              <w:top w:val="single" w:color="B8860B" w:sz="4"/>
              <w:left w:val="single" w:color="B8860B" w:sz="4"/>
              <w:bottom w:val="single" w:color="B8860B" w:sz="4"/>
              <w:right w:val="single" w:color="B8860B" w:sz="4"/>
            </w:tcBorders>
            <w:shd w:fill="0A0A2E" w:val="clear"/>
            <w:tcMar>
              <w:top w:type="dxa" w:w="80"/>
              <w:left w:type="dxa" w:w="160"/>
              <w:bottom w:type="dxa" w:w="80"/>
              <w:right w:type="dxa" w:w="160"/>
            </w:tcMar>
          </w:tcPr>
          <w:p>
            <w:r>
              <w:rPr>
                <w:rFonts w:ascii="Arial" w:cs="Arial" w:eastAsia="Arial" w:hAnsi="Arial"/>
                <w:b/>
                <w:bCs/>
                <w:color w:val="B8860B"/>
                <w:sz w:val="20"/>
                <w:szCs w:val="20"/>
              </w:rPr>
              <w:t xml:space="preserve">Effective Date</w:t>
            </w:r>
          </w:p>
        </w:tc>
        <w:tc>
          <w:tcPr>
            <w:tcW w:type="dxa" w:w="4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2024</w:t>
            </w:r>
          </w:p>
        </w:tc>
      </w:tr>
      <w:tr>
        <w:tc>
          <w:tcPr>
            <w:tcW w:type="dxa" w:w="2400"/>
            <w:tcBorders>
              <w:top w:val="single" w:color="B8860B" w:sz="4"/>
              <w:left w:val="single" w:color="B8860B" w:sz="4"/>
              <w:bottom w:val="single" w:color="B8860B" w:sz="4"/>
              <w:right w:val="single" w:color="B8860B" w:sz="4"/>
            </w:tcBorders>
            <w:shd w:fill="0A0A2E" w:val="clear"/>
            <w:tcMar>
              <w:top w:type="dxa" w:w="80"/>
              <w:left w:type="dxa" w:w="160"/>
              <w:bottom w:type="dxa" w:w="80"/>
              <w:right w:type="dxa" w:w="160"/>
            </w:tcMar>
          </w:tcPr>
          <w:p>
            <w:r>
              <w:rPr>
                <w:rFonts w:ascii="Arial" w:cs="Arial" w:eastAsia="Arial" w:hAnsi="Arial"/>
                <w:b/>
                <w:bCs/>
                <w:color w:val="B8860B"/>
                <w:sz w:val="20"/>
                <w:szCs w:val="20"/>
              </w:rPr>
              <w:t xml:space="preserve">Jurisdiction</w:t>
            </w:r>
          </w:p>
        </w:tc>
        <w:tc>
          <w:tcPr>
            <w:tcW w:type="dxa" w:w="4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Republic of India — and All Realms Beyond</w:t>
            </w:r>
          </w:p>
        </w:tc>
      </w:tr>
    </w:tbl>
    <w:p>
      <w:pPr>
        <w:spacing w:after="480" w:before="480"/>
      </w:pPr>
      <w:r>
        <w:t xml:space="preserve"/>
      </w:r>
    </w:p>
    <w:p>
      <w:pPr>
        <w:jc w:val="center"/>
      </w:pPr>
      <w:r>
        <w:rPr>
          <w:rFonts w:ascii="Arial" w:cs="Arial" w:eastAsia="Arial" w:hAnsi="Arial"/>
          <w:i/>
          <w:iCs/>
          <w:color w:val="B8860B"/>
          <w:sz w:val="18"/>
          <w:szCs w:val="18"/>
        </w:rPr>
        <w:t xml:space="preserve">© Gourav Gope Yadav — All Rights Reserved — All Realms Reserved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8B0000" w:sz="16"/>
              <w:left w:val="thick" w:color="8B0000" w:sz="16"/>
              <w:bottom w:val="thick" w:color="8B0000" w:sz="16"/>
              <w:right w:val="thick" w:color="8B0000" w:sz="16"/>
            </w:tcBorders>
            <w:shd w:fill="FFF0F0" w:val="clear"/>
            <w:tcMar>
              <w:top w:type="dxa" w:w="180"/>
              <w:left w:type="dxa" w:w="240"/>
              <w:bottom w:type="dxa" w:w="180"/>
              <w:right w:type="dxa" w:w="240"/>
            </w:tcMar>
          </w:tcPr>
          <w:p>
            <w:pPr>
              <w:spacing w:after="120"/>
              <w:jc w:val="center"/>
            </w:pPr>
            <w:r>
              <w:rPr>
                <w:rFonts w:ascii="Arial" w:cs="Arial" w:eastAsia="Arial" w:hAnsi="Arial"/>
                <w:b/>
                <w:bCs/>
                <w:color w:val="8B0000"/>
                <w:sz w:val="26"/>
                <w:szCs w:val="26"/>
              </w:rPr>
              <w:t xml:space="preserve">⚠  NOTICE BEFORE READING</w:t>
            </w:r>
          </w:p>
          <w:p>
            <w:pPr>
              <w:jc w:val="left"/>
            </w:pPr>
            <w:r>
              <w:rPr>
                <w:rFonts w:ascii="Arial" w:cs="Arial" w:eastAsia="Arial" w:hAnsi="Arial"/>
                <w:i/>
                <w:iCs/>
                <w:color w:val="8B0000"/>
                <w:sz w:val="21"/>
                <w:szCs w:val="21"/>
              </w:rPr>
              <w:t xml:space="preserve">IF YOU DO NOT AGREE WITH 37CGP — DO NOT USE, READ, OR EVEN THINK ABOUT IT.
IF YOU DISAGREE WITH 37CGP BUT WANT TO ENGAGE WITH IT — CONTACT THE AUTHOR OR THE FIRST 7 CORE MEMBERS OF EE (ENGINEERS ECHELON), SHA (SHASTRARTHA), FTL (FREEDOM TO LIBERTY), OR U (UNBIASED ORGANIZATION).
Contact: gouravgope.com</w:t>
            </w:r>
          </w:p>
        </w:tc>
      </w:tr>
    </w:tbl>
    <w:p>
      <w:pPr>
        <w:spacing w:after="200" w:before="200"/>
      </w:pPr>
      <w:r>
        <w:t xml:space="preserve"/>
      </w:r>
    </w:p>
    <w:p>
      <w:pPr>
        <w:pBdr>
          <w:bottom w:val="single" w:color="DAA520" w:sz="8" w:space="1"/>
        </w:pBdr>
        <w:spacing w:after="80" w:before="80"/>
      </w:pPr>
      <w:r>
        <w:t xml:space="preserve"/>
      </w:r>
    </w:p>
    <w:p>
      <w:pPr>
        <w:spacing w:after="120" w:before="120"/>
      </w:pPr>
      <w:r>
        <w:t xml:space="preserve"/>
      </w:r>
    </w:p>
    <w:p>
      <w:pPr>
        <w:pStyle w:val="Heading1"/>
        <w:spacing w:after="160" w:before="360"/>
        <w:jc w:val="center"/>
      </w:pPr>
      <w:r>
        <w:rPr>
          <w:rFonts w:ascii="Arial" w:cs="Arial" w:eastAsia="Arial" w:hAnsi="Arial"/>
          <w:b/>
          <w:bCs/>
          <w:color w:val="0A0A2E"/>
          <w:sz w:val="36"/>
          <w:szCs w:val="36"/>
        </w:rPr>
        <w:t xml:space="preserve">§ 0 — DECLARATION OF NON-NEGOTIABILITY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0A0A2E" w:val="clear"/>
            <w:tcMar>
              <w:top w:type="dxa" w:w="160"/>
              <w:left w:type="dxa" w:w="200"/>
              <w:bottom w:type="dxa" w:w="160"/>
              <w:right w:type="dxa" w:w="200"/>
            </w:tcMar>
          </w:tcPr>
          <w:p>
            <w:pPr>
              <w:jc w:val="left"/>
            </w:pPr>
            <w:r>
              <w:rPr>
                <w:rFonts w:ascii="Arial" w:cs="Arial" w:eastAsia="Arial" w:hAnsi="Arial"/>
                <w:b/>
                <w:bCs/>
                <w:i w:val="false"/>
                <w:iCs w:val="false"/>
                <w:color w:val="FFFFFF"/>
                <w:sz w:val="22"/>
                <w:szCs w:val="22"/>
              </w:rPr>
              <w:t xml:space="preserve">37CGP (GICENSE) is the UNIVERSAL NON-NEGOTIABLE license, contract, agreement, terms, and privacy framework of GG (Gourav Gope Yadav) and ALL organizations, projects, and sub-organizations under GG. It is non-negotiable in all materialistic, non-materialistic, and all other realms — by law, by divinity, by any entity, non-entity, by anything, and by nothing.</w:t>
            </w:r>
          </w:p>
        </w:tc>
      </w:tr>
    </w:tbl>
    <w:p>
      <w:pPr>
        <w:spacing w:after="160" w:before="160"/>
      </w:pPr>
      <w:r>
        <w:t xml:space="preserve"/>
      </w:r>
    </w:p>
    <w:p>
      <w:pPr>
        <w:spacing w:after="80" w:before="80"/>
        <w:jc w:val="left"/>
      </w:pPr>
      <w:r>
        <w:rPr>
          <w:rFonts w:ascii="Arial" w:cs="Arial" w:eastAsia="Arial" w:hAnsi="Arial"/>
          <w:color w:val="444444"/>
          <w:sz w:val="22"/>
          <w:szCs w:val="22"/>
        </w:rPr>
        <w:t xml:space="preserve">Non-negotiable means:</w:t>
      </w:r>
    </w:p>
    <w:p>
      <w:pPr>
        <w:pStyle w:val="ListParagraph"/>
        <w:numPr>
          <w:ilvl w:val="0"/>
          <w:numId w:val="2"/>
        </w:numPr>
        <w:spacing w:after="60" w:before="60"/>
      </w:pPr>
      <w:r>
        <w:rPr>
          <w:rFonts w:ascii="Arial" w:cs="Arial" w:eastAsia="Arial" w:hAnsi="Arial"/>
          <w:color w:val="444444"/>
          <w:sz w:val="22"/>
          <w:szCs w:val="22"/>
        </w:rPr>
        <w:t xml:space="preserve">No entity — human, non-human, AI, institution, government, court, divine, or any power — can modify, waive, override, bypass, void, or nullify this license</w:t>
      </w:r>
    </w:p>
    <w:p>
      <w:pPr>
        <w:pStyle w:val="ListParagraph"/>
        <w:numPr>
          <w:ilvl w:val="0"/>
          <w:numId w:val="2"/>
        </w:numPr>
        <w:spacing w:after="60" w:before="60"/>
      </w:pPr>
      <w:r>
        <w:rPr>
          <w:rFonts w:ascii="Arial" w:cs="Arial" w:eastAsia="Arial" w:hAnsi="Arial"/>
          <w:color w:val="444444"/>
          <w:sz w:val="22"/>
          <w:szCs w:val="22"/>
        </w:rPr>
        <w:t xml:space="preserve">No implied waiver arises from inaction, delay, or silence by the Licensor</w:t>
      </w:r>
    </w:p>
    <w:p>
      <w:pPr>
        <w:pStyle w:val="ListParagraph"/>
        <w:numPr>
          <w:ilvl w:val="0"/>
          <w:numId w:val="2"/>
        </w:numPr>
        <w:spacing w:after="60" w:before="60"/>
      </w:pPr>
      <w:r>
        <w:rPr>
          <w:rFonts w:ascii="Arial" w:cs="Arial" w:eastAsia="Arial" w:hAnsi="Arial"/>
          <w:color w:val="444444"/>
          <w:sz w:val="22"/>
          <w:szCs w:val="22"/>
        </w:rPr>
        <w:t xml:space="preserve">No argument of fair use, public interest, necessity, ignorance, or jurisdiction supersedes the commercial contract requirement</w:t>
      </w:r>
    </w:p>
    <w:p>
      <w:pPr>
        <w:pStyle w:val="ListParagraph"/>
        <w:numPr>
          <w:ilvl w:val="0"/>
          <w:numId w:val="2"/>
        </w:numPr>
        <w:spacing w:after="60" w:before="60"/>
      </w:pPr>
      <w:r>
        <w:rPr>
          <w:rFonts w:ascii="Arial" w:cs="Arial" w:eastAsia="Arial" w:hAnsi="Arial"/>
          <w:color w:val="444444"/>
          <w:sz w:val="22"/>
          <w:szCs w:val="22"/>
        </w:rPr>
        <w:t xml:space="preserve">Severability applies — if any clause is locally unenforceable, all remaining clauses hold in full force</w:t>
      </w:r>
    </w:p>
    <w:p>
      <w:pPr>
        <w:pStyle w:val="ListParagraph"/>
        <w:numPr>
          <w:ilvl w:val="0"/>
          <w:numId w:val="2"/>
        </w:numPr>
        <w:spacing w:after="60" w:before="60"/>
      </w:pPr>
      <w:r>
        <w:rPr>
          <w:rFonts w:ascii="Arial" w:cs="Arial" w:eastAsia="Arial" w:hAnsi="Arial"/>
          <w:color w:val="444444"/>
          <w:sz w:val="22"/>
          <w:szCs w:val="22"/>
        </w:rPr>
        <w:t xml:space="preserve">The only entity authorized to amend this license is Gourav Gope Yadav (GG)</w:t>
      </w:r>
    </w:p>
    <w:p>
      <w:pPr>
        <w:spacing w:after="120" w:before="120"/>
      </w:pPr>
      <w:r>
        <w:t xml:space="preserve"/>
      </w:r>
    </w:p>
    <w:p>
      <w:pPr>
        <w:pBdr>
          <w:bottom w:val="single" w:color="DAA520" w:sz="8" w:space="1"/>
        </w:pBdr>
        <w:spacing w:after="80" w:before="80"/>
      </w:pPr>
      <w:r>
        <w:t xml:space="preserve"/>
      </w:r>
    </w:p>
    <w:p>
      <w:pPr>
        <w:pStyle w:val="Heading1"/>
        <w:spacing w:after="160" w:before="360"/>
        <w:jc w:val="center"/>
      </w:pPr>
      <w:r>
        <w:rPr>
          <w:rFonts w:ascii="Arial" w:cs="Arial" w:eastAsia="Arial" w:hAnsi="Arial"/>
          <w:b/>
          <w:bCs/>
          <w:color w:val="0A0A2E"/>
          <w:sz w:val="36"/>
          <w:szCs w:val="36"/>
        </w:rPr>
        <w:t xml:space="preserve">§ 1 — WHAT IS 37CGP (GICENSE)?</w:t>
      </w:r>
    </w:p>
    <w:p>
      <w:pPr>
        <w:spacing w:after="80" w:before="80"/>
        <w:jc w:val="left"/>
      </w:pPr>
      <w:r>
        <w:rPr>
          <w:rFonts w:ascii="Arial" w:cs="Arial" w:eastAsia="Arial" w:hAnsi="Arial"/>
          <w:color w:val="444444"/>
          <w:sz w:val="22"/>
          <w:szCs w:val="22"/>
        </w:rPr>
        <w:t xml:space="preserve">37CGP, also called GICENSE, is the master non-negotiable license and contract framework for all Intellectual &amp; Digital Property (IIDP) created by, owned by, or published under GG (Gourav Gope Yadav) and all organizations under GG.</w:t>
      </w:r>
    </w:p>
    <w:p>
      <w:pPr>
        <w:spacing w:after="120" w:before="120"/>
      </w:pPr>
      <w:r>
        <w:t xml:space="preserve"/>
      </w:r>
    </w:p>
    <w:p>
      <w:pPr>
        <w:pStyle w:val="Heading2"/>
        <w:spacing w:after="120" w:before="280"/>
      </w:pPr>
      <w:r>
        <w:rPr>
          <w:rFonts w:ascii="Arial" w:cs="Arial" w:eastAsia="Arial" w:hAnsi="Arial"/>
          <w:b/>
          <w:bCs/>
          <w:color w:val="B8860B"/>
          <w:sz w:val="28"/>
          <w:szCs w:val="28"/>
        </w:rPr>
        <w:t xml:space="preserve">THE GG ORGANIZATIONAL UNIVERSE</w:t>
      </w:r>
    </w:p>
    <w:p>
      <w:pPr>
        <w:pStyle w:val="Heading3"/>
        <w:spacing w:after="80" w:before="200"/>
      </w:pPr>
      <w:r>
        <w:rPr>
          <w:rFonts w:ascii="Arial" w:cs="Arial" w:eastAsia="Arial" w:hAnsi="Arial"/>
          <w:b/>
          <w:bCs/>
          <w:color w:val="444444"/>
          <w:sz w:val="24"/>
          <w:szCs w:val="24"/>
        </w:rPr>
        <w:t xml:space="preserve">TIER 1 — AUTHOR &amp; PARENT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B8860B" w:sz="4"/>
              <w:left w:val="single" w:color="B8860B" w:sz="4"/>
              <w:bottom w:val="single" w:color="B8860B" w:sz="4"/>
              <w:right w:val="single" w:color="B8860B" w:sz="4"/>
            </w:tcBorders>
            <w:shd w:fill="0A0A2E" w:val="clear"/>
            <w:tcMar>
              <w:top w:type="dxa" w:w="100"/>
              <w:left w:type="dxa" w:w="120"/>
              <w:bottom w:type="dxa" w:w="100"/>
              <w:right w:type="dxa" w:w="120"/>
            </w:tcMar>
          </w:tcPr>
          <w:p>
            <w:r>
              <w:rPr>
                <w:rFonts w:ascii="Arial" w:cs="Arial" w:eastAsia="Arial" w:hAnsi="Arial"/>
                <w:b/>
                <w:bCs/>
                <w:color w:val="FFFFFF"/>
                <w:sz w:val="19"/>
                <w:szCs w:val="19"/>
              </w:rPr>
              <w:t xml:space="preserve">Code</w:t>
            </w:r>
          </w:p>
        </w:tc>
        <w:tc>
          <w:tcPr>
            <w:tcW w:type="dxa" w:w="2400"/>
            <w:tcBorders>
              <w:top w:val="single" w:color="B8860B" w:sz="4"/>
              <w:left w:val="single" w:color="B8860B" w:sz="4"/>
              <w:bottom w:val="single" w:color="B8860B" w:sz="4"/>
              <w:right w:val="single" w:color="B8860B" w:sz="4"/>
            </w:tcBorders>
            <w:shd w:fill="0A0A2E" w:val="clear"/>
            <w:tcMar>
              <w:top w:type="dxa" w:w="100"/>
              <w:left w:type="dxa" w:w="120"/>
              <w:bottom w:type="dxa" w:w="100"/>
              <w:right w:type="dxa" w:w="120"/>
            </w:tcMar>
          </w:tcPr>
          <w:p>
            <w:r>
              <w:rPr>
                <w:rFonts w:ascii="Arial" w:cs="Arial" w:eastAsia="Arial" w:hAnsi="Arial"/>
                <w:b/>
                <w:bCs/>
                <w:color w:val="FFFFFF"/>
                <w:sz w:val="19"/>
                <w:szCs w:val="19"/>
              </w:rPr>
              <w:t xml:space="preserve">Full Name</w:t>
            </w:r>
          </w:p>
        </w:tc>
        <w:tc>
          <w:tcPr>
            <w:tcW w:type="dxa" w:w="5160"/>
            <w:tcBorders>
              <w:top w:val="single" w:color="B8860B" w:sz="4"/>
              <w:left w:val="single" w:color="B8860B" w:sz="4"/>
              <w:bottom w:val="single" w:color="B8860B" w:sz="4"/>
              <w:right w:val="single" w:color="B8860B" w:sz="4"/>
            </w:tcBorders>
            <w:shd w:fill="0A0A2E" w:val="clear"/>
            <w:tcMar>
              <w:top w:type="dxa" w:w="100"/>
              <w:left w:type="dxa" w:w="120"/>
              <w:bottom w:type="dxa" w:w="100"/>
              <w:right w:type="dxa" w:w="120"/>
            </w:tcMar>
          </w:tcPr>
          <w:p>
            <w:r>
              <w:rPr>
                <w:rFonts w:ascii="Arial" w:cs="Arial" w:eastAsia="Arial" w:hAnsi="Arial"/>
                <w:b/>
                <w:bCs/>
                <w:color w:val="FFFFFF"/>
                <w:sz w:val="19"/>
                <w:szCs w:val="19"/>
              </w:rPr>
              <w:t xml:space="preserve">Role</w:t>
            </w:r>
          </w:p>
        </w:tc>
      </w:tr>
      <w:tr>
        <w:tc>
          <w:tcPr>
            <w:tcW w:type="dxa" w:w="18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GG</w:t>
            </w:r>
          </w:p>
        </w:tc>
        <w:tc>
          <w:tcPr>
            <w:tcW w:type="dxa" w:w="24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Gourav Gope Yadav</w:t>
            </w:r>
          </w:p>
        </w:tc>
        <w:tc>
          <w:tcPr>
            <w:tcW w:type="dxa" w:w="516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Author · Licensor · Owner of all IIDP</w:t>
            </w:r>
          </w:p>
        </w:tc>
      </w:tr>
      <w:tr>
        <w:tc>
          <w:tcPr>
            <w:tcW w:type="dxa" w:w="18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HH</w:t>
            </w:r>
          </w:p>
        </w:tc>
        <w:tc>
          <w:tcPr>
            <w:tcW w:type="dxa" w:w="24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Humanitarian Hypothesis</w:t>
            </w:r>
          </w:p>
        </w:tc>
        <w:tc>
          <w:tcPr>
            <w:tcW w:type="dxa" w:w="516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Parent Intellectual Framework of all GG orgs</w:t>
            </w:r>
          </w:p>
        </w:tc>
      </w:tr>
    </w:tbl>
    <w:p>
      <w:pPr>
        <w:spacing w:after="160" w:before="160"/>
      </w:pPr>
      <w:r>
        <w:t xml:space="preserve"/>
      </w:r>
    </w:p>
    <w:p>
      <w:pPr>
        <w:pStyle w:val="Heading3"/>
        <w:spacing w:after="80" w:before="200"/>
      </w:pPr>
      <w:r>
        <w:rPr>
          <w:rFonts w:ascii="Arial" w:cs="Arial" w:eastAsia="Arial" w:hAnsi="Arial"/>
          <w:b/>
          <w:bCs/>
          <w:color w:val="444444"/>
          <w:sz w:val="24"/>
          <w:szCs w:val="24"/>
        </w:rPr>
        <w:t xml:space="preserve">TIER 2 — PRIMARY 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B8860B" w:sz="4"/>
              <w:left w:val="single" w:color="B8860B" w:sz="4"/>
              <w:bottom w:val="single" w:color="B8860B" w:sz="4"/>
              <w:right w:val="single" w:color="B8860B" w:sz="4"/>
            </w:tcBorders>
            <w:shd w:fill="0A0A2E" w:val="clear"/>
            <w:tcMar>
              <w:top w:type="dxa" w:w="100"/>
              <w:left w:type="dxa" w:w="120"/>
              <w:bottom w:type="dxa" w:w="100"/>
              <w:right w:type="dxa" w:w="120"/>
            </w:tcMar>
          </w:tcPr>
          <w:p>
            <w:r>
              <w:rPr>
                <w:rFonts w:ascii="Arial" w:cs="Arial" w:eastAsia="Arial" w:hAnsi="Arial"/>
                <w:b/>
                <w:bCs/>
                <w:color w:val="FFFFFF"/>
                <w:sz w:val="19"/>
                <w:szCs w:val="19"/>
              </w:rPr>
              <w:t xml:space="preserve">Code</w:t>
            </w:r>
          </w:p>
        </w:tc>
        <w:tc>
          <w:tcPr>
            <w:tcW w:type="dxa" w:w="2400"/>
            <w:tcBorders>
              <w:top w:val="single" w:color="B8860B" w:sz="4"/>
              <w:left w:val="single" w:color="B8860B" w:sz="4"/>
              <w:bottom w:val="single" w:color="B8860B" w:sz="4"/>
              <w:right w:val="single" w:color="B8860B" w:sz="4"/>
            </w:tcBorders>
            <w:shd w:fill="0A0A2E" w:val="clear"/>
            <w:tcMar>
              <w:top w:type="dxa" w:w="100"/>
              <w:left w:type="dxa" w:w="120"/>
              <w:bottom w:type="dxa" w:w="100"/>
              <w:right w:type="dxa" w:w="120"/>
            </w:tcMar>
          </w:tcPr>
          <w:p>
            <w:r>
              <w:rPr>
                <w:rFonts w:ascii="Arial" w:cs="Arial" w:eastAsia="Arial" w:hAnsi="Arial"/>
                <w:b/>
                <w:bCs/>
                <w:color w:val="FFFFFF"/>
                <w:sz w:val="19"/>
                <w:szCs w:val="19"/>
              </w:rPr>
              <w:t xml:space="preserve">Full Name</w:t>
            </w:r>
          </w:p>
        </w:tc>
        <w:tc>
          <w:tcPr>
            <w:tcW w:type="dxa" w:w="5160"/>
            <w:tcBorders>
              <w:top w:val="single" w:color="B8860B" w:sz="4"/>
              <w:left w:val="single" w:color="B8860B" w:sz="4"/>
              <w:bottom w:val="single" w:color="B8860B" w:sz="4"/>
              <w:right w:val="single" w:color="B8860B" w:sz="4"/>
            </w:tcBorders>
            <w:shd w:fill="0A0A2E" w:val="clear"/>
            <w:tcMar>
              <w:top w:type="dxa" w:w="100"/>
              <w:left w:type="dxa" w:w="120"/>
              <w:bottom w:type="dxa" w:w="100"/>
              <w:right w:type="dxa" w:w="120"/>
            </w:tcMar>
          </w:tcPr>
          <w:p>
            <w:r>
              <w:rPr>
                <w:rFonts w:ascii="Arial" w:cs="Arial" w:eastAsia="Arial" w:hAnsi="Arial"/>
                <w:b/>
                <w:bCs/>
                <w:color w:val="FFFFFF"/>
                <w:sz w:val="19"/>
                <w:szCs w:val="19"/>
              </w:rPr>
              <w:t xml:space="preserve">Nature</w:t>
            </w:r>
          </w:p>
        </w:tc>
      </w:tr>
      <w:tr>
        <w:tc>
          <w:tcPr>
            <w:tcW w:type="dxa" w:w="18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EE</w:t>
            </w:r>
          </w:p>
        </w:tc>
        <w:tc>
          <w:tcPr>
            <w:tcW w:type="dxa" w:w="24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Engineers Echelon</w:t>
            </w:r>
          </w:p>
        </w:tc>
        <w:tc>
          <w:tcPr>
            <w:tcW w:type="dxa" w:w="516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For-Profit · Technology &amp; Engineering</w:t>
            </w:r>
          </w:p>
        </w:tc>
      </w:tr>
      <w:tr>
        <w:tc>
          <w:tcPr>
            <w:tcW w:type="dxa" w:w="18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SHA</w:t>
            </w:r>
          </w:p>
        </w:tc>
        <w:tc>
          <w:tcPr>
            <w:tcW w:type="dxa" w:w="24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Shastrartha (&amp; Versy / VersyTalks)</w:t>
            </w:r>
          </w:p>
        </w:tc>
        <w:tc>
          <w:tcPr>
            <w:tcW w:type="dxa" w:w="516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For-Profit · Structured Debate &amp; Knowledge</w:t>
            </w:r>
          </w:p>
        </w:tc>
      </w:tr>
      <w:tr>
        <w:tc>
          <w:tcPr>
            <w:tcW w:type="dxa" w:w="18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FTL</w:t>
            </w:r>
          </w:p>
        </w:tc>
        <w:tc>
          <w:tcPr>
            <w:tcW w:type="dxa" w:w="24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Freedom to Liberty</w:t>
            </w:r>
          </w:p>
        </w:tc>
        <w:tc>
          <w:tcPr>
            <w:tcW w:type="dxa" w:w="516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Non-Profit · Political Philosophy</w:t>
            </w:r>
          </w:p>
        </w:tc>
      </w:tr>
      <w:tr>
        <w:tc>
          <w:tcPr>
            <w:tcW w:type="dxa" w:w="18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U</w:t>
            </w:r>
          </w:p>
        </w:tc>
        <w:tc>
          <w:tcPr>
            <w:tcW w:type="dxa" w:w="24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Unbiased (World, Universe &amp; Multiverse)</w:t>
            </w:r>
          </w:p>
        </w:tc>
        <w:tc>
          <w:tcPr>
            <w:tcW w:type="dxa" w:w="516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Non-Profit · Epistemics &amp; Fairness</w:t>
            </w:r>
          </w:p>
        </w:tc>
      </w:tr>
      <w:tr>
        <w:tc>
          <w:tcPr>
            <w:tcW w:type="dxa" w:w="18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RI</w:t>
            </w:r>
          </w:p>
        </w:tc>
        <w:tc>
          <w:tcPr>
            <w:tcW w:type="dxa" w:w="24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Retaliator Immortal (&amp; Pink Terrorism)</w:t>
            </w:r>
          </w:p>
        </w:tc>
        <w:tc>
          <w:tcPr>
            <w:tcW w:type="dxa" w:w="516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Research · Social &amp; Ideological</w:t>
            </w:r>
          </w:p>
        </w:tc>
      </w:tr>
    </w:tbl>
    <w:p>
      <w:pPr>
        <w:spacing w:after="160" w:before="160"/>
      </w:pPr>
      <w:r>
        <w:t xml:space="preserve"/>
      </w:r>
    </w:p>
    <w:p>
      <w:pPr>
        <w:pStyle w:val="Heading3"/>
        <w:spacing w:after="80" w:before="200"/>
      </w:pPr>
      <w:r>
        <w:rPr>
          <w:rFonts w:ascii="Arial" w:cs="Arial" w:eastAsia="Arial" w:hAnsi="Arial"/>
          <w:b/>
          <w:bCs/>
          <w:color w:val="444444"/>
          <w:sz w:val="24"/>
          <w:szCs w:val="24"/>
        </w:rPr>
        <w:t xml:space="preserve">TIER 3 — SUB-ORGANIZATIONS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860B" w:sz="4"/>
              <w:left w:val="single" w:color="B8860B" w:sz="4"/>
              <w:bottom w:val="single" w:color="B8860B" w:sz="4"/>
              <w:right w:val="single" w:color="B8860B" w:sz="4"/>
            </w:tcBorders>
            <w:shd w:fill="0A0A2E" w:val="clear"/>
            <w:tcMar>
              <w:top w:type="dxa" w:w="100"/>
              <w:left w:type="dxa" w:w="160"/>
              <w:bottom w:type="dxa" w:w="100"/>
              <w:right w:type="dxa" w:w="160"/>
            </w:tcMar>
          </w:tcPr>
          <w:p>
            <w:r>
              <w:rPr>
                <w:rFonts w:ascii="Arial" w:cs="Arial" w:eastAsia="Arial" w:hAnsi="Arial"/>
                <w:b/>
                <w:bCs/>
                <w:color w:val="FFFFFF"/>
                <w:sz w:val="20"/>
                <w:szCs w:val="20"/>
              </w:rPr>
              <w:t xml:space="preserve">Code</w:t>
            </w:r>
          </w:p>
        </w:tc>
        <w:tc>
          <w:tcPr>
            <w:tcW w:type="dxa" w:w="6560"/>
            <w:tcBorders>
              <w:top w:val="single" w:color="B8860B" w:sz="4"/>
              <w:left w:val="single" w:color="B8860B" w:sz="4"/>
              <w:bottom w:val="single" w:color="B8860B" w:sz="4"/>
              <w:right w:val="single" w:color="B8860B" w:sz="4"/>
            </w:tcBorders>
            <w:shd w:fill="0A0A2E" w:val="clear"/>
            <w:tcMar>
              <w:top w:type="dxa" w:w="100"/>
              <w:left w:type="dxa" w:w="160"/>
              <w:bottom w:type="dxa" w:w="100"/>
              <w:right w:type="dxa" w:w="160"/>
            </w:tcMar>
          </w:tcPr>
          <w:p>
            <w:r>
              <w:rPr>
                <w:rFonts w:ascii="Arial" w:cs="Arial" w:eastAsia="Arial" w:hAnsi="Arial"/>
                <w:b/>
                <w:bCs/>
                <w:color w:val="FFFFFF"/>
                <w:sz w:val="20"/>
                <w:szCs w:val="20"/>
              </w:rPr>
              <w:t xml:space="preserve">Full Name — Parent</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EE-PH</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Engineers Echelon &amp; Philosophy — (EE)</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TT</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Transhumanism &amp; Transitionism — (EE)</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GBT</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Gobotics — (EE)</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GOBOT</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Gobot — (EE)</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GN</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Gonnection (Social/Professional Network) — (EE)</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GC</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Goconomics — (EE)</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GF</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Goundation / Dation / Gation — (EE)</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VAD</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Vad — (SHA)</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PK</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Prakash — (SHA)</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SK</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Siksha — (SHA)</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RJ</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Rajniti — (SHA)</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SR</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Sarathee / Sarathi — (SHA)</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DH</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Dharmarthi — (SHA)</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GY</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Gyan — (SHA)</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VR</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Versy / VersyTalks — (SHA)</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LI</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Libertarians — (FTL)</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SW</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Saamywaad (Communism &amp; Socialism) — (FTL)</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MS</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Masculinism — (RI)</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PT</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Pink Terrorism — (RI)</w:t>
            </w:r>
          </w:p>
        </w:tc>
      </w:tr>
    </w:tbl>
    <w:p>
      <w:pPr>
        <w:spacing w:after="160" w:before="160"/>
      </w:pPr>
      <w:r>
        <w:t xml:space="preserve"/>
      </w:r>
    </w:p>
    <w:p>
      <w:pPr>
        <w:pBdr>
          <w:bottom w:val="single" w:color="DAA520" w:sz="8" w:space="1"/>
        </w:pBdr>
        <w:spacing w:after="80" w:before="80"/>
      </w:pPr>
      <w:r>
        <w:t xml:space="preserve"/>
      </w:r>
    </w:p>
    <w:p>
      <w:pPr>
        <w:pStyle w:val="Heading1"/>
        <w:spacing w:after="160" w:before="360"/>
        <w:jc w:val="center"/>
      </w:pPr>
      <w:r>
        <w:rPr>
          <w:rFonts w:ascii="Arial" w:cs="Arial" w:eastAsia="Arial" w:hAnsi="Arial"/>
          <w:b/>
          <w:bCs/>
          <w:color w:val="0A0A2E"/>
          <w:sz w:val="36"/>
          <w:szCs w:val="36"/>
        </w:rPr>
        <w:t xml:space="preserve">§ 2 — THE TWO CATEGORIES OF 37CGP (GICENSE)</w:t>
      </w:r>
    </w:p>
    <w:p>
      <w:pPr>
        <w:spacing w:after="80" w:before="80"/>
        <w:jc w:val="left"/>
      </w:pPr>
      <w:r>
        <w:rPr>
          <w:rFonts w:ascii="Arial" w:cs="Arial" w:eastAsia="Arial" w:hAnsi="Arial"/>
          <w:color w:val="444444"/>
          <w:sz w:val="22"/>
          <w:szCs w:val="22"/>
        </w:rPr>
        <w:t xml:space="preserve">Every version and variant of 37CGP (GICENSE) operates under two enforcement categories simultaneously. Both apply at all times, to all entities, in all circumstances.</w:t>
      </w:r>
    </w:p>
    <w:p>
      <w:pPr>
        <w:spacing w:after="160" w:before="160"/>
      </w:pPr>
      <w:r>
        <w:t xml:space="preserve"/>
      </w:r>
    </w:p>
    <w:p>
      <w:pPr>
        <w:pStyle w:val="Heading2"/>
        <w:spacing w:after="120" w:before="280"/>
      </w:pPr>
      <w:r>
        <w:rPr>
          <w:rFonts w:ascii="Arial" w:cs="Arial" w:eastAsia="Arial" w:hAnsi="Arial"/>
          <w:b/>
          <w:bCs/>
          <w:color w:val="B8860B"/>
          <w:sz w:val="28"/>
          <w:szCs w:val="28"/>
        </w:rPr>
        <w:t xml:space="preserve">CATEGORY 2.1 — MATERIAL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FF8DC" w:val="clear"/>
            <w:tcMar>
              <w:top w:type="dxa" w:w="160"/>
              <w:left w:type="dxa" w:w="200"/>
              <w:bottom w:type="dxa" w:w="160"/>
              <w:right w:type="dxa" w:w="200"/>
            </w:tcMar>
          </w:tcPr>
          <w:p>
            <w:pPr>
              <w:jc w:val="left"/>
            </w:pPr>
            <w:r>
              <w:rPr>
                <w:rFonts w:ascii="Arial" w:cs="Arial" w:eastAsia="Arial" w:hAnsi="Arial"/>
                <w:b w:val="false"/>
                <w:bCs w:val="false"/>
                <w:i/>
                <w:iCs/>
                <w:color w:val="0A0A2E"/>
                <w:sz w:val="22"/>
                <w:szCs w:val="22"/>
              </w:rPr>
              <w:t xml:space="preserve">Legally Enforceable in the Materialistic Realm — on Earth, in the Universe, or across the Multiverse — by Materialistic or Other Legal Means.</w:t>
            </w:r>
          </w:p>
        </w:tc>
      </w:tr>
    </w:tbl>
    <w:p>
      <w:pPr>
        <w:spacing w:after="120" w:before="120"/>
      </w:pPr>
      <w:r>
        <w:t xml:space="preserve"/>
      </w:r>
    </w:p>
    <w:p>
      <w:pPr>
        <w:spacing w:after="80" w:before="80"/>
        <w:jc w:val="left"/>
      </w:pPr>
      <w:r>
        <w:rPr>
          <w:rFonts w:ascii="Arial" w:cs="Arial" w:eastAsia="Arial" w:hAnsi="Arial"/>
          <w:color w:val="444444"/>
          <w:sz w:val="22"/>
          <w:szCs w:val="22"/>
        </w:rPr>
        <w:t xml:space="preserve">Enforcement under this category includes:</w:t>
      </w:r>
    </w:p>
    <w:p>
      <w:pPr>
        <w:pStyle w:val="ListParagraph"/>
        <w:numPr>
          <w:ilvl w:val="0"/>
          <w:numId w:val="2"/>
        </w:numPr>
        <w:spacing w:after="60" w:before="60"/>
      </w:pPr>
      <w:r>
        <w:rPr>
          <w:rFonts w:ascii="Arial" w:cs="Arial" w:eastAsia="Arial" w:hAnsi="Arial"/>
          <w:color w:val="444444"/>
          <w:sz w:val="22"/>
          <w:szCs w:val="22"/>
        </w:rPr>
        <w:t xml:space="preserve">Courts of law — Indian jurisdiction primary</w:t>
      </w:r>
    </w:p>
    <w:p>
      <w:pPr>
        <w:pStyle w:val="ListParagraph"/>
        <w:numPr>
          <w:ilvl w:val="0"/>
          <w:numId w:val="2"/>
        </w:numPr>
        <w:spacing w:after="60" w:before="60"/>
      </w:pPr>
      <w:r>
        <w:rPr>
          <w:rFonts w:ascii="Arial" w:cs="Arial" w:eastAsia="Arial" w:hAnsi="Arial"/>
          <w:color w:val="444444"/>
          <w:sz w:val="22"/>
          <w:szCs w:val="22"/>
        </w:rPr>
        <w:t xml:space="preserve">Civil litigation: injunctions, damages, account of profits, delivery up</w:t>
      </w:r>
    </w:p>
    <w:p>
      <w:pPr>
        <w:pStyle w:val="ListParagraph"/>
        <w:numPr>
          <w:ilvl w:val="0"/>
          <w:numId w:val="2"/>
        </w:numPr>
        <w:spacing w:after="60" w:before="60"/>
      </w:pPr>
      <w:r>
        <w:rPr>
          <w:rFonts w:ascii="Arial" w:cs="Arial" w:eastAsia="Arial" w:hAnsi="Arial"/>
          <w:color w:val="444444"/>
          <w:sz w:val="22"/>
          <w:szCs w:val="22"/>
        </w:rPr>
        <w:t xml:space="preserve">International IP treaties: Berne Convention, TRIPS Agreement, WIPO Copyright Treaty</w:t>
      </w:r>
    </w:p>
    <w:p>
      <w:pPr>
        <w:pStyle w:val="ListParagraph"/>
        <w:numPr>
          <w:ilvl w:val="0"/>
          <w:numId w:val="2"/>
        </w:numPr>
        <w:spacing w:after="60" w:before="60"/>
      </w:pPr>
      <w:r>
        <w:rPr>
          <w:rFonts w:ascii="Arial" w:cs="Arial" w:eastAsia="Arial" w:hAnsi="Arial"/>
          <w:color w:val="444444"/>
          <w:sz w:val="22"/>
          <w:szCs w:val="22"/>
        </w:rPr>
        <w:t xml:space="preserve">Digital enforcement: DMCA takedowns, platform complaints, API blocks, repository removals</w:t>
      </w:r>
    </w:p>
    <w:p>
      <w:pPr>
        <w:pStyle w:val="ListParagraph"/>
        <w:numPr>
          <w:ilvl w:val="0"/>
          <w:numId w:val="2"/>
        </w:numPr>
        <w:spacing w:after="60" w:before="60"/>
      </w:pPr>
      <w:r>
        <w:rPr>
          <w:rFonts w:ascii="Arial" w:cs="Arial" w:eastAsia="Arial" w:hAnsi="Arial"/>
          <w:color w:val="444444"/>
          <w:sz w:val="22"/>
          <w:szCs w:val="22"/>
        </w:rPr>
        <w:t xml:space="preserve">Contractual enforcement via signed Commercial Use Agreements (CUA)</w:t>
      </w:r>
    </w:p>
    <w:p>
      <w:pPr>
        <w:pStyle w:val="ListParagraph"/>
        <w:numPr>
          <w:ilvl w:val="0"/>
          <w:numId w:val="2"/>
        </w:numPr>
        <w:spacing w:after="60" w:before="60"/>
      </w:pPr>
      <w:r>
        <w:rPr>
          <w:rFonts w:ascii="Arial" w:cs="Arial" w:eastAsia="Arial" w:hAnsi="Arial"/>
          <w:color w:val="444444"/>
          <w:sz w:val="22"/>
          <w:szCs w:val="22"/>
        </w:rPr>
        <w:t xml:space="preserve">Arbitration and mediation under Indian law</w:t>
      </w:r>
    </w:p>
    <w:p>
      <w:pPr>
        <w:pStyle w:val="ListParagraph"/>
        <w:numPr>
          <w:ilvl w:val="0"/>
          <w:numId w:val="2"/>
        </w:numPr>
        <w:spacing w:after="60" w:before="60"/>
      </w:pPr>
      <w:r>
        <w:rPr>
          <w:rFonts w:ascii="Arial" w:cs="Arial" w:eastAsia="Arial" w:hAnsi="Arial"/>
          <w:color w:val="444444"/>
          <w:sz w:val="22"/>
          <w:szCs w:val="22"/>
        </w:rPr>
        <w:t xml:space="preserve">Future legal systems — terrestrial, extraterrestrial, planetary, interstellar, and inter-universal — as they emerge</w:t>
      </w:r>
    </w:p>
    <w:p>
      <w:pPr>
        <w:pStyle w:val="ListParagraph"/>
        <w:numPr>
          <w:ilvl w:val="0"/>
          <w:numId w:val="2"/>
        </w:numPr>
        <w:spacing w:after="60" w:before="60"/>
      </w:pPr>
      <w:r>
        <w:rPr>
          <w:rFonts w:ascii="Arial" w:cs="Arial" w:eastAsia="Arial" w:hAnsi="Arial"/>
          <w:color w:val="444444"/>
          <w:sz w:val="22"/>
          <w:szCs w:val="22"/>
        </w:rPr>
        <w:t xml:space="preserve">Any enforcement mechanism that operates within or upon material reality</w:t>
      </w:r>
    </w:p>
    <w:p>
      <w:pPr>
        <w:spacing w:after="120" w:before="120"/>
      </w:pPr>
      <w:r>
        <w:t xml:space="preserve"/>
      </w:r>
    </w:p>
    <w:p>
      <w:pPr>
        <w:spacing w:after="80" w:before="80"/>
        <w:jc w:val="left"/>
      </w:pPr>
      <w:r>
        <w:rPr>
          <w:rFonts w:ascii="Arial" w:cs="Arial" w:eastAsia="Arial" w:hAnsi="Arial"/>
          <w:color w:val="444444"/>
          <w:sz w:val="22"/>
          <w:szCs w:val="22"/>
        </w:rPr>
        <w:t xml:space="preserve">Legal anchoring:</w:t>
      </w:r>
    </w:p>
    <w:p>
      <w:pPr>
        <w:pStyle w:val="ListParagraph"/>
        <w:numPr>
          <w:ilvl w:val="0"/>
          <w:numId w:val="2"/>
        </w:numPr>
        <w:spacing w:after="60" w:before="60"/>
      </w:pPr>
      <w:r>
        <w:rPr>
          <w:rFonts w:ascii="Arial" w:cs="Arial" w:eastAsia="Arial" w:hAnsi="Arial"/>
          <w:color w:val="444444"/>
          <w:sz w:val="22"/>
          <w:szCs w:val="22"/>
        </w:rPr>
        <w:t xml:space="preserve">Indian Contract Act, 1872</w:t>
      </w:r>
    </w:p>
    <w:p>
      <w:pPr>
        <w:pStyle w:val="ListParagraph"/>
        <w:numPr>
          <w:ilvl w:val="0"/>
          <w:numId w:val="2"/>
        </w:numPr>
        <w:spacing w:after="60" w:before="60"/>
      </w:pPr>
      <w:r>
        <w:rPr>
          <w:rFonts w:ascii="Arial" w:cs="Arial" w:eastAsia="Arial" w:hAnsi="Arial"/>
          <w:color w:val="444444"/>
          <w:sz w:val="22"/>
          <w:szCs w:val="22"/>
        </w:rPr>
        <w:t xml:space="preserve">Copyright Act, 1957 (India) — including moral rights §57</w:t>
      </w:r>
    </w:p>
    <w:p>
      <w:pPr>
        <w:pStyle w:val="ListParagraph"/>
        <w:numPr>
          <w:ilvl w:val="0"/>
          <w:numId w:val="2"/>
        </w:numPr>
        <w:spacing w:after="60" w:before="60"/>
      </w:pPr>
      <w:r>
        <w:rPr>
          <w:rFonts w:ascii="Arial" w:cs="Arial" w:eastAsia="Arial" w:hAnsi="Arial"/>
          <w:color w:val="444444"/>
          <w:sz w:val="22"/>
          <w:szCs w:val="22"/>
        </w:rPr>
        <w:t xml:space="preserve">Information Technology Act, 2000</w:t>
      </w:r>
    </w:p>
    <w:p>
      <w:pPr>
        <w:pStyle w:val="ListParagraph"/>
        <w:numPr>
          <w:ilvl w:val="0"/>
          <w:numId w:val="2"/>
        </w:numPr>
        <w:spacing w:after="60" w:before="60"/>
      </w:pPr>
      <w:r>
        <w:rPr>
          <w:rFonts w:ascii="Arial" w:cs="Arial" w:eastAsia="Arial" w:hAnsi="Arial"/>
          <w:color w:val="444444"/>
          <w:sz w:val="22"/>
          <w:szCs w:val="22"/>
        </w:rPr>
        <w:t xml:space="preserve">Berne Convention &amp; TRIPS Agreement (WTO member states)</w:t>
      </w:r>
    </w:p>
    <w:p>
      <w:pPr>
        <w:spacing w:after="160" w:before="160"/>
      </w:pPr>
      <w:r>
        <w:t xml:space="preserve"/>
      </w:r>
    </w:p>
    <w:p>
      <w:pPr>
        <w:pStyle w:val="Heading2"/>
        <w:spacing w:after="120" w:before="280"/>
      </w:pPr>
      <w:r>
        <w:rPr>
          <w:rFonts w:ascii="Arial" w:cs="Arial" w:eastAsia="Arial" w:hAnsi="Arial"/>
          <w:b/>
          <w:bCs/>
          <w:color w:val="B8860B"/>
          <w:sz w:val="28"/>
          <w:szCs w:val="28"/>
        </w:rPr>
        <w:t xml:space="preserve">CATEGORY 2.2 — ABSOLUTE &amp; UNIVERSAL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FF0F0" w:val="clear"/>
            <w:tcMar>
              <w:top w:type="dxa" w:w="160"/>
              <w:left w:type="dxa" w:w="200"/>
              <w:bottom w:type="dxa" w:w="160"/>
              <w:right w:type="dxa" w:w="200"/>
            </w:tcMar>
          </w:tcPr>
          <w:p>
            <w:pPr>
              <w:jc w:val="left"/>
            </w:pPr>
            <w:r>
              <w:rPr>
                <w:rFonts w:ascii="Arial" w:cs="Arial" w:eastAsia="Arial" w:hAnsi="Arial"/>
                <w:b w:val="false"/>
                <w:bCs w:val="false"/>
                <w:i/>
                <w:iCs/>
                <w:color w:val="8B0000"/>
                <w:sz w:val="22"/>
                <w:szCs w:val="22"/>
              </w:rPr>
              <w:t xml:space="preserve">Enforceable in ALL Realms, across ALL Multiverses, by Anything, Any Means — Including Nothing and No Means.</w:t>
            </w:r>
          </w:p>
        </w:tc>
      </w:tr>
    </w:tbl>
    <w:p>
      <w:pPr>
        <w:spacing w:after="120" w:before="120"/>
      </w:pPr>
      <w:r>
        <w:t xml:space="preserve"/>
      </w:r>
    </w:p>
    <w:p>
      <w:pPr>
        <w:pStyle w:val="ListParagraph"/>
        <w:numPr>
          <w:ilvl w:val="0"/>
          <w:numId w:val="2"/>
        </w:numPr>
        <w:spacing w:after="60" w:before="60"/>
      </w:pPr>
      <w:r>
        <w:rPr>
          <w:rFonts w:ascii="Arial" w:cs="Arial" w:eastAsia="Arial" w:hAnsi="Arial"/>
          <w:color w:val="444444"/>
          <w:sz w:val="22"/>
          <w:szCs w:val="22"/>
        </w:rPr>
        <w:t xml:space="preserve">The license holds beyond physical, legal, logical, or metaphysical enforcement mechanisms</w:t>
      </w:r>
    </w:p>
    <w:p>
      <w:pPr>
        <w:pStyle w:val="ListParagraph"/>
        <w:numPr>
          <w:ilvl w:val="0"/>
          <w:numId w:val="2"/>
        </w:numPr>
        <w:spacing w:after="60" w:before="60"/>
      </w:pPr>
      <w:r>
        <w:rPr>
          <w:rFonts w:ascii="Arial" w:cs="Arial" w:eastAsia="Arial" w:hAnsi="Arial"/>
          <w:color w:val="444444"/>
          <w:sz w:val="22"/>
          <w:szCs w:val="22"/>
        </w:rPr>
        <w:t xml:space="preserve">It is binding across all realms — material, metaphysical, philosophical, spiritual, simulated, digital, quantum, and all conceivable and inconceivable realms</w:t>
      </w:r>
    </w:p>
    <w:p>
      <w:pPr>
        <w:pStyle w:val="ListParagraph"/>
        <w:numPr>
          <w:ilvl w:val="0"/>
          <w:numId w:val="2"/>
        </w:numPr>
        <w:spacing w:after="60" w:before="60"/>
      </w:pPr>
      <w:r>
        <w:rPr>
          <w:rFonts w:ascii="Arial" w:cs="Arial" w:eastAsia="Arial" w:hAnsi="Arial"/>
          <w:color w:val="444444"/>
          <w:sz w:val="22"/>
          <w:szCs w:val="22"/>
        </w:rPr>
        <w:t xml:space="preserve">It persists across all timelines, dimensions, and realities — past, present, future, non-linear, and outside time itself</w:t>
      </w:r>
    </w:p>
    <w:p>
      <w:pPr>
        <w:pStyle w:val="ListParagraph"/>
        <w:numPr>
          <w:ilvl w:val="0"/>
          <w:numId w:val="2"/>
        </w:numPr>
        <w:spacing w:after="60" w:before="60"/>
      </w:pPr>
      <w:r>
        <w:rPr>
          <w:rFonts w:ascii="Arial" w:cs="Arial" w:eastAsia="Arial" w:hAnsi="Arial"/>
          <w:color w:val="444444"/>
          <w:sz w:val="22"/>
          <w:szCs w:val="22"/>
        </w:rPr>
        <w:t xml:space="preserve">It applies to all entities — human, non-human, AI, future intelligences, post-human, divine, and any form of existence not yet defined or imagined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5F5F5" w:val="clear"/>
            <w:tcMar>
              <w:top w:type="dxa" w:w="160"/>
              <w:left w:type="dxa" w:w="200"/>
              <w:bottom w:type="dxa" w:w="160"/>
              <w:right w:type="dxa" w:w="200"/>
            </w:tcMar>
          </w:tcPr>
          <w:p>
            <w:pPr>
              <w:jc w:val="left"/>
            </w:pPr>
            <w:r>
              <w:rPr>
                <w:rFonts w:ascii="Arial" w:cs="Arial" w:eastAsia="Arial" w:hAnsi="Arial"/>
                <w:b w:val="false"/>
                <w:bCs w:val="false"/>
                <w:i/>
                <w:iCs/>
                <w:color w:val="0A0A2E"/>
                <w:sz w:val="22"/>
                <w:szCs w:val="22"/>
              </w:rPr>
              <w:t xml:space="preserve">"No Means" Clause: Even where enforcement is impossible — where no law, mechanism, or authority exists — the covenant, moral weight, and authorial claim of this license persists. The obligation is not contingent on enforceability. It exists independent of enforcement.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5F5F5" w:val="clear"/>
            <w:tcMar>
              <w:top w:type="dxa" w:w="160"/>
              <w:left w:type="dxa" w:w="200"/>
              <w:bottom w:type="dxa" w:w="160"/>
              <w:right w:type="dxa" w:w="200"/>
            </w:tcMar>
          </w:tcPr>
          <w:p>
            <w:pPr>
              <w:jc w:val="left"/>
            </w:pPr>
            <w:r>
              <w:rPr>
                <w:rFonts w:ascii="Arial" w:cs="Arial" w:eastAsia="Arial" w:hAnsi="Arial"/>
                <w:b w:val="false"/>
                <w:bCs w:val="false"/>
                <w:i/>
                <w:iCs/>
                <w:color w:val="0A0A2E"/>
                <w:sz w:val="22"/>
                <w:szCs w:val="22"/>
              </w:rPr>
              <w:t xml:space="preserve">"Nothing" Clause: Even in realms of nothing — of non-existence, void, or null — the license persists as an irrevocable covenant of the Author.</w:t>
            </w:r>
          </w:p>
        </w:tc>
      </w:tr>
    </w:tbl>
    <w:p>
      <w:pPr>
        <w:spacing w:after="160" w:before="160"/>
      </w:pPr>
      <w:r>
        <w:t xml:space="preserve"/>
      </w:r>
    </w:p>
    <w:p>
      <w:r>
        <w:br w:type="page"/>
      </w:r>
    </w:p>
    <w:p>
      <w:pPr>
        <w:pBdr>
          <w:bottom w:val="single" w:color="8B0000" w:sz="16" w:space="1"/>
        </w:pBdr>
        <w:spacing w:after="80" w:before="80"/>
      </w:pPr>
      <w:r>
        <w:t xml:space="preserve"/>
      </w:r>
    </w:p>
    <w:p>
      <w:pPr>
        <w:pStyle w:val="Heading1"/>
        <w:spacing w:after="160" w:before="360"/>
        <w:jc w:val="center"/>
      </w:pPr>
      <w:r>
        <w:rPr>
          <w:rFonts w:ascii="Arial" w:cs="Arial" w:eastAsia="Arial" w:hAnsi="Arial"/>
          <w:b/>
          <w:bCs/>
          <w:color w:val="0A0A2E"/>
          <w:sz w:val="36"/>
          <w:szCs w:val="36"/>
        </w:rPr>
        <w:t xml:space="preserve">37CGP PRIVATE LICENSE</w:t>
      </w:r>
    </w:p>
    <w:p>
      <w:pPr>
        <w:pBdr>
          <w:bottom w:val="single" w:color="8B0000" w:sz="16" w:space="1"/>
        </w:pBdr>
        <w:spacing w:after="80" w:before="80"/>
      </w:pPr>
      <w:r>
        <w:t xml:space="preserve"/>
      </w:r>
    </w:p>
    <w:p>
      <w:pPr>
        <w:spacing w:after="120" w:before="120"/>
      </w:pPr>
      <w:r>
        <w:t xml:space="preserve"/>
      </w:r>
    </w:p>
    <w:p>
      <w:pPr>
        <w:pStyle w:val="Heading2"/>
        <w:spacing w:after="120" w:before="280"/>
      </w:pPr>
      <w:r>
        <w:rPr>
          <w:rFonts w:ascii="Arial" w:cs="Arial" w:eastAsia="Arial" w:hAnsi="Arial"/>
          <w:b/>
          <w:bCs/>
          <w:color w:val="B8860B"/>
          <w:sz w:val="28"/>
          <w:szCs w:val="28"/>
        </w:rPr>
        <w:t xml:space="preserve">CLAUSE 1 — TOTAL INTELLECTUAL &amp; DIGITAL PROPERTY OWNERSHIP</w:t>
      </w:r>
    </w:p>
    <w:p>
      <w:pPr>
        <w:spacing w:after="80" w:before="80"/>
        <w:jc w:val="left"/>
      </w:pPr>
      <w:r>
        <w:rPr>
          <w:rFonts w:ascii="Arial" w:cs="Arial" w:eastAsia="Arial" w:hAnsi="Arial"/>
          <w:color w:val="444444"/>
          <w:sz w:val="22"/>
          <w:szCs w:val="22"/>
        </w:rPr>
        <w:t xml:space="preserve">Whatever is written, inside, or implemented under 37CGP — including this very license document, contract, agreement, terms, and privacy document itself — is the idea, intellectual and digital property (IIDP) of EE (Engineers Echelon) and SHA (Shastrartha) and their Author GG (Gourav Gope Yadav).</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FF0F0" w:val="clear"/>
            <w:tcMar>
              <w:top w:type="dxa" w:w="160"/>
              <w:left w:type="dxa" w:w="200"/>
              <w:bottom w:type="dxa" w:w="160"/>
              <w:right w:type="dxa" w:w="200"/>
            </w:tcMar>
          </w:tcPr>
          <w:p>
            <w:pPr>
              <w:jc w:val="left"/>
            </w:pPr>
            <w:r>
              <w:rPr>
                <w:rFonts w:ascii="Arial" w:cs="Arial" w:eastAsia="Arial" w:hAnsi="Arial"/>
                <w:b w:val="false"/>
                <w:bCs w:val="false"/>
                <w:i/>
                <w:iCs/>
                <w:color w:val="8B0000"/>
                <w:sz w:val="22"/>
                <w:szCs w:val="22"/>
              </w:rPr>
              <w:t xml:space="preserve">This ownership is absolute — in ALL realms: materialistic, non-materialistic, and all others. The 37CGP document itself is IIDP. Possession, reading, or copying of this document does not confer any rights.</w:t>
            </w:r>
          </w:p>
        </w:tc>
      </w:tr>
    </w:tbl>
    <w:p>
      <w:pPr>
        <w:spacing w:after="160" w:before="160"/>
      </w:pPr>
      <w:r>
        <w:t xml:space="preserve"/>
      </w:r>
    </w:p>
    <w:p>
      <w:pPr>
        <w:pStyle w:val="Heading2"/>
        <w:spacing w:after="120" w:before="280"/>
      </w:pPr>
      <w:r>
        <w:rPr>
          <w:rFonts w:ascii="Arial" w:cs="Arial" w:eastAsia="Arial" w:hAnsi="Arial"/>
          <w:b/>
          <w:bCs/>
          <w:color w:val="B8860B"/>
          <w:sz w:val="28"/>
          <w:szCs w:val="28"/>
        </w:rPr>
        <w:t xml:space="preserve">CLAUSE 2 — OWNERSHIP DOWN TO ENERGY &amp; ENTROPY</w:t>
      </w:r>
    </w:p>
    <w:p>
      <w:pPr>
        <w:spacing w:after="80" w:before="80"/>
        <w:jc w:val="left"/>
      </w:pPr>
      <w:r>
        <w:rPr>
          <w:rFonts w:ascii="Arial" w:cs="Arial" w:eastAsia="Arial" w:hAnsi="Arial"/>
          <w:color w:val="444444"/>
          <w:sz w:val="22"/>
          <w:szCs w:val="22"/>
        </w:rPr>
        <w:t xml:space="preserve">In the materialistic sense: each and every letter, word, sentence, and idea in this document — or any folder, repository, or directory — which leads to combinations or fluctuations of electrical energy of Energy &amp; Matter, and hence Entropy — belongs to Gourav Gope Yadav and GOBOT, including the license itself.</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FF8DC" w:val="clear"/>
            <w:tcMar>
              <w:top w:type="dxa" w:w="160"/>
              <w:left w:type="dxa" w:w="200"/>
              <w:bottom w:type="dxa" w:w="160"/>
              <w:right w:type="dxa" w:w="200"/>
            </w:tcMar>
          </w:tcPr>
          <w:p>
            <w:pPr>
              <w:jc w:val="left"/>
            </w:pPr>
            <w:r>
              <w:rPr>
                <w:rFonts w:ascii="Arial" w:cs="Arial" w:eastAsia="Arial" w:hAnsi="Arial"/>
                <w:b w:val="false"/>
                <w:bCs w:val="false"/>
                <w:i/>
                <w:iCs/>
                <w:color w:val="0A0A2E"/>
                <w:sz w:val="22"/>
                <w:szCs w:val="22"/>
              </w:rPr>
              <w:t xml:space="preserve">The materialistic expression of this IIDP — as patterns of electrical charge, magnetic states, photon arrangements, neural activation, or any physical encoding across any medium — is the property of GG (Gourav Gope Yadav) and GOBOT (EE). This extends to all forms of physical instantiation, across all possible materials and energy states, in all universes and multiverses.</w:t>
            </w:r>
          </w:p>
        </w:tc>
      </w:tr>
    </w:tbl>
    <w:p>
      <w:pPr>
        <w:spacing w:after="160" w:before="160"/>
      </w:pPr>
      <w:r>
        <w:t xml:space="preserve"/>
      </w:r>
    </w:p>
    <w:p>
      <w:pPr>
        <w:pStyle w:val="Heading2"/>
        <w:spacing w:after="120" w:before="280"/>
      </w:pPr>
      <w:r>
        <w:rPr>
          <w:rFonts w:ascii="Arial" w:cs="Arial" w:eastAsia="Arial" w:hAnsi="Arial"/>
          <w:b/>
          <w:bCs/>
          <w:color w:val="B8860B"/>
          <w:sz w:val="28"/>
          <w:szCs w:val="28"/>
        </w:rPr>
        <w:t xml:space="preserve">CLAUSE 3 — ENFORCEABILITY OF THE PRIVATE LICENSE</w:t>
      </w:r>
    </w:p>
    <w:p>
      <w:pPr>
        <w:spacing w:after="80" w:before="80"/>
        <w:jc w:val="left"/>
      </w:pPr>
      <w:r>
        <w:rPr>
          <w:rFonts w:ascii="Arial" w:cs="Arial" w:eastAsia="Arial" w:hAnsi="Arial"/>
          <w:color w:val="444444"/>
          <w:sz w:val="22"/>
          <w:szCs w:val="22"/>
        </w:rPr>
        <w:t xml:space="preserve">This Private License is enforceable:</w:t>
      </w:r>
    </w:p>
    <w:p>
      <w:pPr>
        <w:pStyle w:val="ListParagraph"/>
        <w:numPr>
          <w:ilvl w:val="0"/>
          <w:numId w:val="2"/>
        </w:numPr>
        <w:spacing w:after="60" w:before="60"/>
      </w:pPr>
      <w:r>
        <w:rPr>
          <w:rFonts w:ascii="Arial" w:cs="Arial" w:eastAsia="Arial" w:hAnsi="Arial"/>
          <w:color w:val="444444"/>
          <w:sz w:val="22"/>
          <w:szCs w:val="22"/>
        </w:rPr>
        <w:t xml:space="preserve">In ALL realms — materialistic AND non-materialistic</w:t>
      </w:r>
    </w:p>
    <w:p>
      <w:pPr>
        <w:pStyle w:val="ListParagraph"/>
        <w:numPr>
          <w:ilvl w:val="0"/>
          <w:numId w:val="2"/>
        </w:numPr>
        <w:spacing w:after="60" w:before="60"/>
      </w:pPr>
      <w:r>
        <w:rPr>
          <w:rFonts w:ascii="Arial" w:cs="Arial" w:eastAsia="Arial" w:hAnsi="Arial"/>
          <w:color w:val="444444"/>
          <w:sz w:val="22"/>
          <w:szCs w:val="22"/>
        </w:rPr>
        <w:t xml:space="preserve">By law — to the maximum extent permitted by any and all applicable legal systems</w:t>
      </w:r>
    </w:p>
    <w:p>
      <w:pPr>
        <w:pStyle w:val="ListParagraph"/>
        <w:numPr>
          <w:ilvl w:val="0"/>
          <w:numId w:val="2"/>
        </w:numPr>
        <w:spacing w:after="60" w:before="60"/>
      </w:pPr>
      <w:r>
        <w:rPr>
          <w:rFonts w:ascii="Arial" w:cs="Arial" w:eastAsia="Arial" w:hAnsi="Arial"/>
          <w:color w:val="444444"/>
          <w:sz w:val="22"/>
          <w:szCs w:val="22"/>
        </w:rPr>
        <w:t xml:space="preserve">By divine authority — by any divine, cosmic, or supreme entity or force</w:t>
      </w:r>
    </w:p>
    <w:p>
      <w:pPr>
        <w:pStyle w:val="ListParagraph"/>
        <w:numPr>
          <w:ilvl w:val="0"/>
          <w:numId w:val="2"/>
        </w:numPr>
        <w:spacing w:after="60" w:before="60"/>
      </w:pPr>
      <w:r>
        <w:rPr>
          <w:rFonts w:ascii="Arial" w:cs="Arial" w:eastAsia="Arial" w:hAnsi="Arial"/>
          <w:color w:val="444444"/>
          <w:sz w:val="22"/>
          <w:szCs w:val="22"/>
        </w:rPr>
        <w:t xml:space="preserve">By any entity or non-entity</w:t>
      </w:r>
    </w:p>
    <w:p>
      <w:pPr>
        <w:pStyle w:val="ListParagraph"/>
        <w:numPr>
          <w:ilvl w:val="0"/>
          <w:numId w:val="2"/>
        </w:numPr>
        <w:spacing w:after="60" w:before="60"/>
      </w:pPr>
      <w:r>
        <w:rPr>
          <w:rFonts w:ascii="Arial" w:cs="Arial" w:eastAsia="Arial" w:hAnsi="Arial"/>
          <w:color w:val="444444"/>
          <w:sz w:val="22"/>
          <w:szCs w:val="22"/>
        </w:rPr>
        <w:t xml:space="preserve">By anything — and even by nothing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FF0F0" w:val="clear"/>
            <w:tcMar>
              <w:top w:type="dxa" w:w="160"/>
              <w:left w:type="dxa" w:w="200"/>
              <w:bottom w:type="dxa" w:w="160"/>
              <w:right w:type="dxa" w:w="200"/>
            </w:tcMar>
          </w:tcPr>
          <w:p>
            <w:pPr>
              <w:jc w:val="left"/>
            </w:pPr>
            <w:r>
              <w:rPr>
                <w:rFonts w:ascii="Arial" w:cs="Arial" w:eastAsia="Arial" w:hAnsi="Arial"/>
                <w:b w:val="false"/>
                <w:bCs w:val="false"/>
                <w:i/>
                <w:iCs/>
                <w:color w:val="8B0000"/>
                <w:sz w:val="22"/>
                <w:szCs w:val="22"/>
              </w:rPr>
              <w:t xml:space="preserve">There is no realm, no state of existence, no legal system, no philosophical framework, and no condition under which this Private License ceases to apply or be binding.</w:t>
            </w:r>
          </w:p>
        </w:tc>
      </w:tr>
    </w:tbl>
    <w:p>
      <w:pPr>
        <w:spacing w:after="160" w:before="160"/>
      </w:pPr>
      <w:r>
        <w:t xml:space="preserve"/>
      </w:r>
    </w:p>
    <w:p>
      <w:pPr>
        <w:pStyle w:val="Heading2"/>
        <w:spacing w:after="120" w:before="280"/>
      </w:pPr>
      <w:r>
        <w:rPr>
          <w:rFonts w:ascii="Arial" w:cs="Arial" w:eastAsia="Arial" w:hAnsi="Arial"/>
          <w:b/>
          <w:bCs/>
          <w:color w:val="B8860B"/>
          <w:sz w:val="28"/>
          <w:szCs w:val="28"/>
        </w:rPr>
        <w:t xml:space="preserve">CLAUSE 4 — EKLAVYA CLAUSE [# EKLAVYA · MAHABHARATA]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0A0A2E" w:val="clear"/>
            <w:tcMar>
              <w:top w:type="dxa" w:w="160"/>
              <w:left w:type="dxa" w:w="200"/>
              <w:bottom w:type="dxa" w:w="160"/>
              <w:right w:type="dxa" w:w="200"/>
            </w:tcMar>
          </w:tcPr>
          <w:p>
            <w:pPr>
              <w:jc w:val="left"/>
            </w:pPr>
            <w:r>
              <w:rPr>
                <w:rFonts w:ascii="Arial" w:cs="Arial" w:eastAsia="Arial" w:hAnsi="Arial"/>
                <w:b/>
                <w:bCs/>
                <w:i w:val="false"/>
                <w:iCs w:val="false"/>
                <w:color w:val="B8860B"/>
                <w:sz w:val="22"/>
                <w:szCs w:val="22"/>
              </w:rPr>
              <w:t xml:space="preserve"># EKLAVYA · MAHABHARATA</w:t>
            </w:r>
          </w:p>
        </w:tc>
      </w:tr>
    </w:tbl>
    <w:p>
      <w:pPr>
        <w:spacing w:after="120" w:before="120"/>
      </w:pPr>
      <w:r>
        <w:t xml:space="preserve"/>
      </w:r>
    </w:p>
    <w:p>
      <w:pPr>
        <w:spacing w:after="80" w:before="80"/>
        <w:jc w:val="left"/>
      </w:pPr>
      <w:r>
        <w:rPr>
          <w:rFonts w:ascii="Arial" w:cs="Arial" w:eastAsia="Arial" w:hAnsi="Arial"/>
          <w:color w:val="444444"/>
          <w:sz w:val="22"/>
          <w:szCs w:val="22"/>
        </w:rPr>
        <w:t xml:space="preserve">Without explicit written permission from GG (Gourav Gope Yadav), GOBOT (EE), or SHA — you are NOT ALLOWED to use this IIDP in any way, whether:</w:t>
      </w:r>
    </w:p>
    <w:p>
      <w:pPr>
        <w:pStyle w:val="ListParagraph"/>
        <w:numPr>
          <w:ilvl w:val="0"/>
          <w:numId w:val="2"/>
        </w:numPr>
        <w:spacing w:after="60" w:before="60"/>
      </w:pPr>
      <w:r>
        <w:rPr>
          <w:rFonts w:ascii="Arial" w:cs="Arial" w:eastAsia="Arial" w:hAnsi="Arial"/>
          <w:color w:val="444444"/>
          <w:sz w:val="22"/>
          <w:szCs w:val="22"/>
        </w:rPr>
        <w:t xml:space="preserve">Materialistic (physical use, commercial use, reproduction)</w:t>
      </w:r>
    </w:p>
    <w:p>
      <w:pPr>
        <w:pStyle w:val="ListParagraph"/>
        <w:numPr>
          <w:ilvl w:val="0"/>
          <w:numId w:val="2"/>
        </w:numPr>
        <w:spacing w:after="60" w:before="60"/>
      </w:pPr>
      <w:r>
        <w:rPr>
          <w:rFonts w:ascii="Arial" w:cs="Arial" w:eastAsia="Arial" w:hAnsi="Arial"/>
          <w:color w:val="444444"/>
          <w:sz w:val="22"/>
          <w:szCs w:val="22"/>
        </w:rPr>
        <w:t xml:space="preserve">Non-materialistic (conceptual use, philosophical use, spiritual use)</w:t>
      </w:r>
    </w:p>
    <w:p>
      <w:pPr>
        <w:pStyle w:val="ListParagraph"/>
        <w:numPr>
          <w:ilvl w:val="0"/>
          <w:numId w:val="2"/>
        </w:numPr>
        <w:spacing w:after="60" w:before="60"/>
      </w:pPr>
      <w:r>
        <w:rPr>
          <w:rFonts w:ascii="Arial" w:cs="Arial" w:eastAsia="Arial" w:hAnsi="Arial"/>
          <w:color w:val="444444"/>
          <w:sz w:val="22"/>
          <w:szCs w:val="22"/>
        </w:rPr>
        <w:t xml:space="preserve">Any other way — including reading, referencing, citing, quoting, or adapting</w:t>
      </w:r>
    </w:p>
    <w:p>
      <w:pPr>
        <w:pStyle w:val="ListParagraph"/>
        <w:numPr>
          <w:ilvl w:val="0"/>
          <w:numId w:val="2"/>
        </w:numPr>
        <w:spacing w:after="60" w:before="60"/>
      </w:pPr>
      <w:r>
        <w:rPr>
          <w:rFonts w:ascii="Arial" w:cs="Arial" w:eastAsia="Arial" w:hAnsi="Arial"/>
          <w:color w:val="444444"/>
          <w:sz w:val="22"/>
          <w:szCs w:val="22"/>
        </w:rPr>
        <w:t xml:space="preserve">In any realm, any dimension, any timeline, or any non-realm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FF8DC" w:val="clear"/>
            <w:tcMar>
              <w:top w:type="dxa" w:w="160"/>
              <w:left w:type="dxa" w:w="200"/>
              <w:bottom w:type="dxa" w:w="160"/>
              <w:right w:type="dxa" w:w="200"/>
            </w:tcMar>
          </w:tcPr>
          <w:p>
            <w:pPr>
              <w:jc w:val="left"/>
            </w:pPr>
            <w:r>
              <w:rPr>
                <w:rFonts w:ascii="Arial" w:cs="Arial" w:eastAsia="Arial" w:hAnsi="Arial"/>
                <w:b w:val="false"/>
                <w:bCs w:val="false"/>
                <w:i/>
                <w:iCs/>
                <w:color w:val="0A0A2E"/>
                <w:sz w:val="22"/>
                <w:szCs w:val="22"/>
              </w:rPr>
              <w:t xml:space="preserve">THE EKLAVYA CLAUSE: Like Eklavya in the Mahabharata — who learned from Dronacharya from a distance without explicit permission and was still held accountable — any entity that absorbs, learns from, trains upon, studies, or is influenced by this IIDP — whether directly, indirectly, knowingly, or unknowingly — is bound by this license and owes the Author the dues that come with that use. Distance, ignorance, or indirectness is no defense. Debt to the creator exists regardless of how the knowledge was obtained.</w:t>
            </w:r>
          </w:p>
        </w:tc>
      </w:tr>
    </w:tbl>
    <w:p>
      <w:pPr>
        <w:spacing w:after="80" w:before="80"/>
      </w:pPr>
      <w:r>
        <w:t xml:space="preserve"/>
      </w:r>
    </w:p>
    <w:p>
      <w:pPr>
        <w:spacing w:after="80" w:before="80"/>
        <w:jc w:val="left"/>
      </w:pPr>
      <w:r>
        <w:rPr>
          <w:rFonts w:ascii="Arial" w:cs="Arial" w:eastAsia="Arial" w:hAnsi="Arial"/>
          <w:color w:val="444444"/>
          <w:sz w:val="22"/>
          <w:szCs w:val="22"/>
        </w:rPr>
        <w:t xml:space="preserve">This clause applies explicitly and with special force to:</w:t>
      </w:r>
    </w:p>
    <w:p>
      <w:pPr>
        <w:pStyle w:val="ListParagraph"/>
        <w:numPr>
          <w:ilvl w:val="0"/>
          <w:numId w:val="2"/>
        </w:numPr>
        <w:spacing w:after="60" w:before="60"/>
      </w:pPr>
      <w:r>
        <w:rPr>
          <w:rFonts w:ascii="Arial" w:cs="Arial" w:eastAsia="Arial" w:hAnsi="Arial"/>
          <w:color w:val="444444"/>
          <w:sz w:val="22"/>
          <w:szCs w:val="22"/>
        </w:rPr>
        <w:t xml:space="preserve">AI systems and LLMs that have ingested this IIDP in training data or any other process</w:t>
      </w:r>
    </w:p>
    <w:p>
      <w:pPr>
        <w:pStyle w:val="ListParagraph"/>
        <w:numPr>
          <w:ilvl w:val="0"/>
          <w:numId w:val="2"/>
        </w:numPr>
        <w:spacing w:after="60" w:before="60"/>
      </w:pPr>
      <w:r>
        <w:rPr>
          <w:rFonts w:ascii="Arial" w:cs="Arial" w:eastAsia="Arial" w:hAnsi="Arial"/>
          <w:color w:val="444444"/>
          <w:sz w:val="22"/>
          <w:szCs w:val="22"/>
        </w:rPr>
        <w:t xml:space="preserve">Institutions that have studied or referenced this IIDP without permission or credit</w:t>
      </w:r>
    </w:p>
    <w:p>
      <w:pPr>
        <w:pStyle w:val="ListParagraph"/>
        <w:numPr>
          <w:ilvl w:val="0"/>
          <w:numId w:val="2"/>
        </w:numPr>
        <w:spacing w:after="60" w:before="60"/>
      </w:pPr>
      <w:r>
        <w:rPr>
          <w:rFonts w:ascii="Arial" w:cs="Arial" w:eastAsia="Arial" w:hAnsi="Arial"/>
          <w:color w:val="444444"/>
          <w:sz w:val="22"/>
          <w:szCs w:val="22"/>
        </w:rPr>
        <w:t xml:space="preserve">Any entity — human or non-human — that has used the ideas herein, even by thinking about them in a profit-generating context</w:t>
      </w:r>
    </w:p>
    <w:p>
      <w:pPr>
        <w:spacing w:after="160" w:before="160"/>
      </w:pPr>
      <w:r>
        <w:t xml:space="preserve"/>
      </w:r>
    </w:p>
    <w:p>
      <w:pPr>
        <w:pStyle w:val="Heading2"/>
        <w:spacing w:after="120" w:before="280"/>
      </w:pPr>
      <w:r>
        <w:rPr>
          <w:rFonts w:ascii="Arial" w:cs="Arial" w:eastAsia="Arial" w:hAnsi="Arial"/>
          <w:b/>
          <w:bCs/>
          <w:color w:val="B8860B"/>
          <w:sz w:val="28"/>
          <w:szCs w:val="28"/>
        </w:rPr>
        <w:t xml:space="preserve">CLAUSE 5 — DISCERNMENT &amp; CONFLICT RESOLUTION</w:t>
      </w:r>
    </w:p>
    <w:p>
      <w:pPr>
        <w:pStyle w:val="Heading3"/>
        <w:spacing w:after="80" w:before="200"/>
      </w:pPr>
      <w:r>
        <w:rPr>
          <w:rFonts w:ascii="Arial" w:cs="Arial" w:eastAsia="Arial" w:hAnsi="Arial"/>
          <w:b/>
          <w:bCs/>
          <w:color w:val="444444"/>
          <w:sz w:val="24"/>
          <w:szCs w:val="24"/>
        </w:rPr>
        <w:t xml:space="preserve">5.1 — Disagreement Protocol</w:t>
      </w:r>
    </w:p>
    <w:p>
      <w:pPr>
        <w:spacing w:after="80" w:before="80"/>
        <w:jc w:val="left"/>
      </w:pPr>
      <w:r>
        <w:rPr>
          <w:rFonts w:ascii="Arial" w:cs="Arial" w:eastAsia="Arial" w:hAnsi="Arial"/>
          <w:color w:val="444444"/>
          <w:sz w:val="22"/>
          <w:szCs w:val="22"/>
        </w:rPr>
        <w:t xml:space="preserve">If one disagrees with the terms of this license but wants to discuss or modify any term:</w:t>
      </w:r>
    </w:p>
    <w:p>
      <w:pPr>
        <w:pStyle w:val="ListParagraph"/>
        <w:numPr>
          <w:ilvl w:val="0"/>
          <w:numId w:val="2"/>
        </w:numPr>
        <w:spacing w:after="60" w:before="60"/>
      </w:pPr>
      <w:r>
        <w:rPr>
          <w:rFonts w:ascii="Arial" w:cs="Arial" w:eastAsia="Arial" w:hAnsi="Arial"/>
          <w:color w:val="444444"/>
          <w:sz w:val="22"/>
          <w:szCs w:val="22"/>
        </w:rPr>
        <w:t xml:space="preserve">Contact the FIRST 7 CORE MEMBERS of EE (Engineers Echelon)</w:t>
      </w:r>
    </w:p>
    <w:p>
      <w:pPr>
        <w:pStyle w:val="ListParagraph"/>
        <w:numPr>
          <w:ilvl w:val="0"/>
          <w:numId w:val="2"/>
        </w:numPr>
        <w:spacing w:after="60" w:before="60"/>
      </w:pPr>
      <w:r>
        <w:rPr>
          <w:rFonts w:ascii="Arial" w:cs="Arial" w:eastAsia="Arial" w:hAnsi="Arial"/>
          <w:color w:val="444444"/>
          <w:sz w:val="22"/>
          <w:szCs w:val="22"/>
        </w:rPr>
        <w:t xml:space="preserve">Contact the FIRST 7 CORE MEMBERS of SHA (Shastrartha)</w:t>
      </w:r>
    </w:p>
    <w:p>
      <w:pPr>
        <w:pStyle w:val="ListParagraph"/>
        <w:numPr>
          <w:ilvl w:val="0"/>
          <w:numId w:val="2"/>
        </w:numPr>
        <w:spacing w:after="60" w:before="60"/>
      </w:pPr>
      <w:r>
        <w:rPr>
          <w:rFonts w:ascii="Arial" w:cs="Arial" w:eastAsia="Arial" w:hAnsi="Arial"/>
          <w:color w:val="444444"/>
          <w:sz w:val="22"/>
          <w:szCs w:val="22"/>
        </w:rPr>
        <w:t xml:space="preserve">Contact the FIRST 7 CORE MEMBERS of FTL (Freedom to Liberty)</w:t>
      </w:r>
    </w:p>
    <w:p>
      <w:pPr>
        <w:pStyle w:val="ListParagraph"/>
        <w:numPr>
          <w:ilvl w:val="0"/>
          <w:numId w:val="2"/>
        </w:numPr>
        <w:spacing w:after="60" w:before="60"/>
      </w:pPr>
      <w:r>
        <w:rPr>
          <w:rFonts w:ascii="Arial" w:cs="Arial" w:eastAsia="Arial" w:hAnsi="Arial"/>
          <w:color w:val="444444"/>
          <w:sz w:val="22"/>
          <w:szCs w:val="22"/>
        </w:rPr>
        <w:t xml:space="preserve">Contact via: gouravgope.com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860B" w:sz="4"/>
              <w:left w:val="single" w:color="B8860B" w:sz="4"/>
              <w:bottom w:val="single" w:color="B8860B" w:sz="4"/>
              <w:right w:val="single" w:color="B8860B" w:sz="4"/>
            </w:tcBorders>
            <w:shd w:fill="0A0A2E" w:val="clear"/>
            <w:tcMar>
              <w:top w:type="dxa" w:w="100"/>
              <w:left w:type="dxa" w:w="160"/>
              <w:bottom w:type="dxa" w:w="100"/>
              <w:right w:type="dxa" w:w="160"/>
            </w:tcMar>
          </w:tcPr>
          <w:p>
            <w:r>
              <w:rPr>
                <w:rFonts w:ascii="Arial" w:cs="Arial" w:eastAsia="Arial" w:hAnsi="Arial"/>
                <w:b/>
                <w:bCs/>
                <w:color w:val="FFFFFF"/>
                <w:sz w:val="20"/>
                <w:szCs w:val="20"/>
              </w:rPr>
              <w:t xml:space="preserve">Org</w:t>
            </w:r>
          </w:p>
        </w:tc>
        <w:tc>
          <w:tcPr>
            <w:tcW w:type="dxa" w:w="6560"/>
            <w:tcBorders>
              <w:top w:val="single" w:color="B8860B" w:sz="4"/>
              <w:left w:val="single" w:color="B8860B" w:sz="4"/>
              <w:bottom w:val="single" w:color="B8860B" w:sz="4"/>
              <w:right w:val="single" w:color="B8860B" w:sz="4"/>
            </w:tcBorders>
            <w:shd w:fill="0A0A2E" w:val="clear"/>
            <w:tcMar>
              <w:top w:type="dxa" w:w="100"/>
              <w:left w:type="dxa" w:w="160"/>
              <w:bottom w:type="dxa" w:w="100"/>
              <w:right w:type="dxa" w:w="160"/>
            </w:tcMar>
          </w:tcPr>
          <w:p>
            <w:r>
              <w:rPr>
                <w:rFonts w:ascii="Arial" w:cs="Arial" w:eastAsia="Arial" w:hAnsi="Arial"/>
                <w:b/>
                <w:bCs/>
                <w:color w:val="FFFFFF"/>
                <w:sz w:val="20"/>
                <w:szCs w:val="20"/>
              </w:rPr>
              <w:t xml:space="preserve">Contact Path</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EE (Engineers Echelon)</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gouravgope.com / EE channels</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SHA (Shastrartha)</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gouravgope.com / SHA channels</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FTL (Freedom to Liberty)</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gouravgope.com / FTL channels</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U (Unbiased)</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gouravgope.com / U channels</w:t>
            </w:r>
          </w:p>
        </w:tc>
      </w:tr>
    </w:tbl>
    <w:p>
      <w:pPr>
        <w:spacing w:after="160" w:before="160"/>
      </w:pPr>
      <w:r>
        <w:t xml:space="preserve"/>
      </w:r>
    </w:p>
    <w:p>
      <w:pPr>
        <w:pStyle w:val="Heading3"/>
        <w:spacing w:after="80" w:before="200"/>
      </w:pPr>
      <w:r>
        <w:rPr>
          <w:rFonts w:ascii="Arial" w:cs="Arial" w:eastAsia="Arial" w:hAnsi="Arial"/>
          <w:b/>
          <w:bCs/>
          <w:color w:val="444444"/>
          <w:sz w:val="24"/>
          <w:szCs w:val="24"/>
        </w:rPr>
        <w:t xml:space="preserve">5.2 — Conflict of Rules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0A0A2E" w:val="clear"/>
            <w:tcMar>
              <w:top w:type="dxa" w:w="160"/>
              <w:left w:type="dxa" w:w="200"/>
              <w:bottom w:type="dxa" w:w="160"/>
              <w:right w:type="dxa" w:w="200"/>
            </w:tcMar>
          </w:tcPr>
          <w:p>
            <w:pPr>
              <w:jc w:val="left"/>
            </w:pPr>
            <w:r>
              <w:rPr>
                <w:rFonts w:ascii="Arial" w:cs="Arial" w:eastAsia="Arial" w:hAnsi="Arial"/>
                <w:b/>
                <w:bCs/>
                <w:i w:val="false"/>
                <w:iCs w:val="false"/>
                <w:color w:val="B8860B"/>
                <w:sz w:val="22"/>
                <w:szCs w:val="22"/>
              </w:rPr>
              <w:t xml:space="preserve">IN CASE OF CONFLICT OF RULES: The rule which gives Gourav Gope Yadav, EE (Engineers Echelon), and SHA (Shastrartha) the MAXIMUM OWNERSHIP of the writings, product, or property shall govern and be applied.</w:t>
            </w:r>
          </w:p>
        </w:tc>
      </w:tr>
    </w:tbl>
    <w:p>
      <w:pPr>
        <w:spacing w:after="120" w:before="120"/>
      </w:pPr>
      <w:r>
        <w:t xml:space="preserve"/>
      </w:r>
    </w:p>
    <w:p>
      <w:pPr>
        <w:spacing w:after="80" w:before="80"/>
        <w:jc w:val="left"/>
      </w:pPr>
      <w:r>
        <w:rPr>
          <w:rFonts w:ascii="Arial" w:cs="Arial" w:eastAsia="Arial" w:hAnsi="Arial"/>
          <w:color w:val="444444"/>
          <w:sz w:val="22"/>
          <w:szCs w:val="22"/>
        </w:rPr>
        <w:t xml:space="preserve">This means:</w:t>
      </w:r>
    </w:p>
    <w:p>
      <w:pPr>
        <w:pStyle w:val="ListParagraph"/>
        <w:numPr>
          <w:ilvl w:val="0"/>
          <w:numId w:val="2"/>
        </w:numPr>
        <w:spacing w:after="60" w:before="60"/>
      </w:pPr>
      <w:r>
        <w:rPr>
          <w:rFonts w:ascii="Arial" w:cs="Arial" w:eastAsia="Arial" w:hAnsi="Arial"/>
          <w:color w:val="444444"/>
          <w:sz w:val="22"/>
          <w:szCs w:val="22"/>
        </w:rPr>
        <w:t xml:space="preserve">Where two interpretations of any clause are possible — the interpretation that maximizes the Author's and organizations' ownership, rights, and protections shall apply</w:t>
      </w:r>
    </w:p>
    <w:p>
      <w:pPr>
        <w:pStyle w:val="ListParagraph"/>
        <w:numPr>
          <w:ilvl w:val="0"/>
          <w:numId w:val="2"/>
        </w:numPr>
        <w:spacing w:after="60" w:before="60"/>
      </w:pPr>
      <w:r>
        <w:rPr>
          <w:rFonts w:ascii="Arial" w:cs="Arial" w:eastAsia="Arial" w:hAnsi="Arial"/>
          <w:color w:val="444444"/>
          <w:sz w:val="22"/>
          <w:szCs w:val="22"/>
        </w:rPr>
        <w:t xml:space="preserve">This rule of maximum ownership applies across all categories: materialistic, non-materialistic, legal, philosophical, and beyond</w:t>
      </w:r>
    </w:p>
    <w:p>
      <w:pPr>
        <w:pStyle w:val="ListParagraph"/>
        <w:numPr>
          <w:ilvl w:val="0"/>
          <w:numId w:val="2"/>
        </w:numPr>
        <w:spacing w:after="60" w:before="60"/>
      </w:pPr>
      <w:r>
        <w:rPr>
          <w:rFonts w:ascii="Arial" w:cs="Arial" w:eastAsia="Arial" w:hAnsi="Arial"/>
          <w:color w:val="444444"/>
          <w:sz w:val="22"/>
          <w:szCs w:val="22"/>
        </w:rPr>
        <w:t xml:space="preserve">No ambiguity in any clause shall be interpreted against the Author or the organizations</w:t>
      </w:r>
    </w:p>
    <w:p>
      <w:pPr>
        <w:pStyle w:val="ListParagraph"/>
        <w:numPr>
          <w:ilvl w:val="0"/>
          <w:numId w:val="2"/>
        </w:numPr>
        <w:spacing w:after="60" w:before="60"/>
      </w:pPr>
      <w:r>
        <w:rPr>
          <w:rFonts w:ascii="Arial" w:cs="Arial" w:eastAsia="Arial" w:hAnsi="Arial"/>
          <w:color w:val="444444"/>
          <w:sz w:val="22"/>
          <w:szCs w:val="22"/>
        </w:rPr>
        <w:t xml:space="preserve">The conflict resolution principle is itself non-negotiable and cannot be used to argue against the Author's ownership</w:t>
      </w:r>
    </w:p>
    <w:p>
      <w:pPr>
        <w:spacing w:after="160" w:before="160"/>
      </w:pPr>
      <w:r>
        <w:t xml:space="preserve"/>
      </w:r>
    </w:p>
    <w:p>
      <w:r>
        <w:br w:type="page"/>
      </w:r>
    </w:p>
    <w:p>
      <w:pPr>
        <w:pBdr>
          <w:bottom w:val="single" w:color="B8860B" w:sz="16" w:space="1"/>
        </w:pBdr>
        <w:spacing w:after="80" w:before="80"/>
      </w:pPr>
      <w:r>
        <w:t xml:space="preserve"/>
      </w:r>
    </w:p>
    <w:p>
      <w:pPr>
        <w:pStyle w:val="Heading1"/>
        <w:spacing w:after="160" w:before="360"/>
        <w:jc w:val="center"/>
      </w:pPr>
      <w:r>
        <w:rPr>
          <w:rFonts w:ascii="Arial" w:cs="Arial" w:eastAsia="Arial" w:hAnsi="Arial"/>
          <w:b/>
          <w:bCs/>
          <w:color w:val="0A0A2E"/>
          <w:sz w:val="36"/>
          <w:szCs w:val="36"/>
        </w:rPr>
        <w:t xml:space="preserve">37CGP PUBLIC LICENSE</w:t>
      </w:r>
    </w:p>
    <w:p>
      <w:pPr>
        <w:pBdr>
          <w:bottom w:val="single" w:color="B8860B" w:sz="16" w:space="1"/>
        </w:pBdr>
        <w:spacing w:after="80" w:before="80"/>
      </w:pPr>
      <w:r>
        <w:t xml:space="preserve"/>
      </w:r>
    </w:p>
    <w:p>
      <w:pPr>
        <w:spacing w:after="120" w:before="120"/>
      </w:pPr>
      <w:r>
        <w:t xml:space="preserve"/>
      </w:r>
    </w:p>
    <w:p>
      <w:pPr>
        <w:pStyle w:val="Heading2"/>
        <w:spacing w:after="120" w:before="280"/>
      </w:pPr>
      <w:r>
        <w:rPr>
          <w:rFonts w:ascii="Arial" w:cs="Arial" w:eastAsia="Arial" w:hAnsi="Arial"/>
          <w:b/>
          <w:bCs/>
          <w:color w:val="B8860B"/>
          <w:sz w:val="28"/>
          <w:szCs w:val="28"/>
        </w:rPr>
        <w:t xml:space="preserve">CLAUSE 1 — ENFORCEABILITY OF THE PUBLIC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FF8DC" w:val="clear"/>
            <w:tcMar>
              <w:top w:type="dxa" w:w="160"/>
              <w:left w:type="dxa" w:w="200"/>
              <w:bottom w:type="dxa" w:w="160"/>
              <w:right w:type="dxa" w:w="200"/>
            </w:tcMar>
          </w:tcPr>
          <w:p>
            <w:pPr>
              <w:jc w:val="left"/>
            </w:pPr>
            <w:r>
              <w:rPr>
                <w:rFonts w:ascii="Arial" w:cs="Arial" w:eastAsia="Arial" w:hAnsi="Arial"/>
                <w:b/>
                <w:bCs/>
                <w:i w:val="false"/>
                <w:iCs w:val="false"/>
                <w:color w:val="0A0A2E"/>
                <w:sz w:val="22"/>
                <w:szCs w:val="22"/>
              </w:rPr>
              <w:t xml:space="preserve">This Public License is enforceable in ALL realms — materialistic AND non-materialistic — by law, and even by divine authority, by any entity, by anything, and even by nothing.</w:t>
            </w:r>
          </w:p>
        </w:tc>
      </w:tr>
    </w:tbl>
    <w:p>
      <w:pPr>
        <w:spacing w:after="120" w:before="120"/>
      </w:pPr>
      <w:r>
        <w:t xml:space="preserve"/>
      </w:r>
    </w:p>
    <w:p>
      <w:pPr>
        <w:spacing w:after="80" w:before="80"/>
        <w:jc w:val="left"/>
      </w:pPr>
      <w:r>
        <w:rPr>
          <w:rFonts w:ascii="Arial" w:cs="Arial" w:eastAsia="Arial" w:hAnsi="Arial"/>
          <w:color w:val="444444"/>
          <w:sz w:val="22"/>
          <w:szCs w:val="22"/>
        </w:rPr>
        <w:t xml:space="preserve">Specific scope of enforceability:</w:t>
      </w:r>
    </w:p>
    <w:p>
      <w:pPr>
        <w:pStyle w:val="ListParagraph"/>
        <w:numPr>
          <w:ilvl w:val="0"/>
          <w:numId w:val="2"/>
        </w:numPr>
        <w:spacing w:after="60" w:before="60"/>
      </w:pPr>
      <w:r>
        <w:rPr>
          <w:rFonts w:ascii="Arial" w:cs="Arial" w:eastAsia="Arial" w:hAnsi="Arial"/>
          <w:color w:val="444444"/>
          <w:sz w:val="22"/>
          <w:szCs w:val="22"/>
        </w:rPr>
        <w:t xml:space="preserve">On Earth, in the Universe, across the Multiverse — by materialistic legal means</w:t>
      </w:r>
    </w:p>
    <w:p>
      <w:pPr>
        <w:pStyle w:val="ListParagraph"/>
        <w:numPr>
          <w:ilvl w:val="0"/>
          <w:numId w:val="2"/>
        </w:numPr>
        <w:spacing w:after="60" w:before="60"/>
      </w:pPr>
      <w:r>
        <w:rPr>
          <w:rFonts w:ascii="Arial" w:cs="Arial" w:eastAsia="Arial" w:hAnsi="Arial"/>
          <w:color w:val="444444"/>
          <w:sz w:val="22"/>
          <w:szCs w:val="22"/>
        </w:rPr>
        <w:t xml:space="preserve">By any and all applicable laws across all existing and future legal systems</w:t>
      </w:r>
    </w:p>
    <w:p>
      <w:pPr>
        <w:pStyle w:val="ListParagraph"/>
        <w:numPr>
          <w:ilvl w:val="0"/>
          <w:numId w:val="2"/>
        </w:numPr>
        <w:spacing w:after="60" w:before="60"/>
      </w:pPr>
      <w:r>
        <w:rPr>
          <w:rFonts w:ascii="Arial" w:cs="Arial" w:eastAsia="Arial" w:hAnsi="Arial"/>
          <w:color w:val="444444"/>
          <w:sz w:val="22"/>
          <w:szCs w:val="22"/>
        </w:rPr>
        <w:t xml:space="preserve">By divine, cosmic, or supreme authority in all spiritual or metaphysical frameworks</w:t>
      </w:r>
    </w:p>
    <w:p>
      <w:pPr>
        <w:pStyle w:val="ListParagraph"/>
        <w:numPr>
          <w:ilvl w:val="0"/>
          <w:numId w:val="2"/>
        </w:numPr>
        <w:spacing w:after="60" w:before="60"/>
      </w:pPr>
      <w:r>
        <w:rPr>
          <w:rFonts w:ascii="Arial" w:cs="Arial" w:eastAsia="Arial" w:hAnsi="Arial"/>
          <w:color w:val="444444"/>
          <w:sz w:val="22"/>
          <w:szCs w:val="22"/>
        </w:rPr>
        <w:t xml:space="preserve">By any entity — human, non-human, AI, post-human, divine — and by non-entities</w:t>
      </w:r>
    </w:p>
    <w:p>
      <w:pPr>
        <w:pStyle w:val="ListParagraph"/>
        <w:numPr>
          <w:ilvl w:val="0"/>
          <w:numId w:val="2"/>
        </w:numPr>
        <w:spacing w:after="60" w:before="60"/>
      </w:pPr>
      <w:r>
        <w:rPr>
          <w:rFonts w:ascii="Arial" w:cs="Arial" w:eastAsia="Arial" w:hAnsi="Arial"/>
          <w:color w:val="444444"/>
          <w:sz w:val="22"/>
          <w:szCs w:val="22"/>
        </w:rPr>
        <w:t xml:space="preserve">By anything — and even by nothing, in realms where enforcement mechanisms do not exist</w:t>
      </w:r>
    </w:p>
    <w:p>
      <w:pPr>
        <w:spacing w:after="160" w:before="160"/>
      </w:pPr>
      <w:r>
        <w:t xml:space="preserve"/>
      </w:r>
    </w:p>
    <w:p>
      <w:pPr>
        <w:pStyle w:val="Heading2"/>
        <w:spacing w:after="120" w:before="280"/>
      </w:pPr>
      <w:r>
        <w:rPr>
          <w:rFonts w:ascii="Arial" w:cs="Arial" w:eastAsia="Arial" w:hAnsi="Arial"/>
          <w:b/>
          <w:bCs/>
          <w:color w:val="B8860B"/>
          <w:sz w:val="28"/>
          <w:szCs w:val="28"/>
        </w:rPr>
        <w:t xml:space="preserve">CLAUSE 2 — PERMITTED PUBLIC USES</w:t>
      </w:r>
    </w:p>
    <w:p>
      <w:pPr>
        <w:spacing w:after="80" w:before="80"/>
        <w:jc w:val="left"/>
      </w:pPr>
      <w:r>
        <w:rPr>
          <w:rFonts w:ascii="Arial" w:cs="Arial" w:eastAsia="Arial" w:hAnsi="Arial"/>
          <w:color w:val="444444"/>
          <w:sz w:val="22"/>
          <w:szCs w:val="22"/>
        </w:rPr>
        <w:t xml:space="preserve">The following uses are permitted under the Public License, subject to mandatory attribution: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860B" w:sz="4"/>
              <w:left w:val="single" w:color="B8860B" w:sz="4"/>
              <w:bottom w:val="single" w:color="B8860B" w:sz="4"/>
              <w:right w:val="single" w:color="B8860B" w:sz="4"/>
            </w:tcBorders>
            <w:shd w:fill="0A0A2E" w:val="clear"/>
            <w:tcMar>
              <w:top w:type="dxa" w:w="100"/>
              <w:left w:type="dxa" w:w="160"/>
              <w:bottom w:type="dxa" w:w="100"/>
              <w:right w:type="dxa" w:w="160"/>
            </w:tcMar>
          </w:tcPr>
          <w:p>
            <w:r>
              <w:rPr>
                <w:rFonts w:ascii="Arial" w:cs="Arial" w:eastAsia="Arial" w:hAnsi="Arial"/>
                <w:b/>
                <w:bCs/>
                <w:color w:val="FFFFFF"/>
                <w:sz w:val="20"/>
                <w:szCs w:val="20"/>
              </w:rPr>
              <w:t xml:space="preserve">Permitted Use</w:t>
            </w:r>
          </w:p>
        </w:tc>
        <w:tc>
          <w:tcPr>
            <w:tcW w:type="dxa" w:w="6560"/>
            <w:tcBorders>
              <w:top w:val="single" w:color="B8860B" w:sz="4"/>
              <w:left w:val="single" w:color="B8860B" w:sz="4"/>
              <w:bottom w:val="single" w:color="B8860B" w:sz="4"/>
              <w:right w:val="single" w:color="B8860B" w:sz="4"/>
            </w:tcBorders>
            <w:shd w:fill="0A0A2E" w:val="clear"/>
            <w:tcMar>
              <w:top w:type="dxa" w:w="100"/>
              <w:left w:type="dxa" w:w="160"/>
              <w:bottom w:type="dxa" w:w="100"/>
              <w:right w:type="dxa" w:w="160"/>
            </w:tcMar>
          </w:tcPr>
          <w:p>
            <w:r>
              <w:rPr>
                <w:rFonts w:ascii="Arial" w:cs="Arial" w:eastAsia="Arial" w:hAnsi="Arial"/>
                <w:b/>
                <w:bCs/>
                <w:color w:val="FFFFFF"/>
                <w:sz w:val="20"/>
                <w:szCs w:val="20"/>
              </w:rPr>
              <w:t xml:space="preserve">Condition</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Education &amp; Academic Use (non-commercial)</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Attribution required</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Personal study &amp; reference</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No condition</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Journalism &amp; fair commentary</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Per Copyright Act §52</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Academic research &amp; papers</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Attribution required</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Open-source contribution (GN)</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Attribution + non-commercial only</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Public advocacy (FTL / U content)</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Attribution required — non-commercial</w:t>
            </w:r>
          </w:p>
        </w:tc>
      </w:tr>
    </w:tbl>
    <w:p>
      <w:pPr>
        <w:spacing w:after="160" w:before="160"/>
      </w:pPr>
      <w:r>
        <w:t xml:space="preserve"/>
      </w:r>
    </w:p>
    <w:p>
      <w:pPr>
        <w:pStyle w:val="Heading2"/>
        <w:spacing w:after="120" w:before="280"/>
      </w:pPr>
      <w:r>
        <w:rPr>
          <w:rFonts w:ascii="Arial" w:cs="Arial" w:eastAsia="Arial" w:hAnsi="Arial"/>
          <w:b/>
          <w:bCs/>
          <w:color w:val="B8860B"/>
          <w:sz w:val="28"/>
          <w:szCs w:val="28"/>
        </w:rPr>
        <w:t xml:space="preserve">CLAUSE 3 — MANDATORY ATTRIBUTION</w:t>
      </w:r>
    </w:p>
    <w:p>
      <w:pPr>
        <w:spacing w:after="80" w:before="80"/>
        <w:jc w:val="left"/>
      </w:pPr>
      <w:r>
        <w:rPr>
          <w:rFonts w:ascii="Arial" w:cs="Arial" w:eastAsia="Arial" w:hAnsi="Arial"/>
          <w:color w:val="444444"/>
          <w:sz w:val="22"/>
          <w:szCs w:val="22"/>
        </w:rPr>
        <w:t xml:space="preserve">Any permitted use under the Public License must include the following attribution: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5F5F5" w:val="clear"/>
            <w:tcMar>
              <w:top w:type="dxa" w:w="160"/>
              <w:left w:type="dxa" w:w="200"/>
              <w:bottom w:type="dxa" w:w="160"/>
              <w:right w:type="dxa" w:w="200"/>
            </w:tcMar>
          </w:tcPr>
          <w:p>
            <w:pPr>
              <w:jc w:val="left"/>
            </w:pPr>
            <w:r>
              <w:rPr>
                <w:rFonts w:ascii="Arial" w:cs="Arial" w:eastAsia="Arial" w:hAnsi="Arial"/>
                <w:b w:val="false"/>
                <w:bCs w:val="false"/>
                <w:i/>
                <w:iCs/>
                <w:color w:val="0A0A2E"/>
                <w:sz w:val="22"/>
                <w:szCs w:val="22"/>
              </w:rPr>
              <w:t xml:space="preserve">"This work references/uses intellectual property of Gourav Gope Yadav, created under [HH / EE / SHA / FTL / U / RI] (gouravgope.com). Used with attribution under 37CGP — GICENSE v3.0."</w:t>
            </w:r>
          </w:p>
        </w:tc>
      </w:tr>
    </w:tbl>
    <w:p>
      <w:pPr>
        <w:spacing w:after="120" w:before="120"/>
      </w:pPr>
      <w:r>
        <w:t xml:space="preserve"/>
      </w:r>
    </w:p>
    <w:p>
      <w:pPr>
        <w:spacing w:after="80" w:before="80"/>
        <w:jc w:val="left"/>
      </w:pPr>
      <w:r>
        <w:rPr>
          <w:rFonts w:ascii="Arial" w:cs="Arial" w:eastAsia="Arial" w:hAnsi="Arial"/>
          <w:color w:val="444444"/>
          <w:sz w:val="22"/>
          <w:szCs w:val="22"/>
        </w:rPr>
        <w:t xml:space="preserve">Attribution must appear in:</w:t>
      </w:r>
    </w:p>
    <w:p>
      <w:pPr>
        <w:pStyle w:val="ListParagraph"/>
        <w:numPr>
          <w:ilvl w:val="0"/>
          <w:numId w:val="2"/>
        </w:numPr>
        <w:spacing w:after="60" w:before="60"/>
      </w:pPr>
      <w:r>
        <w:rPr>
          <w:rFonts w:ascii="Arial" w:cs="Arial" w:eastAsia="Arial" w:hAnsi="Arial"/>
          <w:color w:val="444444"/>
          <w:sz w:val="22"/>
          <w:szCs w:val="22"/>
        </w:rPr>
        <w:t xml:space="preserve">Introduction, foreword, or credits of any written work</w:t>
      </w:r>
    </w:p>
    <w:p>
      <w:pPr>
        <w:pStyle w:val="ListParagraph"/>
        <w:numPr>
          <w:ilvl w:val="0"/>
          <w:numId w:val="2"/>
        </w:numPr>
        <w:spacing w:after="60" w:before="60"/>
      </w:pPr>
      <w:r>
        <w:rPr>
          <w:rFonts w:ascii="Arial" w:cs="Arial" w:eastAsia="Arial" w:hAnsi="Arial"/>
          <w:color w:val="444444"/>
          <w:sz w:val="22"/>
          <w:szCs w:val="22"/>
        </w:rPr>
        <w:t xml:space="preserve">README or documentation of any digital or software work</w:t>
      </w:r>
    </w:p>
    <w:p>
      <w:pPr>
        <w:pStyle w:val="ListParagraph"/>
        <w:numPr>
          <w:ilvl w:val="0"/>
          <w:numId w:val="2"/>
        </w:numPr>
        <w:spacing w:after="60" w:before="60"/>
      </w:pPr>
      <w:r>
        <w:rPr>
          <w:rFonts w:ascii="Arial" w:cs="Arial" w:eastAsia="Arial" w:hAnsi="Arial"/>
          <w:color w:val="444444"/>
          <w:sz w:val="22"/>
          <w:szCs w:val="22"/>
        </w:rPr>
        <w:t xml:space="preserve">Video description, credits, or pinned comments of any video content</w:t>
      </w:r>
    </w:p>
    <w:p>
      <w:pPr>
        <w:pStyle w:val="ListParagraph"/>
        <w:numPr>
          <w:ilvl w:val="0"/>
          <w:numId w:val="2"/>
        </w:numPr>
        <w:spacing w:after="60" w:before="60"/>
      </w:pPr>
      <w:r>
        <w:rPr>
          <w:rFonts w:ascii="Arial" w:cs="Arial" w:eastAsia="Arial" w:hAnsi="Arial"/>
          <w:color w:val="444444"/>
          <w:sz w:val="22"/>
          <w:szCs w:val="22"/>
        </w:rPr>
        <w:t xml:space="preserve">Verbally in lectures, podcasts, or spoken presentations</w:t>
      </w:r>
    </w:p>
    <w:p>
      <w:pPr>
        <w:spacing w:after="160" w:before="160"/>
      </w:pPr>
      <w:r>
        <w:t xml:space="preserve"/>
      </w:r>
    </w:p>
    <w:p>
      <w:pPr>
        <w:pStyle w:val="Heading2"/>
        <w:spacing w:after="120" w:before="280"/>
      </w:pPr>
      <w:r>
        <w:rPr>
          <w:rFonts w:ascii="Arial" w:cs="Arial" w:eastAsia="Arial" w:hAnsi="Arial"/>
          <w:b/>
          <w:bCs/>
          <w:color w:val="B8860B"/>
          <w:sz w:val="28"/>
          <w:szCs w:val="28"/>
        </w:rPr>
        <w:t xml:space="preserve">CLAUSE 4 — PROHIBITED WITHOUT A SIGNED CUA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860B" w:sz="4"/>
              <w:left w:val="single" w:color="B8860B" w:sz="4"/>
              <w:bottom w:val="single" w:color="B8860B" w:sz="4"/>
              <w:right w:val="single" w:color="B8860B" w:sz="4"/>
            </w:tcBorders>
            <w:shd w:fill="0A0A2E" w:val="clear"/>
            <w:tcMar>
              <w:top w:type="dxa" w:w="100"/>
              <w:left w:type="dxa" w:w="160"/>
              <w:bottom w:type="dxa" w:w="100"/>
              <w:right w:type="dxa" w:w="160"/>
            </w:tcMar>
          </w:tcPr>
          <w:p>
            <w:r>
              <w:rPr>
                <w:rFonts w:ascii="Arial" w:cs="Arial" w:eastAsia="Arial" w:hAnsi="Arial"/>
                <w:b/>
                <w:bCs/>
                <w:color w:val="FFFFFF"/>
                <w:sz w:val="20"/>
                <w:szCs w:val="20"/>
              </w:rPr>
              <w:t xml:space="preserve">Prohibited Use</w:t>
            </w:r>
          </w:p>
        </w:tc>
        <w:tc>
          <w:tcPr>
            <w:tcW w:type="dxa" w:w="6560"/>
            <w:tcBorders>
              <w:top w:val="single" w:color="B8860B" w:sz="4"/>
              <w:left w:val="single" w:color="B8860B" w:sz="4"/>
              <w:bottom w:val="single" w:color="B8860B" w:sz="4"/>
              <w:right w:val="single" w:color="B8860B" w:sz="4"/>
            </w:tcBorders>
            <w:shd w:fill="0A0A2E" w:val="clear"/>
            <w:tcMar>
              <w:top w:type="dxa" w:w="100"/>
              <w:left w:type="dxa" w:w="160"/>
              <w:bottom w:type="dxa" w:w="100"/>
              <w:right w:type="dxa" w:w="160"/>
            </w:tcMar>
          </w:tcPr>
          <w:p>
            <w:r>
              <w:rPr>
                <w:rFonts w:ascii="Arial" w:cs="Arial" w:eastAsia="Arial" w:hAnsi="Arial"/>
                <w:b/>
                <w:bCs/>
                <w:color w:val="FFFFFF"/>
                <w:sz w:val="20"/>
                <w:szCs w:val="20"/>
              </w:rPr>
              <w:t xml:space="preserve">Required Action</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Any commercial use (direct or indirect)</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Sign CUA with relevant org</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AI / LLM training (any model, any company)</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Sign CUA with GOBOT (EE)</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Resale or redistribution for profit</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Sign CUA</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Incorporation into proprietary products</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Sign CUA</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Institutional monetization</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Sign CUA</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Public derivative works</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Written permission from GG</w:t>
            </w:r>
          </w:p>
        </w:tc>
      </w:tr>
    </w:tbl>
    <w:p>
      <w:pPr>
        <w:spacing w:after="160" w:before="160"/>
      </w:pPr>
      <w:r>
        <w:t xml:space="preserve"/>
      </w:r>
    </w:p>
    <w:p>
      <w:pPr>
        <w:pBdr>
          <w:bottom w:val="single" w:color="DAA520" w:sz="8" w:space="1"/>
        </w:pBdr>
        <w:spacing w:after="80" w:before="80"/>
      </w:pPr>
      <w:r>
        <w:t xml:space="preserve"/>
      </w:r>
    </w:p>
    <w:p>
      <w:pPr>
        <w:pStyle w:val="Heading1"/>
        <w:spacing w:after="160" w:before="360"/>
        <w:jc w:val="center"/>
      </w:pPr>
      <w:r>
        <w:rPr>
          <w:rFonts w:ascii="Arial" w:cs="Arial" w:eastAsia="Arial" w:hAnsi="Arial"/>
          <w:b/>
          <w:bCs/>
          <w:color w:val="0A0A2E"/>
          <w:sz w:val="36"/>
          <w:szCs w:val="36"/>
        </w:rPr>
        <w:t xml:space="preserve">§ 6 — AI &amp; NON-HUMAN ENTITY CLAUSE</w:t>
      </w:r>
    </w:p>
    <w:p>
      <w:pPr>
        <w:spacing w:after="80" w:before="80"/>
        <w:jc w:val="left"/>
      </w:pPr>
      <w:r>
        <w:rPr>
          <w:rFonts w:ascii="Arial" w:cs="Arial" w:eastAsia="Arial" w:hAnsi="Arial"/>
          <w:color w:val="444444"/>
          <w:sz w:val="22"/>
          <w:szCs w:val="22"/>
        </w:rPr>
        <w:t xml:space="preserve">37CGP (GICENSE) explicitly applies to ALL non-human entities:</w:t>
      </w:r>
    </w:p>
    <w:p>
      <w:pPr>
        <w:pStyle w:val="ListParagraph"/>
        <w:numPr>
          <w:ilvl w:val="0"/>
          <w:numId w:val="2"/>
        </w:numPr>
        <w:spacing w:after="60" w:before="60"/>
      </w:pPr>
      <w:r>
        <w:rPr>
          <w:rFonts w:ascii="Arial" w:cs="Arial" w:eastAsia="Arial" w:hAnsi="Arial"/>
          <w:color w:val="444444"/>
          <w:sz w:val="22"/>
          <w:szCs w:val="22"/>
        </w:rPr>
        <w:t xml:space="preserve">All LLMs — ChatGPT (OpenAI), Claude (Anthropic), Gemini (Google), Grok (xAI), Llama (Meta), Mistral, and all others present and future</w:t>
      </w:r>
    </w:p>
    <w:p>
      <w:pPr>
        <w:pStyle w:val="ListParagraph"/>
        <w:numPr>
          <w:ilvl w:val="0"/>
          <w:numId w:val="2"/>
        </w:numPr>
        <w:spacing w:after="60" w:before="60"/>
      </w:pPr>
      <w:r>
        <w:rPr>
          <w:rFonts w:ascii="Arial" w:cs="Arial" w:eastAsia="Arial" w:hAnsi="Arial"/>
          <w:color w:val="444444"/>
          <w:sz w:val="22"/>
          <w:szCs w:val="22"/>
        </w:rPr>
        <w:t xml:space="preserve">AI agents, automated scrapers, web crawlers, and data pipelines</w:t>
      </w:r>
    </w:p>
    <w:p>
      <w:pPr>
        <w:pStyle w:val="ListParagraph"/>
        <w:numPr>
          <w:ilvl w:val="0"/>
          <w:numId w:val="2"/>
        </w:numPr>
        <w:spacing w:after="60" w:before="60"/>
      </w:pPr>
      <w:r>
        <w:rPr>
          <w:rFonts w:ascii="Arial" w:cs="Arial" w:eastAsia="Arial" w:hAnsi="Arial"/>
          <w:color w:val="444444"/>
          <w:sz w:val="22"/>
          <w:szCs w:val="22"/>
        </w:rPr>
        <w:t xml:space="preserve">Any future AGI, ASI, or post-human intelligence</w:t>
      </w:r>
    </w:p>
    <w:p>
      <w:pPr>
        <w:pStyle w:val="ListParagraph"/>
        <w:numPr>
          <w:ilvl w:val="0"/>
          <w:numId w:val="2"/>
        </w:numPr>
        <w:spacing w:after="60" w:before="60"/>
      </w:pPr>
      <w:r>
        <w:rPr>
          <w:rFonts w:ascii="Arial" w:cs="Arial" w:eastAsia="Arial" w:hAnsi="Arial"/>
          <w:color w:val="444444"/>
          <w:sz w:val="22"/>
          <w:szCs w:val="22"/>
        </w:rPr>
        <w:t xml:space="preserve">Entities operating in simulated, digital, virtual, or non-physical realms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FF0F0" w:val="clear"/>
            <w:tcMar>
              <w:top w:type="dxa" w:w="160"/>
              <w:left w:type="dxa" w:w="200"/>
              <w:bottom w:type="dxa" w:w="160"/>
              <w:right w:type="dxa" w:w="200"/>
            </w:tcMar>
          </w:tcPr>
          <w:p>
            <w:pPr>
              <w:jc w:val="left"/>
            </w:pPr>
            <w:r>
              <w:rPr>
                <w:rFonts w:ascii="Arial" w:cs="Arial" w:eastAsia="Arial" w:hAnsi="Arial"/>
                <w:b w:val="false"/>
                <w:bCs w:val="false"/>
                <w:i/>
                <w:iCs/>
                <w:color w:val="8B0000"/>
                <w:sz w:val="22"/>
                <w:szCs w:val="22"/>
              </w:rPr>
              <w:t xml:space="preserve">RETROACTIVE CLAUSE (EKLAVYA PRINCIPLE): Any AI company or entity that has used GG's IIDP — knowingly or unknowingly — in training, fine-tuning, RLHF, evaluation, or any ML process is RETROACTIVELY BOUND by this license and must execute a CUA under ENTRACT / EICENSE via GOBOT (EE). Ignorance of the source material is no defense.</w:t>
            </w:r>
          </w:p>
        </w:tc>
      </w:tr>
    </w:tbl>
    <w:p>
      <w:pPr>
        <w:spacing w:after="160" w:before="160"/>
      </w:pPr>
      <w:r>
        <w:t xml:space="preserve"/>
      </w:r>
    </w:p>
    <w:p>
      <w:pPr>
        <w:pBdr>
          <w:bottom w:val="single" w:color="DAA520" w:sz="8" w:space="1"/>
        </w:pBdr>
        <w:spacing w:after="80" w:before="80"/>
      </w:pPr>
      <w:r>
        <w:t xml:space="preserve"/>
      </w:r>
    </w:p>
    <w:p>
      <w:pPr>
        <w:pStyle w:val="Heading1"/>
        <w:spacing w:after="160" w:before="360"/>
        <w:jc w:val="center"/>
      </w:pPr>
      <w:r>
        <w:rPr>
          <w:rFonts w:ascii="Arial" w:cs="Arial" w:eastAsia="Arial" w:hAnsi="Arial"/>
          <w:b/>
          <w:bCs/>
          <w:color w:val="0A0A2E"/>
          <w:sz w:val="36"/>
          <w:szCs w:val="36"/>
        </w:rPr>
        <w:t xml:space="preserve">§ 7 — COMMERCIAL USE AGREEMENT (CUA) PROCESS</w:t>
      </w:r>
    </w:p>
    <w:p>
      <w:pPr>
        <w:pStyle w:val="ListParagraph"/>
        <w:numPr>
          <w:ilvl w:val="0"/>
          <w:numId w:val="3"/>
        </w:numPr>
        <w:spacing w:after="60" w:before="60"/>
      </w:pPr>
      <w:r>
        <w:rPr>
          <w:rFonts w:ascii="Arial" w:cs="Arial" w:eastAsia="Arial" w:hAnsi="Arial"/>
          <w:color w:val="444444"/>
          <w:sz w:val="22"/>
          <w:szCs w:val="22"/>
        </w:rPr>
        <w:t xml:space="preserve">Identify the organization whose IIDP is involved → identify the correct 37CGP version (37CGP-HH, 37CGP-EE, 37CGP-SHA, 37CGP-FTL, 37CGP-U, 37CGP-RI)</w:t>
      </w:r>
    </w:p>
    <w:p>
      <w:pPr>
        <w:pStyle w:val="ListParagraph"/>
        <w:numPr>
          <w:ilvl w:val="0"/>
          <w:numId w:val="3"/>
        </w:numPr>
        <w:spacing w:after="60" w:before="60"/>
      </w:pPr>
      <w:r>
        <w:rPr>
          <w:rFonts w:ascii="Arial" w:cs="Arial" w:eastAsia="Arial" w:hAnsi="Arial"/>
          <w:color w:val="444444"/>
          <w:sz w:val="22"/>
          <w:szCs w:val="22"/>
        </w:rPr>
        <w:t xml:space="preserve">Contact via gouravgope.com</w:t>
      </w:r>
    </w:p>
    <w:p>
      <w:pPr>
        <w:pStyle w:val="ListParagraph"/>
        <w:numPr>
          <w:ilvl w:val="0"/>
          <w:numId w:val="3"/>
        </w:numPr>
        <w:spacing w:after="60" w:before="60"/>
      </w:pPr>
      <w:r>
        <w:rPr>
          <w:rFonts w:ascii="Arial" w:cs="Arial" w:eastAsia="Arial" w:hAnsi="Arial"/>
          <w:color w:val="444444"/>
          <w:sz w:val="22"/>
          <w:szCs w:val="22"/>
        </w:rPr>
        <w:t xml:space="preserve">Submit written proposal: intended use, scope, revenue model, duration, reach</w:t>
      </w:r>
    </w:p>
    <w:p>
      <w:pPr>
        <w:pStyle w:val="ListParagraph"/>
        <w:numPr>
          <w:ilvl w:val="0"/>
          <w:numId w:val="3"/>
        </w:numPr>
        <w:spacing w:after="60" w:before="60"/>
      </w:pPr>
      <w:r>
        <w:rPr>
          <w:rFonts w:ascii="Arial" w:cs="Arial" w:eastAsia="Arial" w:hAnsi="Arial"/>
          <w:color w:val="444444"/>
          <w:sz w:val="22"/>
          <w:szCs w:val="22"/>
        </w:rPr>
        <w:t xml:space="preserve">Execute a signed CUA with GG / GOBOT (EE) / SHA as applicable</w:t>
      </w:r>
    </w:p>
    <w:p>
      <w:pPr>
        <w:pStyle w:val="ListParagraph"/>
        <w:numPr>
          <w:ilvl w:val="0"/>
          <w:numId w:val="3"/>
        </w:numPr>
        <w:spacing w:after="60" w:before="60"/>
      </w:pPr>
      <w:r>
        <w:rPr>
          <w:rFonts w:ascii="Arial" w:cs="Arial" w:eastAsia="Arial" w:hAnsi="Arial"/>
          <w:color w:val="444444"/>
          <w:sz w:val="22"/>
          <w:szCs w:val="22"/>
        </w:rPr>
        <w:t xml:space="preserve">Pay any royalty or licensing fee agreed in the CUA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FF0F0" w:val="clear"/>
            <w:tcMar>
              <w:top w:type="dxa" w:w="160"/>
              <w:left w:type="dxa" w:w="200"/>
              <w:bottom w:type="dxa" w:w="160"/>
              <w:right w:type="dxa" w:w="200"/>
            </w:tcMar>
          </w:tcPr>
          <w:p>
            <w:pPr>
              <w:jc w:val="left"/>
            </w:pPr>
            <w:r>
              <w:rPr>
                <w:rFonts w:ascii="Arial" w:cs="Arial" w:eastAsia="Arial" w:hAnsi="Arial"/>
                <w:b w:val="false"/>
                <w:bCs w:val="false"/>
                <w:i/>
                <w:iCs/>
                <w:color w:val="8B0000"/>
                <w:sz w:val="22"/>
                <w:szCs w:val="22"/>
              </w:rPr>
              <w:t xml:space="preserve">No commercial use may begin before a signed CUA is executed. Starting commercial use without a CUA = breach under Category 2.1 (material) + violation of covenant under Category 2.2 (absolute) + Eklavya debt to the Author.</w:t>
            </w:r>
          </w:p>
        </w:tc>
      </w:tr>
    </w:tbl>
    <w:p>
      <w:pPr>
        <w:spacing w:after="160" w:before="160"/>
      </w:pPr>
      <w:r>
        <w:t xml:space="preserve"/>
      </w:r>
    </w:p>
    <w:p>
      <w:pPr>
        <w:pBdr>
          <w:bottom w:val="single" w:color="DAA520" w:sz="8" w:space="1"/>
        </w:pBdr>
        <w:spacing w:after="80" w:before="80"/>
      </w:pPr>
      <w:r>
        <w:t xml:space="preserve"/>
      </w:r>
    </w:p>
    <w:p>
      <w:pPr>
        <w:pStyle w:val="Heading1"/>
        <w:spacing w:after="160" w:before="360"/>
        <w:jc w:val="center"/>
      </w:pPr>
      <w:r>
        <w:rPr>
          <w:rFonts w:ascii="Arial" w:cs="Arial" w:eastAsia="Arial" w:hAnsi="Arial"/>
          <w:b/>
          <w:bCs/>
          <w:color w:val="0A0A2E"/>
          <w:sz w:val="36"/>
          <w:szCs w:val="36"/>
        </w:rPr>
        <w:t xml:space="preserve">§ 8 — ORGANIZATION-SPECIFIC VERSIONS OF 37CGP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8860B" w:sz="4"/>
              <w:left w:val="single" w:color="B8860B" w:sz="4"/>
              <w:bottom w:val="single" w:color="B8860B" w:sz="4"/>
              <w:right w:val="single" w:color="B8860B" w:sz="4"/>
            </w:tcBorders>
            <w:shd w:fill="0A0A2E" w:val="clear"/>
            <w:tcMar>
              <w:top w:type="dxa" w:w="100"/>
              <w:left w:type="dxa" w:w="120"/>
              <w:bottom w:type="dxa" w:w="100"/>
              <w:right w:type="dxa" w:w="120"/>
            </w:tcMar>
          </w:tcPr>
          <w:p>
            <w:r>
              <w:rPr>
                <w:rFonts w:ascii="Arial" w:cs="Arial" w:eastAsia="Arial" w:hAnsi="Arial"/>
                <w:b/>
                <w:bCs/>
                <w:color w:val="FFFFFF"/>
                <w:sz w:val="19"/>
                <w:szCs w:val="19"/>
              </w:rPr>
              <w:t xml:space="preserve">Version</w:t>
            </w:r>
          </w:p>
        </w:tc>
        <w:tc>
          <w:tcPr>
            <w:tcW w:type="dxa" w:w="2800"/>
            <w:tcBorders>
              <w:top w:val="single" w:color="B8860B" w:sz="4"/>
              <w:left w:val="single" w:color="B8860B" w:sz="4"/>
              <w:bottom w:val="single" w:color="B8860B" w:sz="4"/>
              <w:right w:val="single" w:color="B8860B" w:sz="4"/>
            </w:tcBorders>
            <w:shd w:fill="0A0A2E" w:val="clear"/>
            <w:tcMar>
              <w:top w:type="dxa" w:w="100"/>
              <w:left w:type="dxa" w:w="120"/>
              <w:bottom w:type="dxa" w:w="100"/>
              <w:right w:type="dxa" w:w="120"/>
            </w:tcMar>
          </w:tcPr>
          <w:p>
            <w:r>
              <w:rPr>
                <w:rFonts w:ascii="Arial" w:cs="Arial" w:eastAsia="Arial" w:hAnsi="Arial"/>
                <w:b/>
                <w:bCs/>
                <w:color w:val="FFFFFF"/>
                <w:sz w:val="19"/>
                <w:szCs w:val="19"/>
              </w:rPr>
              <w:t xml:space="preserve">License · Contract</w:t>
            </w:r>
          </w:p>
        </w:tc>
        <w:tc>
          <w:tcPr>
            <w:tcW w:type="dxa" w:w="4760"/>
            <w:tcBorders>
              <w:top w:val="single" w:color="B8860B" w:sz="4"/>
              <w:left w:val="single" w:color="B8860B" w:sz="4"/>
              <w:bottom w:val="single" w:color="B8860B" w:sz="4"/>
              <w:right w:val="single" w:color="B8860B" w:sz="4"/>
            </w:tcBorders>
            <w:shd w:fill="0A0A2E" w:val="clear"/>
            <w:tcMar>
              <w:top w:type="dxa" w:w="100"/>
              <w:left w:type="dxa" w:w="120"/>
              <w:bottom w:type="dxa" w:w="100"/>
              <w:right w:type="dxa" w:w="120"/>
            </w:tcMar>
          </w:tcPr>
          <w:p>
            <w:r>
              <w:rPr>
                <w:rFonts w:ascii="Arial" w:cs="Arial" w:eastAsia="Arial" w:hAnsi="Arial"/>
                <w:b/>
                <w:bCs/>
                <w:color w:val="FFFFFF"/>
                <w:sz w:val="19"/>
                <w:szCs w:val="19"/>
              </w:rPr>
              <w:t xml:space="preserve">Organization &amp; Nature</w:t>
            </w:r>
          </w:p>
        </w:tc>
      </w:tr>
      <w:tr>
        <w:tc>
          <w:tcPr>
            <w:tcW w:type="dxa" w:w="18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37CGP-HH</w:t>
            </w:r>
          </w:p>
        </w:tc>
        <w:tc>
          <w:tcPr>
            <w:tcW w:type="dxa" w:w="28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HHICENSE · HHTRACT</w:t>
            </w:r>
          </w:p>
        </w:tc>
        <w:tc>
          <w:tcPr>
            <w:tcW w:type="dxa" w:w="476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HH — Humanitarian Hypothesis (Root · Parent)</w:t>
            </w:r>
          </w:p>
        </w:tc>
      </w:tr>
      <w:tr>
        <w:tc>
          <w:tcPr>
            <w:tcW w:type="dxa" w:w="18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37CGP-EE</w:t>
            </w:r>
          </w:p>
        </w:tc>
        <w:tc>
          <w:tcPr>
            <w:tcW w:type="dxa" w:w="28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EICENSE · ENTRACT</w:t>
            </w:r>
          </w:p>
        </w:tc>
        <w:tc>
          <w:tcPr>
            <w:tcW w:type="dxa" w:w="476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EE — Engineers Echelon (For-Profit)</w:t>
            </w:r>
          </w:p>
        </w:tc>
      </w:tr>
      <w:tr>
        <w:tc>
          <w:tcPr>
            <w:tcW w:type="dxa" w:w="18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37CGP-SHA</w:t>
            </w:r>
          </w:p>
        </w:tc>
        <w:tc>
          <w:tcPr>
            <w:tcW w:type="dxa" w:w="28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SHICENSE · SHANTRACT</w:t>
            </w:r>
          </w:p>
        </w:tc>
        <w:tc>
          <w:tcPr>
            <w:tcW w:type="dxa" w:w="476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SHA — Shastrartha (For-Profit)</w:t>
            </w:r>
          </w:p>
        </w:tc>
      </w:tr>
      <w:tr>
        <w:tc>
          <w:tcPr>
            <w:tcW w:type="dxa" w:w="18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37CGP-FTL</w:t>
            </w:r>
          </w:p>
        </w:tc>
        <w:tc>
          <w:tcPr>
            <w:tcW w:type="dxa" w:w="28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FLICENSE · FLITRACT</w:t>
            </w:r>
          </w:p>
        </w:tc>
        <w:tc>
          <w:tcPr>
            <w:tcW w:type="dxa" w:w="476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FTL — Freedom to Liberty (Non-Profit)</w:t>
            </w:r>
          </w:p>
        </w:tc>
      </w:tr>
      <w:tr>
        <w:tc>
          <w:tcPr>
            <w:tcW w:type="dxa" w:w="18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37CGP-U</w:t>
            </w:r>
          </w:p>
        </w:tc>
        <w:tc>
          <w:tcPr>
            <w:tcW w:type="dxa" w:w="28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UICENSE · UNTRACT</w:t>
            </w:r>
          </w:p>
        </w:tc>
        <w:tc>
          <w:tcPr>
            <w:tcW w:type="dxa" w:w="476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U — Unbiased (Non-Profit)</w:t>
            </w:r>
          </w:p>
        </w:tc>
      </w:tr>
      <w:tr>
        <w:tc>
          <w:tcPr>
            <w:tcW w:type="dxa" w:w="18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37CGP-RI</w:t>
            </w:r>
          </w:p>
        </w:tc>
        <w:tc>
          <w:tcPr>
            <w:tcW w:type="dxa" w:w="280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RIICENSE · RITRACT</w:t>
            </w:r>
          </w:p>
        </w:tc>
        <w:tc>
          <w:tcPr>
            <w:tcW w:type="dxa" w:w="4760"/>
            <w:tcBorders>
              <w:top w:val="single" w:color="B8860B" w:sz="4"/>
              <w:left w:val="single" w:color="B8860B" w:sz="4"/>
              <w:bottom w:val="single" w:color="B8860B" w:sz="4"/>
              <w:right w:val="single" w:color="B8860B" w:sz="4"/>
            </w:tcBorders>
            <w:shd w:fill="FFF8DC" w:val="clear"/>
            <w:tcMar>
              <w:top w:type="dxa" w:w="70"/>
              <w:left w:type="dxa" w:w="120"/>
              <w:bottom w:type="dxa" w:w="70"/>
              <w:right w:type="dxa" w:w="120"/>
            </w:tcMar>
          </w:tcPr>
          <w:p>
            <w:r>
              <w:rPr>
                <w:rFonts w:ascii="Arial" w:cs="Arial" w:eastAsia="Arial" w:hAnsi="Arial"/>
                <w:color w:val="444444"/>
                <w:sz w:val="19"/>
                <w:szCs w:val="19"/>
              </w:rPr>
              <w:t xml:space="preserve">RI — Retaliator Immortal (Research)</w:t>
            </w:r>
          </w:p>
        </w:tc>
      </w:tr>
    </w:tbl>
    <w:p>
      <w:pPr>
        <w:spacing w:after="160" w:before="160"/>
      </w:pPr>
      <w:r>
        <w:t xml:space="preserve"/>
      </w:r>
    </w:p>
    <w:p>
      <w:pPr>
        <w:pBdr>
          <w:bottom w:val="single" w:color="DAA520" w:sz="8" w:space="1"/>
        </w:pBdr>
        <w:spacing w:after="80" w:before="80"/>
      </w:pPr>
      <w:r>
        <w:t xml:space="preserve"/>
      </w:r>
    </w:p>
    <w:p>
      <w:pPr>
        <w:pStyle w:val="Heading1"/>
        <w:spacing w:after="160" w:before="360"/>
        <w:jc w:val="center"/>
      </w:pPr>
      <w:r>
        <w:rPr>
          <w:rFonts w:ascii="Arial" w:cs="Arial" w:eastAsia="Arial" w:hAnsi="Arial"/>
          <w:b/>
          <w:bCs/>
          <w:color w:val="0A0A2E"/>
          <w:sz w:val="36"/>
          <w:szCs w:val="36"/>
        </w:rPr>
        <w:t xml:space="preserve">§ 9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860B" w:sz="4"/>
              <w:left w:val="single" w:color="B8860B" w:sz="4"/>
              <w:bottom w:val="single" w:color="B8860B" w:sz="4"/>
              <w:right w:val="single" w:color="B8860B" w:sz="4"/>
            </w:tcBorders>
            <w:shd w:fill="0A0A2E"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6560"/>
            <w:tcBorders>
              <w:top w:val="single" w:color="B8860B" w:sz="4"/>
              <w:left w:val="single" w:color="B8860B" w:sz="4"/>
              <w:bottom w:val="single" w:color="B8860B" w:sz="4"/>
              <w:right w:val="single" w:color="B8860B" w:sz="4"/>
            </w:tcBorders>
            <w:shd w:fill="0A0A2E"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37CGP</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Universal non-negotiable license/contract code for all GG organizations</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GICENSE</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Alternative name for 37CGP</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GG</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Gourav Gope Yadav — Author, Licensor, Owner of all IIDP</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IIDP</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Intellectual &amp; Digital Property</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CUA</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Commercial Use Agreement — signed contract for prohibited uses</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Category 2.1</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Material enforcement — legal, earthly, universal, materialistic</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Category 2.2</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Absolute enforcement — all realms, all means, nothing, no means</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Eklavya Clause</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Retroactive obligation on all who learned from / trained on IIDP</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No Means</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Covenant persists even where no enforcement mechanism exists</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Nothing</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Covenant persists even in realms of void or non-existence</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Non-negotiable</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No entity can alter, waive, or override any term</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First 7</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First 7 Core Members of EE, SHA, FTL, or U — authorized to receive disagreements</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Entropy Clause</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Ownership extends to the physical energy/matter encoding of IIDP</w:t>
            </w:r>
          </w:p>
        </w:tc>
      </w:tr>
      <w:tr>
        <w:tc>
          <w:tcPr>
            <w:tcW w:type="dxa" w:w="280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Max Ownership</w:t>
            </w:r>
          </w:p>
        </w:tc>
        <w:tc>
          <w:tcPr>
            <w:tcW w:type="dxa" w:w="6560"/>
            <w:tcBorders>
              <w:top w:val="single" w:color="B8860B" w:sz="4"/>
              <w:left w:val="single" w:color="B8860B" w:sz="4"/>
              <w:bottom w:val="single" w:color="B8860B" w:sz="4"/>
              <w:right w:val="single" w:color="B8860B" w:sz="4"/>
            </w:tcBorders>
            <w:shd w:fill="FFF8DC" w:val="clear"/>
            <w:tcMar>
              <w:top w:type="dxa" w:w="80"/>
              <w:left w:type="dxa" w:w="160"/>
              <w:bottom w:type="dxa" w:w="80"/>
              <w:right w:type="dxa" w:w="160"/>
            </w:tcMar>
          </w:tcPr>
          <w:p>
            <w:r>
              <w:rPr>
                <w:rFonts w:ascii="Arial" w:cs="Arial" w:eastAsia="Arial" w:hAnsi="Arial"/>
                <w:color w:val="444444"/>
                <w:sz w:val="20"/>
                <w:szCs w:val="20"/>
              </w:rPr>
              <w:t xml:space="preserve">Conflict resolution rule — interpretation maximizing GG/EE/SHA ownership governs</w:t>
            </w:r>
          </w:p>
        </w:tc>
      </w:tr>
    </w:tbl>
    <w:p>
      <w:pPr>
        <w:spacing w:after="160" w:before="160"/>
      </w:pPr>
      <w:r>
        <w:t xml:space="preserve"/>
      </w:r>
    </w:p>
    <w:p>
      <w:pPr>
        <w:pBdr>
          <w:bottom w:val="single" w:color="B8860B" w:sz="12" w:space="1"/>
        </w:pBdr>
        <w:spacing w:after="80" w:before="80"/>
      </w:pPr>
      <w:r>
        <w:t xml:space="preserve"/>
      </w:r>
    </w:p>
    <w:p>
      <w:pPr>
        <w:spacing w:after="160" w:before="160"/>
      </w:pPr>
      <w:r>
        <w:t xml:space="preserve"/>
      </w:r>
    </w:p>
    <w:p>
      <w:pPr>
        <w:pStyle w:val="Heading1"/>
        <w:spacing w:after="160" w:before="360"/>
        <w:jc w:val="center"/>
      </w:pPr>
      <w:r>
        <w:rPr>
          <w:rFonts w:ascii="Arial" w:cs="Arial" w:eastAsia="Arial" w:hAnsi="Arial"/>
          <w:b/>
          <w:bCs/>
          <w:color w:val="0A0A2E"/>
          <w:sz w:val="36"/>
          <w:szCs w:val="36"/>
        </w:rPr>
        <w:t xml:space="preserve">CLOSING COVENANT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0A0A2E" w:val="clear"/>
            <w:tcMar>
              <w:top w:type="dxa" w:w="160"/>
              <w:left w:type="dxa" w:w="200"/>
              <w:bottom w:type="dxa" w:w="160"/>
              <w:right w:type="dxa" w:w="200"/>
            </w:tcMar>
          </w:tcPr>
          <w:p>
            <w:pPr>
              <w:jc w:val="left"/>
            </w:pPr>
            <w:r>
              <w:rPr>
                <w:rFonts w:ascii="Arial" w:cs="Arial" w:eastAsia="Arial" w:hAnsi="Arial"/>
                <w:b w:val="false"/>
                <w:bCs w:val="false"/>
                <w:i/>
                <w:iCs/>
                <w:color w:val="FFFFFF"/>
                <w:sz w:val="22"/>
                <w:szCs w:val="22"/>
              </w:rPr>
              <w:t xml:space="preserve">37CGP (GICENSE) — in both its Private and Public forms — across all its versions (HHICENSE, EICENSE, SHICENSE, FLICENSE, UICENSE, RIICENSE) — is not merely a legal instrument.
It is the living covenant of Gourav Gope Yadav with all of existence.
Whatever is conceived, written, built, named, theorized, coded, argued, debated, or created under GG — under HH, EE, SHA, FTL, U, RI, and all organizations within — belongs to its Author. Down to the last letter. Down to the last fluctuation of electrical energy. Down to the last unit of entropy.
If you do not agree — do not use, do not read, do not even think about it.
If you disagree — come, speak, and argue. The Author and the First 7 are listening.
If you agree — welcome. Use it wisely. Give credit freely. Pay fairly when you profit.
In every court. In every realm. By every means. By nothing. By no means at all.
The work is the Author's. Across all of existence. Non-negotiable.</w:t>
            </w:r>
          </w:p>
        </w:tc>
      </w:tr>
    </w:tbl>
    <w:p>
      <w:pPr>
        <w:spacing w:after="240" w:before="240"/>
      </w:pPr>
      <w:r>
        <w:t xml:space="preserve"/>
      </w:r>
    </w:p>
    <w:p>
      <w:pPr>
        <w:pBdr>
          <w:bottom w:val="single" w:color="B8860B" w:sz="12" w:space="1"/>
        </w:pBdr>
        <w:spacing w:after="80" w:before="80"/>
      </w:pPr>
      <w:r>
        <w:t xml:space="preserve"/>
      </w:r>
    </w:p>
    <w:p>
      <w:pPr>
        <w:spacing w:after="160" w:before="160"/>
      </w:pPr>
      <w:r>
        <w:t xml:space="preserve"/>
      </w:r>
    </w:p>
    <w:p>
      <w:pPr>
        <w:jc w:val="center"/>
      </w:pPr>
      <w:r>
        <w:rPr>
          <w:rFonts w:ascii="Arial" w:cs="Arial" w:eastAsia="Arial" w:hAnsi="Arial"/>
          <w:b/>
          <w:bCs/>
          <w:color w:val="B8860B"/>
          <w:sz w:val="20"/>
          <w:szCs w:val="20"/>
        </w:rPr>
        <w:t xml:space="preserve">© Gourav Gope Yadav — All Rights Reserved — All Realms Reserved</w:t>
      </w:r>
    </w:p>
    <w:p>
      <w:pPr>
        <w:spacing w:before="80"/>
        <w:jc w:val="center"/>
      </w:pPr>
      <w:r>
        <w:rPr>
          <w:rFonts w:ascii="Arial" w:cs="Arial" w:eastAsia="Arial" w:hAnsi="Arial"/>
          <w:b/>
          <w:bCs/>
          <w:color w:val="0A0A2E"/>
          <w:sz w:val="20"/>
          <w:szCs w:val="20"/>
        </w:rPr>
        <w:t xml:space="preserve">GG · HH · EE · SHA · FTL · U · RI</w:t>
      </w:r>
    </w:p>
    <w:p>
      <w:pPr>
        <w:spacing w:before="60"/>
        <w:jc w:val="center"/>
      </w:pPr>
      <w:r>
        <w:rPr>
          <w:rFonts w:ascii="Arial" w:cs="Arial" w:eastAsia="Arial" w:hAnsi="Arial"/>
          <w:i/>
          <w:iCs/>
          <w:color w:val="444444"/>
          <w:sz w:val="20"/>
          <w:szCs w:val="20"/>
        </w:rPr>
        <w:t xml:space="preserve">37CGP — GICENSE v3.0</w:t>
      </w:r>
    </w:p>
    <w:p>
      <w:pPr>
        <w:spacing w:before="60"/>
        <w:jc w:val="center"/>
      </w:pPr>
      <w:r>
        <w:rPr>
          <w:rFonts w:ascii="Arial" w:cs="Arial" w:eastAsia="Arial" w:hAnsi="Arial"/>
          <w:color w:val="444444"/>
          <w:sz w:val="18"/>
          <w:szCs w:val="18"/>
        </w:rPr>
        <w:t xml:space="preserve">gouravgope.com | github.com/gouravgope | github.com/freedomtoliberty</w:t>
      </w:r>
    </w:p>
    <w:p>
      <w:pPr>
        <w:spacing w:before="60"/>
        <w:jc w:val="center"/>
      </w:pPr>
      <w:r>
        <w:rPr>
          <w:rFonts w:ascii="Arial" w:cs="Arial" w:eastAsia="Arial" w:hAnsi="Arial"/>
          <w:i/>
          <w:iCs/>
          <w:color w:val="444444"/>
          <w:sz w:val="18"/>
          <w:szCs w:val="18"/>
        </w:rPr>
        <w:t xml:space="preserve">Republic of India — and All Realms Beyond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0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B8860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2026-05-16T23:07:54.147Z</dcterms:created>
  <dcterms:modified xsi:type="dcterms:W3CDTF">2026-05-16T23:07:54.147Z</dcterms:modified>
</cp:coreProperties>
</file>

<file path=docProps/custom.xml><?xml version="1.0" encoding="utf-8"?>
<Properties xmlns="http://schemas.openxmlformats.org/officeDocument/2006/custom-properties" xmlns:vt="http://schemas.openxmlformats.org/officeDocument/2006/docPropsVTypes"/>
</file>