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6"/>
        </w:rPr>
        <w:t>A PROJECT REPORT</w:t>
        <w:br/>
        <w:t>ON</w:t>
      </w:r>
    </w:p>
    <w:p>
      <w:pPr>
        <w:spacing w:before="160" w:after="320"/>
        <w:jc w:val="center"/>
      </w:pPr>
      <w:r>
        <w:rPr>
          <w:b/>
          <w:sz w:val="31"/>
        </w:rPr>
        <w:t>LEGAL DOCUMENT ANALYSER AND ADVISOR:</w:t>
        <w:br/>
        <w:t>Reports, Analytics &amp; System Integration Subsystem</w:t>
      </w:r>
    </w:p>
    <w:p>
      <w:pPr>
        <w:spacing w:before="160" w:after="280"/>
        <w:jc w:val="center"/>
      </w:pPr>
      <w:r>
        <w:rPr>
          <w:sz w:val="23"/>
        </w:rPr>
        <w:t>Submitted in partial fulfillment of the requirement for the award of Degree of</w:t>
        <w:br/>
        <w:t>Bachelor of Technology in Computer Science &amp; Engineering</w:t>
      </w:r>
    </w:p>
    <w:p>
      <w:pPr>
        <w:spacing w:before="200" w:after="80"/>
        <w:jc w:val="center"/>
      </w:pPr>
      <w:r>
        <w:rPr>
          <w:b/>
          <w:sz w:val="22"/>
        </w:rPr>
        <w:t>Submitted to:</w:t>
      </w:r>
    </w:p>
    <w:p>
      <w:pPr>
        <w:spacing w:after="80"/>
        <w:jc w:val="center"/>
      </w:pPr>
      <w:r>
        <w:drawing>
          <wp:inline xmlns:a="http://schemas.openxmlformats.org/drawingml/2006/main" xmlns:pic="http://schemas.openxmlformats.org/drawingml/2006/picture">
            <wp:extent cx="1097280" cy="1123406"/>
            <wp:docPr id="1" name="Picture 1"/>
            <wp:cNvGraphicFramePr>
              <a:graphicFrameLocks noChangeAspect="1"/>
            </wp:cNvGraphicFramePr>
            <a:graphic>
              <a:graphicData uri="http://schemas.openxmlformats.org/drawingml/2006/picture">
                <pic:pic>
                  <pic:nvPicPr>
                    <pic:cNvPr id="0" name="img_p1_1.png"/>
                    <pic:cNvPicPr/>
                  </pic:nvPicPr>
                  <pic:blipFill>
                    <a:blip r:embed="rId9"/>
                    <a:stretch>
                      <a:fillRect/>
                    </a:stretch>
                  </pic:blipFill>
                  <pic:spPr>
                    <a:xfrm>
                      <a:off x="0" y="0"/>
                      <a:ext cx="1097280" cy="1123406"/>
                    </a:xfrm>
                    <a:prstGeom prst="rect"/>
                  </pic:spPr>
                </pic:pic>
              </a:graphicData>
            </a:graphic>
          </wp:inline>
        </w:drawing>
      </w:r>
    </w:p>
    <w:p>
      <w:pPr>
        <w:spacing w:after="280"/>
        <w:jc w:val="center"/>
      </w:pPr>
      <w:r>
        <w:rPr>
          <w:sz w:val="23"/>
        </w:rPr>
        <w:t>Rajasthan Technical University Kota (Raj.)</w:t>
      </w:r>
    </w:p>
    <w:p>
      <w:pPr>
        <w:spacing w:after="40"/>
        <w:jc w:val="center"/>
      </w:pPr>
      <w:r>
        <w:rPr>
          <w:b/>
        </w:rPr>
        <w:t>Submitted By:</w:t>
      </w:r>
    </w:p>
    <w:p>
      <w:pPr>
        <w:spacing w:after="200"/>
        <w:jc w:val="center"/>
      </w:pPr>
      <w:r>
        <w:rPr>
          <w:sz w:val="24"/>
        </w:rPr>
        <w:t>Harshvardhan Bhatt (24EARCS030)</w:t>
      </w:r>
    </w:p>
    <w:p>
      <w:pPr>
        <w:spacing w:after="80"/>
        <w:jc w:val="center"/>
      </w:pPr>
      <w:r>
        <w:rPr>
          <w:b/>
        </w:rPr>
        <w:t>Session : 2026-27</w:t>
      </w:r>
    </w:p>
    <w:p>
      <w:pPr>
        <w:spacing w:after="120"/>
        <w:jc w:val="center"/>
      </w:pPr>
      <w:r>
        <w:drawing>
          <wp:inline xmlns:a="http://schemas.openxmlformats.org/drawingml/2006/main" xmlns:pic="http://schemas.openxmlformats.org/drawingml/2006/picture">
            <wp:extent cx="1097280" cy="1023371"/>
            <wp:docPr id="2" name="Picture 2"/>
            <wp:cNvGraphicFramePr>
              <a:graphicFrameLocks noChangeAspect="1"/>
            </wp:cNvGraphicFramePr>
            <a:graphic>
              <a:graphicData uri="http://schemas.openxmlformats.org/drawingml/2006/picture">
                <pic:pic>
                  <pic:nvPicPr>
                    <pic:cNvPr id="0" name="img_p1_2.png"/>
                    <pic:cNvPicPr/>
                  </pic:nvPicPr>
                  <pic:blipFill>
                    <a:blip r:embed="rId10"/>
                    <a:stretch>
                      <a:fillRect/>
                    </a:stretch>
                  </pic:blipFill>
                  <pic:spPr>
                    <a:xfrm>
                      <a:off x="0" y="0"/>
                      <a:ext cx="1097280" cy="1023371"/>
                    </a:xfrm>
                    <a:prstGeom prst="rect"/>
                  </pic:spPr>
                </pic:pic>
              </a:graphicData>
            </a:graphic>
          </wp:inline>
        </w:drawing>
      </w:r>
    </w:p>
    <w:p>
      <w:pPr>
        <w:spacing w:after="0" w:line="276" w:lineRule="auto"/>
        <w:jc w:val="center"/>
      </w:pPr>
      <w:r>
        <w:rPr>
          <w:sz w:val="20"/>
        </w:rPr>
        <w:t>Department of Computer Science &amp; Engineering</w:t>
        <w:br/>
      </w:r>
      <w:r>
        <w:rPr>
          <w:b/>
          <w:sz w:val="22"/>
        </w:rPr>
        <w:t>ARYA COLLEGE OF ENGINEERING &amp; I.T.</w:t>
        <w:br/>
      </w:r>
      <w:r>
        <w:rPr>
          <w:b/>
          <w:sz w:val="19"/>
        </w:rPr>
        <w:t>SP-42, RIICO INDUSTRIAL,KUKAS, JAIPUR</w:t>
      </w:r>
    </w:p>
    <w:p>
      <w:r>
        <w:br w:type="page"/>
      </w:r>
    </w:p>
    <w:p>
      <w:pPr>
        <w:spacing w:after="280"/>
        <w:jc w:val="center"/>
      </w:pPr>
      <w:r>
        <w:drawing>
          <wp:inline xmlns:a="http://schemas.openxmlformats.org/drawingml/2006/main" xmlns:pic="http://schemas.openxmlformats.org/drawingml/2006/picture">
            <wp:extent cx="5852160" cy="1084165"/>
            <wp:docPr id="3" name="Picture 3"/>
            <wp:cNvGraphicFramePr>
              <a:graphicFrameLocks noChangeAspect="1"/>
            </wp:cNvGraphicFramePr>
            <a:graphic>
              <a:graphicData uri="http://schemas.openxmlformats.org/drawingml/2006/picture">
                <pic:pic>
                  <pic:nvPicPr>
                    <pic:cNvPr id="0" name="img_p2_1.png"/>
                    <pic:cNvPicPr/>
                  </pic:nvPicPr>
                  <pic:blipFill>
                    <a:blip r:embed="rId11"/>
                    <a:stretch>
                      <a:fillRect/>
                    </a:stretch>
                  </pic:blipFill>
                  <pic:spPr>
                    <a:xfrm>
                      <a:off x="0" y="0"/>
                      <a:ext cx="5852160" cy="1084165"/>
                    </a:xfrm>
                    <a:prstGeom prst="rect"/>
                  </pic:spPr>
                </pic:pic>
              </a:graphicData>
            </a:graphic>
          </wp:inline>
        </w:drawing>
      </w:r>
    </w:p>
    <w:p>
      <w:pPr>
        <w:spacing w:after="160"/>
        <w:jc w:val="center"/>
      </w:pPr>
      <w:r>
        <w:rPr>
          <w:b/>
          <w:sz w:val="26"/>
          <w:u w:val="single"/>
        </w:rPr>
        <w:t>Department of Computer Science &amp; Engineering</w:t>
      </w:r>
    </w:p>
    <w:p>
      <w:pPr>
        <w:spacing w:after="400"/>
        <w:jc w:val="center"/>
      </w:pPr>
      <w:r>
        <w:rPr>
          <w:b/>
          <w:sz w:val="27"/>
        </w:rPr>
        <w:t>CERTIFICATE OF APPROVAL</w:t>
      </w:r>
    </w:p>
    <w:p>
      <w:pPr>
        <w:spacing w:line="312" w:lineRule="auto" w:after="1200"/>
        <w:jc w:val="both"/>
      </w:pPr>
      <w:r>
        <w:t>The Project Report entitled “Legal Document Analyser and Advisor – Reports, Analytics and System Integration Subsystem” submitted by “Harshvardhan Bhatt (24EARCS030)” has been examined by us and is hereby approved for carrying out the project leading to the award of degree “Bachelor of Technology in Computer Science &amp; Engineering”. By this approval the undersigned does not necessarily endorse or approve any statement made, opinion expressed or conclusion drawn therein, but approve the pursuance of project only for the above mentioned purpose.</w:t>
      </w:r>
    </w:p>
    <w:p>
      <w:pPr>
        <w:spacing w:line="288" w:lineRule="auto"/>
        <w:jc w:val="right"/>
      </w:pPr>
      <w:r>
        <w:rPr>
          <w:b/>
        </w:rPr>
        <w:t>Mentor</w:t>
        <w:br/>
      </w:r>
      <w:r>
        <w:t>Er. Mohit Mishra</w:t>
        <w:br/>
        <w:t>Assistant Professor</w:t>
      </w:r>
    </w:p>
    <w:p>
      <w:r>
        <w:br w:type="page"/>
      </w:r>
    </w:p>
    <w:p>
      <w:pPr>
        <w:spacing w:after="280"/>
        <w:jc w:val="center"/>
      </w:pPr>
      <w:r>
        <w:drawing>
          <wp:inline xmlns:a="http://schemas.openxmlformats.org/drawingml/2006/main" xmlns:pic="http://schemas.openxmlformats.org/drawingml/2006/picture">
            <wp:extent cx="5852160" cy="1083086"/>
            <wp:docPr id="4" name="Picture 4"/>
            <wp:cNvGraphicFramePr>
              <a:graphicFrameLocks noChangeAspect="1"/>
            </wp:cNvGraphicFramePr>
            <a:graphic>
              <a:graphicData uri="http://schemas.openxmlformats.org/drawingml/2006/picture">
                <pic:pic>
                  <pic:nvPicPr>
                    <pic:cNvPr id="0" name="img_p3_1.png"/>
                    <pic:cNvPicPr/>
                  </pic:nvPicPr>
                  <pic:blipFill>
                    <a:blip r:embed="rId12"/>
                    <a:stretch>
                      <a:fillRect/>
                    </a:stretch>
                  </pic:blipFill>
                  <pic:spPr>
                    <a:xfrm>
                      <a:off x="0" y="0"/>
                      <a:ext cx="5852160" cy="1083086"/>
                    </a:xfrm>
                    <a:prstGeom prst="rect"/>
                  </pic:spPr>
                </pic:pic>
              </a:graphicData>
            </a:graphic>
          </wp:inline>
        </w:drawing>
      </w:r>
    </w:p>
    <w:p>
      <w:pPr>
        <w:spacing w:after="160"/>
        <w:jc w:val="center"/>
      </w:pPr>
      <w:r>
        <w:rPr>
          <w:b/>
          <w:sz w:val="26"/>
          <w:u w:val="single"/>
        </w:rPr>
        <w:t>Department of Computer Science &amp; Engineering</w:t>
      </w:r>
    </w:p>
    <w:p>
      <w:pPr>
        <w:spacing w:after="400"/>
        <w:jc w:val="center"/>
      </w:pPr>
      <w:r>
        <w:rPr>
          <w:b/>
          <w:sz w:val="27"/>
        </w:rPr>
        <w:t>CERTIFICATE</w:t>
      </w:r>
    </w:p>
    <w:p>
      <w:pPr>
        <w:spacing w:line="312" w:lineRule="auto" w:after="1000"/>
        <w:jc w:val="both"/>
      </w:pPr>
      <w:r>
        <w:t>This is to certify that the work embodied in this Project entitled “Legal Document Analyser and Advisor – Reports, Analytics and System Integration Subsystem” being submitted by “Harshvardhan Bhatt (24EARCS030)” in partial fulfillment of the requirement for the award of “Bachelor of Technology in Computer Science &amp; Engineering” to Rajasthan Technical University, Kota (Raj.) during the academic year 2026-27 is a record of bonafide piece of work, carried out by them under our supervision and guidance in the “Department of Computer Science &amp; Engineering”, Arya College of Engineering &amp; Information Technology, Jaipur.</w:t>
      </w:r>
    </w:p>
    <w:tbl>
      <w:tblPr>
        <w:tblW w:type="auto" w:w="0"/>
        <w:jc w:val="center"/>
        <w:tblLayout w:type="autofit"/>
        <w:tblLook w:firstColumn="1" w:firstRow="1" w:lastColumn="0" w:lastRow="0" w:noHBand="0" w:noVBand="1" w:val="04A0"/>
      </w:tblPr>
      <w:tblGrid>
        <w:gridCol w:w="4680"/>
        <w:gridCol w:w="4680"/>
      </w:tblGrid>
      <w:tr>
        <w:tc>
          <w:tcPr>
            <w:tcW w:type="dxa" w:w="4680"/>
          </w:tcPr>
          <w:p>
            <w:pPr>
              <w:spacing w:line="288" w:lineRule="auto"/>
              <w:jc w:val="left"/>
            </w:pPr>
            <w:r>
              <w:rPr>
                <w:b/>
              </w:rPr>
              <w:t>Project-coordinator</w:t>
              <w:br/>
            </w:r>
            <w:r>
              <w:t>Er. Ram Babu</w:t>
              <w:br/>
              <w:t>Assistance Professor</w:t>
            </w:r>
          </w:p>
        </w:tc>
        <w:tc>
          <w:tcPr>
            <w:tcW w:type="dxa" w:w="4680"/>
          </w:tcPr>
          <w:p>
            <w:pPr>
              <w:spacing w:line="288" w:lineRule="auto"/>
              <w:jc w:val="right"/>
            </w:pPr>
            <w:r>
              <w:rPr>
                <w:b/>
              </w:rPr>
              <w:t>HOD</w:t>
              <w:br/>
            </w:r>
            <w:r>
              <w:t>Dr. Akhil Pandey</w:t>
              <w:br/>
              <w:t>Professor</w:t>
            </w:r>
          </w:p>
        </w:tc>
      </w:tr>
    </w:tbl>
    <w:p>
      <w:r>
        <w:br w:type="page"/>
      </w:r>
    </w:p>
    <w:p>
      <w:pPr>
        <w:spacing w:after="280"/>
        <w:jc w:val="center"/>
      </w:pPr>
      <w:r>
        <w:drawing>
          <wp:inline xmlns:a="http://schemas.openxmlformats.org/drawingml/2006/main" xmlns:pic="http://schemas.openxmlformats.org/drawingml/2006/picture">
            <wp:extent cx="5852160" cy="1083086"/>
            <wp:docPr id="5" name="Picture 5"/>
            <wp:cNvGraphicFramePr>
              <a:graphicFrameLocks noChangeAspect="1"/>
            </wp:cNvGraphicFramePr>
            <a:graphic>
              <a:graphicData uri="http://schemas.openxmlformats.org/drawingml/2006/picture">
                <pic:pic>
                  <pic:nvPicPr>
                    <pic:cNvPr id="0" name="img_p3_1.png"/>
                    <pic:cNvPicPr/>
                  </pic:nvPicPr>
                  <pic:blipFill>
                    <a:blip r:embed="rId12"/>
                    <a:stretch>
                      <a:fillRect/>
                    </a:stretch>
                  </pic:blipFill>
                  <pic:spPr>
                    <a:xfrm>
                      <a:off x="0" y="0"/>
                      <a:ext cx="5852160" cy="1083086"/>
                    </a:xfrm>
                    <a:prstGeom prst="rect"/>
                  </pic:spPr>
                </pic:pic>
              </a:graphicData>
            </a:graphic>
          </wp:inline>
        </w:drawing>
      </w:r>
    </w:p>
    <w:p>
      <w:pPr>
        <w:spacing w:after="400"/>
        <w:jc w:val="center"/>
      </w:pPr>
      <w:r>
        <w:rPr>
          <w:b/>
          <w:sz w:val="27"/>
        </w:rPr>
        <w:t>ACKNOWLEDGEMENT</w:t>
      </w:r>
    </w:p>
    <w:p>
      <w:pPr>
        <w:spacing w:line="300" w:lineRule="auto" w:after="240"/>
        <w:jc w:val="both"/>
      </w:pPr>
      <w:r>
        <w:t>We, the undersigned members of the project group, wish to convey our profound gratitude and sincere appreciation to all individuals whose contributions facilitated the successful completion of this Project Based Learning (PBL) report, titled "Legal Document Analyser and Advisor – Reports, Analytics and System Integration Subsystem."</w:t>
      </w:r>
    </w:p>
    <w:p>
      <w:pPr>
        <w:spacing w:line="300" w:lineRule="auto" w:after="240"/>
        <w:jc w:val="both"/>
      </w:pPr>
      <w:r>
        <w:t>Our heartfelt thanks are extended to Prof. (Er.) Ram Babu Buri, our esteemed project supervisor, for his insightful guidance, unwavering encouragement, and continuous support throughout the entire duration of this project.</w:t>
      </w:r>
    </w:p>
    <w:p>
      <w:pPr>
        <w:spacing w:line="300" w:lineRule="auto" w:after="240"/>
        <w:jc w:val="both"/>
      </w:pPr>
      <w:r>
        <w:t>We gratefully acknowledge the invaluable contribution and support provided by the faculty and staff of the Department of Computer Science &amp; Engineering, Arya College of Engineering &amp; Information Technology, Jaipur, for furnishing the requisite resources and an optimal academic environment essential for our learning and professional development.</w:t>
      </w:r>
    </w:p>
    <w:p>
      <w:pPr>
        <w:spacing w:line="300" w:lineRule="auto" w:after="240"/>
        <w:jc w:val="both"/>
      </w:pPr>
      <w:r>
        <w:t>Special appreciation is extended to our collaborative team peers—Gourav Nagori (Team Lead), Dilip Kumawat, Ayush Rathore, and Abhishi Samar—whose modular co-development and interface wiring made full-stack system integration possible.</w:t>
      </w:r>
    </w:p>
    <w:p>
      <w:pPr>
        <w:spacing w:line="300" w:lineRule="auto" w:after="240"/>
        <w:jc w:val="both"/>
      </w:pPr>
      <w:r>
        <w:t>We are further indebted to our friends and families for their steadfast encouragement and motivation throughout this challenging endeavor.</w:t>
      </w:r>
    </w:p>
    <w:p>
      <w:pPr>
        <w:spacing w:before="400"/>
      </w:pPr>
      <w:r>
        <w:rPr>
          <w:b/>
          <w:sz w:val="23"/>
        </w:rPr>
        <w:t>Harshvardhan Bhatt (24EARCS030)</w:t>
      </w:r>
    </w:p>
    <w:p>
      <w:r>
        <w:br w:type="page"/>
      </w:r>
    </w:p>
    <w:p>
      <w:pPr>
        <w:spacing w:after="280"/>
        <w:jc w:val="center"/>
      </w:pPr>
      <w:r>
        <w:rPr>
          <w:b/>
          <w:sz w:val="27"/>
        </w:rPr>
        <w:t>TABLE OF CONTENTS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c>
          <w:tcPr>
            <w:tcW w:type="dxa" w:w="7776"/>
            <w:tcMar>
              <w:top w:w="70" w:type="dxa"/>
              <w:bottom w:w="70" w:type="dxa"/>
              <w:left w:w="100" w:type="dxa"/>
              <w:right w:w="100" w:type="dxa"/>
            </w:tcMar>
            <w:shd w:fill="D4EDDA"/>
          </w:tcPr>
          <w:p>
            <w:pPr>
              <w:spacing w:before="20" w:after="20"/>
            </w:pPr>
            <w:r>
              <w:rPr>
                <w:b/>
              </w:rPr>
              <w:t>Section</w:t>
            </w:r>
          </w:p>
        </w:tc>
        <w:tc>
          <w:tcPr>
            <w:tcW w:type="dxa" w:w="1584"/>
            <w:tcMar>
              <w:top w:w="70" w:type="dxa"/>
              <w:bottom w:w="70" w:type="dxa"/>
              <w:left w:w="100" w:type="dxa"/>
              <w:right w:w="100" w:type="dxa"/>
            </w:tcMar>
            <w:shd w:fill="D4EDDA"/>
          </w:tcPr>
          <w:p>
            <w:pPr>
              <w:spacing w:before="20" w:after="20"/>
              <w:jc w:val="right"/>
            </w:pPr>
            <w:r>
              <w:rPr>
                <w:b/>
              </w:rPr>
              <w:t>Page</w:t>
            </w:r>
          </w:p>
        </w:tc>
      </w:tr>
      <w:tr>
        <w:tc>
          <w:tcPr>
            <w:tcW w:type="dxa" w:w="7776"/>
            <w:tcMar>
              <w:top w:w="70" w:type="dxa"/>
              <w:bottom w:w="70" w:type="dxa"/>
              <w:left w:w="100" w:type="dxa"/>
              <w:right w:w="100" w:type="dxa"/>
            </w:tcMar>
          </w:tcPr>
          <w:p>
            <w:pPr>
              <w:spacing w:before="20" w:after="20" w:line="276" w:lineRule="auto"/>
            </w:pPr>
            <w:r>
              <w:t>Chapter 1. Introduction and Project Context</w:t>
            </w:r>
          </w:p>
        </w:tc>
        <w:tc>
          <w:tcPr>
            <w:tcW w:type="dxa" w:w="1584"/>
            <w:tcMar>
              <w:top w:w="70" w:type="dxa"/>
              <w:bottom w:w="70" w:type="dxa"/>
              <w:left w:w="100" w:type="dxa"/>
              <w:right w:w="100" w:type="dxa"/>
            </w:tcMar>
          </w:tcPr>
          <w:p>
            <w:pPr>
              <w:spacing w:before="20" w:after="20" w:line="276" w:lineRule="auto"/>
              <w:jc w:val="right"/>
            </w:pPr>
            <w:r>
              <w:t>1</w:t>
            </w:r>
          </w:p>
        </w:tc>
      </w:tr>
      <w:tr>
        <w:tc>
          <w:tcPr>
            <w:tcW w:type="dxa" w:w="7776"/>
            <w:tcMar>
              <w:top w:w="70" w:type="dxa"/>
              <w:bottom w:w="70" w:type="dxa"/>
              <w:left w:w="100" w:type="dxa"/>
              <w:right w:w="100" w:type="dxa"/>
            </w:tcMar>
          </w:tcPr>
          <w:p>
            <w:pPr>
              <w:spacing w:before="20" w:after="20" w:line="276" w:lineRule="auto"/>
            </w:pPr>
            <w:r>
              <w:t>Chapter 2. Objectives, Scope and Problem Definition</w:t>
            </w:r>
          </w:p>
        </w:tc>
        <w:tc>
          <w:tcPr>
            <w:tcW w:type="dxa" w:w="1584"/>
            <w:tcMar>
              <w:top w:w="70" w:type="dxa"/>
              <w:bottom w:w="70" w:type="dxa"/>
              <w:left w:w="100" w:type="dxa"/>
              <w:right w:w="100" w:type="dxa"/>
            </w:tcMar>
          </w:tcPr>
          <w:p>
            <w:pPr>
              <w:spacing w:before="20" w:after="20" w:line="276" w:lineRule="auto"/>
              <w:jc w:val="right"/>
            </w:pPr>
            <w:r>
              <w:t>2</w:t>
            </w:r>
          </w:p>
        </w:tc>
      </w:tr>
      <w:tr>
        <w:tc>
          <w:tcPr>
            <w:tcW w:type="dxa" w:w="7776"/>
            <w:tcMar>
              <w:top w:w="70" w:type="dxa"/>
              <w:bottom w:w="70" w:type="dxa"/>
              <w:left w:w="100" w:type="dxa"/>
              <w:right w:w="100" w:type="dxa"/>
            </w:tcMar>
          </w:tcPr>
          <w:p>
            <w:pPr>
              <w:spacing w:before="20" w:after="20" w:line="276" w:lineRule="auto"/>
            </w:pPr>
            <w:r>
              <w:t>Chapter 3. Research Background and Related Work</w:t>
            </w:r>
          </w:p>
        </w:tc>
        <w:tc>
          <w:tcPr>
            <w:tcW w:type="dxa" w:w="1584"/>
            <w:tcMar>
              <w:top w:w="70" w:type="dxa"/>
              <w:bottom w:w="70" w:type="dxa"/>
              <w:left w:w="100" w:type="dxa"/>
              <w:right w:w="100" w:type="dxa"/>
            </w:tcMar>
          </w:tcPr>
          <w:p>
            <w:pPr>
              <w:spacing w:before="20" w:after="20" w:line="276" w:lineRule="auto"/>
              <w:jc w:val="right"/>
            </w:pPr>
            <w:r>
              <w:t>3</w:t>
            </w:r>
          </w:p>
        </w:tc>
      </w:tr>
      <w:tr>
        <w:tc>
          <w:tcPr>
            <w:tcW w:type="dxa" w:w="7776"/>
            <w:tcMar>
              <w:top w:w="70" w:type="dxa"/>
              <w:bottom w:w="70" w:type="dxa"/>
              <w:left w:w="100" w:type="dxa"/>
              <w:right w:w="100" w:type="dxa"/>
            </w:tcMar>
          </w:tcPr>
          <w:p>
            <w:pPr>
              <w:spacing w:before="20" w:after="20" w:line="276" w:lineRule="auto"/>
            </w:pPr>
            <w:r>
              <w:t>Chapter 4. Reports &amp; Analytics Module Requirements</w:t>
            </w:r>
          </w:p>
        </w:tc>
        <w:tc>
          <w:tcPr>
            <w:tcW w:type="dxa" w:w="1584"/>
            <w:tcMar>
              <w:top w:w="70" w:type="dxa"/>
              <w:bottom w:w="70" w:type="dxa"/>
              <w:left w:w="100" w:type="dxa"/>
              <w:right w:w="100" w:type="dxa"/>
            </w:tcMar>
          </w:tcPr>
          <w:p>
            <w:pPr>
              <w:spacing w:before="20" w:after="20" w:line="276" w:lineRule="auto"/>
              <w:jc w:val="right"/>
            </w:pPr>
            <w:r>
              <w:t>4</w:t>
            </w:r>
          </w:p>
        </w:tc>
      </w:tr>
      <w:tr>
        <w:tc>
          <w:tcPr>
            <w:tcW w:type="dxa" w:w="7776"/>
            <w:tcMar>
              <w:top w:w="70" w:type="dxa"/>
              <w:bottom w:w="70" w:type="dxa"/>
              <w:left w:w="100" w:type="dxa"/>
              <w:right w:w="100" w:type="dxa"/>
            </w:tcMar>
          </w:tcPr>
          <w:p>
            <w:pPr>
              <w:spacing w:before="20" w:after="20" w:line="276" w:lineRule="auto"/>
            </w:pPr>
            <w:r>
              <w:t>Chapter 5. Architecture and Integration</w:t>
            </w:r>
          </w:p>
        </w:tc>
        <w:tc>
          <w:tcPr>
            <w:tcW w:type="dxa" w:w="1584"/>
            <w:tcMar>
              <w:top w:w="70" w:type="dxa"/>
              <w:bottom w:w="70" w:type="dxa"/>
              <w:left w:w="100" w:type="dxa"/>
              <w:right w:w="100" w:type="dxa"/>
            </w:tcMar>
          </w:tcPr>
          <w:p>
            <w:pPr>
              <w:spacing w:before="20" w:after="20" w:line="276" w:lineRule="auto"/>
              <w:jc w:val="right"/>
            </w:pPr>
            <w:r>
              <w:t>5</w:t>
            </w:r>
          </w:p>
        </w:tc>
      </w:tr>
      <w:tr>
        <w:tc>
          <w:tcPr>
            <w:tcW w:type="dxa" w:w="7776"/>
            <w:tcMar>
              <w:top w:w="70" w:type="dxa"/>
              <w:bottom w:w="70" w:type="dxa"/>
              <w:left w:w="100" w:type="dxa"/>
              <w:right w:w="100" w:type="dxa"/>
            </w:tcMar>
          </w:tcPr>
          <w:p>
            <w:pPr>
              <w:spacing w:before="20" w:after="20" w:line="276" w:lineRule="auto"/>
            </w:pPr>
            <w:r>
              <w:t>Chapter 6. Analytics Dashboard and Executive Profile</w:t>
            </w:r>
          </w:p>
        </w:tc>
        <w:tc>
          <w:tcPr>
            <w:tcW w:type="dxa" w:w="1584"/>
            <w:tcMar>
              <w:top w:w="70" w:type="dxa"/>
              <w:bottom w:w="70" w:type="dxa"/>
              <w:left w:w="100" w:type="dxa"/>
              <w:right w:w="100" w:type="dxa"/>
            </w:tcMar>
          </w:tcPr>
          <w:p>
            <w:pPr>
              <w:spacing w:before="20" w:after="20" w:line="276" w:lineRule="auto"/>
              <w:jc w:val="right"/>
            </w:pPr>
            <w:r>
              <w:t>6</w:t>
            </w:r>
          </w:p>
        </w:tc>
      </w:tr>
      <w:tr>
        <w:tc>
          <w:tcPr>
            <w:tcW w:type="dxa" w:w="7776"/>
            <w:tcMar>
              <w:top w:w="70" w:type="dxa"/>
              <w:bottom w:w="70" w:type="dxa"/>
              <w:left w:w="100" w:type="dxa"/>
              <w:right w:w="100" w:type="dxa"/>
            </w:tcMar>
          </w:tcPr>
          <w:p>
            <w:pPr>
              <w:spacing w:before="20" w:after="20" w:line="276" w:lineRule="auto"/>
            </w:pPr>
            <w:r>
              <w:t>Chapter 7. Legal Audit Report Compilation Management</w:t>
            </w:r>
          </w:p>
        </w:tc>
        <w:tc>
          <w:tcPr>
            <w:tcW w:type="dxa" w:w="1584"/>
            <w:tcMar>
              <w:top w:w="70" w:type="dxa"/>
              <w:bottom w:w="70" w:type="dxa"/>
              <w:left w:w="100" w:type="dxa"/>
              <w:right w:w="100" w:type="dxa"/>
            </w:tcMar>
          </w:tcPr>
          <w:p>
            <w:pPr>
              <w:spacing w:before="20" w:after="20" w:line="276" w:lineRule="auto"/>
              <w:jc w:val="right"/>
            </w:pPr>
            <w:r>
              <w:t>8</w:t>
            </w:r>
          </w:p>
        </w:tc>
      </w:tr>
      <w:tr>
        <w:tc>
          <w:tcPr>
            <w:tcW w:type="dxa" w:w="7776"/>
            <w:tcMar>
              <w:top w:w="70" w:type="dxa"/>
              <w:bottom w:w="70" w:type="dxa"/>
              <w:left w:w="100" w:type="dxa"/>
              <w:right w:w="100" w:type="dxa"/>
            </w:tcMar>
          </w:tcPr>
          <w:p>
            <w:pPr>
              <w:spacing w:before="20" w:after="20" w:line="276" w:lineRule="auto"/>
            </w:pPr>
            <w:r>
              <w:t>Chapter 8. Risk Distribution and Performance Monitoring</w:t>
            </w:r>
          </w:p>
        </w:tc>
        <w:tc>
          <w:tcPr>
            <w:tcW w:type="dxa" w:w="1584"/>
            <w:tcMar>
              <w:top w:w="70" w:type="dxa"/>
              <w:bottom w:w="70" w:type="dxa"/>
              <w:left w:w="100" w:type="dxa"/>
              <w:right w:w="100" w:type="dxa"/>
            </w:tcMar>
          </w:tcPr>
          <w:p>
            <w:pPr>
              <w:spacing w:before="20" w:after="20" w:line="276" w:lineRule="auto"/>
              <w:jc w:val="right"/>
            </w:pPr>
            <w:r>
              <w:t>9</w:t>
            </w:r>
          </w:p>
        </w:tc>
      </w:tr>
      <w:tr>
        <w:tc>
          <w:tcPr>
            <w:tcW w:type="dxa" w:w="7776"/>
            <w:tcMar>
              <w:top w:w="70" w:type="dxa"/>
              <w:bottom w:w="70" w:type="dxa"/>
              <w:left w:w="100" w:type="dxa"/>
              <w:right w:w="100" w:type="dxa"/>
            </w:tcMar>
          </w:tcPr>
          <w:p>
            <w:pPr>
              <w:spacing w:before="20" w:after="20" w:line="276" w:lineRule="auto"/>
            </w:pPr>
            <w:r>
              <w:t>Chapter 9. Multi-Format Ingestion and PDF Report Export</w:t>
            </w:r>
          </w:p>
        </w:tc>
        <w:tc>
          <w:tcPr>
            <w:tcW w:type="dxa" w:w="1584"/>
            <w:tcMar>
              <w:top w:w="70" w:type="dxa"/>
              <w:bottom w:w="70" w:type="dxa"/>
              <w:left w:w="100" w:type="dxa"/>
              <w:right w:w="100" w:type="dxa"/>
            </w:tcMar>
          </w:tcPr>
          <w:p>
            <w:pPr>
              <w:spacing w:before="20" w:after="20" w:line="276" w:lineRule="auto"/>
              <w:jc w:val="right"/>
            </w:pPr>
            <w:r>
              <w:t>10</w:t>
            </w:r>
          </w:p>
        </w:tc>
      </w:tr>
      <w:tr>
        <w:tc>
          <w:tcPr>
            <w:tcW w:type="dxa" w:w="7776"/>
            <w:tcMar>
              <w:top w:w="70" w:type="dxa"/>
              <w:bottom w:w="70" w:type="dxa"/>
              <w:left w:w="100" w:type="dxa"/>
              <w:right w:w="100" w:type="dxa"/>
            </w:tcMar>
          </w:tcPr>
          <w:p>
            <w:pPr>
              <w:spacing w:before="20" w:after="20" w:line="276" w:lineRule="auto"/>
            </w:pPr>
            <w:r>
              <w:t>Chapter 10. Data Design and API Workflow</w:t>
            </w:r>
          </w:p>
        </w:tc>
        <w:tc>
          <w:tcPr>
            <w:tcW w:type="dxa" w:w="1584"/>
            <w:tcMar>
              <w:top w:w="70" w:type="dxa"/>
              <w:bottom w:w="70" w:type="dxa"/>
              <w:left w:w="100" w:type="dxa"/>
              <w:right w:w="100" w:type="dxa"/>
            </w:tcMar>
          </w:tcPr>
          <w:p>
            <w:pPr>
              <w:spacing w:before="20" w:after="20" w:line="276" w:lineRule="auto"/>
              <w:jc w:val="right"/>
            </w:pPr>
            <w:r>
              <w:t>11</w:t>
            </w:r>
          </w:p>
        </w:tc>
      </w:tr>
      <w:tr>
        <w:tc>
          <w:tcPr>
            <w:tcW w:type="dxa" w:w="7776"/>
            <w:tcMar>
              <w:top w:w="70" w:type="dxa"/>
              <w:bottom w:w="70" w:type="dxa"/>
              <w:left w:w="100" w:type="dxa"/>
              <w:right w:w="100" w:type="dxa"/>
            </w:tcMar>
          </w:tcPr>
          <w:p>
            <w:pPr>
              <w:spacing w:before="20" w:after="20" w:line="276" w:lineRule="auto"/>
            </w:pPr>
            <w:r>
              <w:t>Chapter 11. Illustrative Code for Analytics &amp; Report Module</w:t>
            </w:r>
          </w:p>
        </w:tc>
        <w:tc>
          <w:tcPr>
            <w:tcW w:type="dxa" w:w="1584"/>
            <w:tcMar>
              <w:top w:w="70" w:type="dxa"/>
              <w:bottom w:w="70" w:type="dxa"/>
              <w:left w:w="100" w:type="dxa"/>
              <w:right w:w="100" w:type="dxa"/>
            </w:tcMar>
          </w:tcPr>
          <w:p>
            <w:pPr>
              <w:spacing w:before="20" w:after="20" w:line="276" w:lineRule="auto"/>
              <w:jc w:val="right"/>
            </w:pPr>
            <w:r>
              <w:t>12</w:t>
            </w:r>
          </w:p>
        </w:tc>
      </w:tr>
      <w:tr>
        <w:tc>
          <w:tcPr>
            <w:tcW w:type="dxa" w:w="7776"/>
            <w:tcMar>
              <w:top w:w="70" w:type="dxa"/>
              <w:bottom w:w="70" w:type="dxa"/>
              <w:left w:w="100" w:type="dxa"/>
              <w:right w:w="100" w:type="dxa"/>
            </w:tcMar>
          </w:tcPr>
          <w:p>
            <w:pPr>
              <w:spacing w:before="20" w:after="20" w:line="276" w:lineRule="auto"/>
            </w:pPr>
            <w:r>
              <w:t>Chapter 12. Security, Privacy and Validation</w:t>
            </w:r>
          </w:p>
        </w:tc>
        <w:tc>
          <w:tcPr>
            <w:tcW w:type="dxa" w:w="1584"/>
            <w:tcMar>
              <w:top w:w="70" w:type="dxa"/>
              <w:bottom w:w="70" w:type="dxa"/>
              <w:left w:w="100" w:type="dxa"/>
              <w:right w:w="100" w:type="dxa"/>
            </w:tcMar>
          </w:tcPr>
          <w:p>
            <w:pPr>
              <w:spacing w:before="20" w:after="20" w:line="276" w:lineRule="auto"/>
              <w:jc w:val="right"/>
            </w:pPr>
            <w:r>
              <w:t>14</w:t>
            </w:r>
          </w:p>
        </w:tc>
      </w:tr>
      <w:tr>
        <w:tc>
          <w:tcPr>
            <w:tcW w:type="dxa" w:w="7776"/>
            <w:tcMar>
              <w:top w:w="70" w:type="dxa"/>
              <w:bottom w:w="70" w:type="dxa"/>
              <w:left w:w="100" w:type="dxa"/>
              <w:right w:w="100" w:type="dxa"/>
            </w:tcMar>
          </w:tcPr>
          <w:p>
            <w:pPr>
              <w:spacing w:before="20" w:after="20" w:line="276" w:lineRule="auto"/>
            </w:pPr>
            <w:r>
              <w:t>Chapter 13. Testing and Evaluation Plan</w:t>
            </w:r>
          </w:p>
        </w:tc>
        <w:tc>
          <w:tcPr>
            <w:tcW w:type="dxa" w:w="1584"/>
            <w:tcMar>
              <w:top w:w="70" w:type="dxa"/>
              <w:bottom w:w="70" w:type="dxa"/>
              <w:left w:w="100" w:type="dxa"/>
              <w:right w:w="100" w:type="dxa"/>
            </w:tcMar>
          </w:tcPr>
          <w:p>
            <w:pPr>
              <w:spacing w:before="20" w:after="20" w:line="276" w:lineRule="auto"/>
              <w:jc w:val="right"/>
            </w:pPr>
            <w:r>
              <w:t>15</w:t>
            </w:r>
          </w:p>
        </w:tc>
      </w:tr>
      <w:tr>
        <w:tc>
          <w:tcPr>
            <w:tcW w:type="dxa" w:w="7776"/>
            <w:tcMar>
              <w:top w:w="70" w:type="dxa"/>
              <w:bottom w:w="70" w:type="dxa"/>
              <w:left w:w="100" w:type="dxa"/>
              <w:right w:w="100" w:type="dxa"/>
            </w:tcMar>
          </w:tcPr>
          <w:p>
            <w:pPr>
              <w:spacing w:before="20" w:after="20" w:line="276" w:lineRule="auto"/>
            </w:pPr>
            <w:r>
              <w:t>Chapter 14. Conclusion and References</w:t>
            </w:r>
          </w:p>
        </w:tc>
        <w:tc>
          <w:tcPr>
            <w:tcW w:type="dxa" w:w="1584"/>
            <w:tcMar>
              <w:top w:w="70" w:type="dxa"/>
              <w:bottom w:w="70" w:type="dxa"/>
              <w:left w:w="100" w:type="dxa"/>
              <w:right w:w="100" w:type="dxa"/>
            </w:tcMar>
          </w:tcPr>
          <w:p>
            <w:pPr>
              <w:spacing w:before="20" w:after="20" w:line="276" w:lineRule="auto"/>
              <w:jc w:val="right"/>
            </w:pPr>
            <w:r>
              <w:t>16</w:t>
            </w:r>
          </w:p>
        </w:tc>
      </w:tr>
    </w:tbl>
    <w:p>
      <w:r>
        <w:br w:type="page"/>
      </w:r>
    </w:p>
    <w:p>
      <w:pPr>
        <w:sectPr>
          <w:pgSz w:w="12240" w:h="15840"/>
          <w:pgMar w:top="1440" w:right="1440" w:bottom="1440" w:left="1440" w:header="720" w:footer="720" w:gutter="0"/>
          <w:cols w:space="720"/>
          <w:docGrid w:linePitch="360"/>
        </w:sectPr>
      </w:pPr>
    </w:p>
    <w:p>
      <w:pPr>
        <w:keepNext/>
        <w:spacing w:before="280" w:after="160"/>
      </w:pPr>
      <w:r>
        <w:rPr>
          <w:b/>
          <w:sz w:val="24"/>
        </w:rPr>
        <w:t>CHAPTER 1. INTRODUCTION AND PROJECT CONTEXT</w:t>
      </w:r>
    </w:p>
    <w:p>
      <w:pPr>
        <w:spacing w:line="288" w:lineRule="auto" w:after="120"/>
        <w:jc w:val="both"/>
      </w:pPr>
      <w:r>
        <w:rPr>
          <w:sz w:val="22"/>
        </w:rPr>
        <w:t>Legal Document Analyser &amp; Advisor is an AI-assisted legal intelligence and contract management system intended to bring selected contract review workflows for Individuals, Small Businesses, Corporate Counsels, and Legal Auditors into a common role-based web application. The team report records a modern enterprise web interface, a Java Spring Boot REST backend, a MongoDB document database for persistent analytical state, Apache PDFBox 2.0.30 for file extraction and executive PDF rendering, and Groq API integration for selected AI-assisted advisory workflows.</w:t>
      </w:r>
    </w:p>
    <w:p>
      <w:pPr>
        <w:spacing w:line="288" w:lineRule="auto" w:after="120"/>
        <w:jc w:val="both"/>
      </w:pPr>
      <w:r>
        <w:rPr>
          <w:sz w:val="22"/>
        </w:rPr>
        <w:t>The Reports, Analytics &amp; Integration Module is the intelligence-synthesizing and presentation-facing part of this integrated system. Its intended scope includes the executive analytics dashboard, mathematical risk distribution aggregation, audit report compilation, low-level Apache PDFBox executive export generation, and cross-module workflow synchronization. Actual feature availability must be checked in the current build; planned scope alone is not proof of implementation.</w:t>
      </w:r>
    </w:p>
    <w:p>
      <w:pPr>
        <w:spacing w:line="288" w:lineRule="auto" w:after="120"/>
        <w:jc w:val="both"/>
      </w:pPr>
      <w:r>
        <w:rPr>
          <w:sz w:val="22"/>
        </w:rPr>
        <w:t>The module depends on shared document ingestion and clause risk contracts. It should present real authorized data, explain missing or unanalyzed records clearly, and avoid treating automated risk heuristics as binding formal legal advice.</w:t>
      </w:r>
    </w:p>
    <w:p>
      <w:pPr>
        <w:keepNext/>
        <w:spacing w:before="200" w:after="80"/>
      </w:pPr>
      <w:r>
        <w:rPr>
          <w:b/>
          <w:sz w:val="23"/>
        </w:rPr>
        <w:t>1.1 Personal responsibility</w:t>
      </w:r>
    </w:p>
    <w:p>
      <w:pPr>
        <w:spacing w:line="288" w:lineRule="auto" w:after="120"/>
        <w:jc w:val="both"/>
      </w:pPr>
      <w:r>
        <w:rPr>
          <w:sz w:val="22"/>
        </w:rPr>
        <w:t>The team report records Harshvardhan Bhatt as the member responsible for the Reports, Analytics &amp; System Integration Module. Other recorded responsibilities are document ingestion, upload validation and OCR extraction for Gourav Nagori (Team Lead); clause segmentation, risk detection and scoring rules for Dilip Kumawat; user authentication, JWT security and case folders for Ayush Rathore; and conversational AI advisor with document grounding for Abhishi Samar.</w:t>
      </w:r>
    </w:p>
    <w:p>
      <w:pPr>
        <w:keepNext/>
        <w:spacing w:before="200" w:after="80"/>
      </w:pPr>
      <w:r>
        <w:rPr>
          <w:b/>
          <w:sz w:val="23"/>
        </w:rPr>
        <w:t>1.2 Report purpose</w:t>
      </w:r>
    </w:p>
    <w:p>
      <w:pPr>
        <w:spacing w:line="288" w:lineRule="auto" w:after="120"/>
        <w:jc w:val="both"/>
      </w:pPr>
      <w:r>
        <w:rPr>
          <w:sz w:val="22"/>
        </w:rPr>
        <w:t>This report focuses on the Reports, Analytics &amp; Integration Module's objectives, requirements, architecture, audit reporting workflows, illustrative code, security, and verification. It is not a substitute for repository evidence or the overall team report.</w:t>
      </w:r>
    </w:p>
    <w:p>
      <w:r>
        <w:br w:type="page"/>
      </w:r>
    </w:p>
    <w:p>
      <w:pPr>
        <w:keepNext/>
        <w:spacing w:before="280" w:after="160"/>
      </w:pPr>
      <w:r>
        <w:rPr>
          <w:b/>
          <w:sz w:val="24"/>
        </w:rPr>
        <w:t>CHAPTER 2. OBJECTIVES, SCOPE AND PROBLEM DEFINITION</w:t>
      </w:r>
    </w:p>
    <w:p>
      <w:pPr>
        <w:spacing w:line="288" w:lineRule="auto" w:after="120"/>
        <w:jc w:val="both"/>
      </w:pPr>
      <w:r>
        <w:rPr>
          <w:sz w:val="22"/>
        </w:rPr>
        <w:t>Contractual information is traditionally dense, heavily structured, and obscured by archaic terminology (*legalese*). Signees frequently encounter hidden liabilities, uncapped indemnification obligations, aggressive non-compete covenants, and unilateral termination penalties. When automated tools analyze such documents, outputting isolated JSON arrays or raw risk scores without aggregate intelligence or printable documentation leaves users without executive clarity. ScholarTrack and Legal Advisor's recorded architecture addresses this issue by using a unified backend and cloud database.</w:t>
      </w:r>
    </w:p>
    <w:p>
      <w:pPr>
        <w:spacing w:line="288" w:lineRule="auto" w:after="120"/>
        <w:jc w:val="both"/>
      </w:pPr>
      <w:r>
        <w:rPr>
          <w:sz w:val="22"/>
        </w:rPr>
        <w:t>The Reports, Analytics &amp; Integration Module aims to provide a consistent interface for supported contract intelligence workflows while relying on the backend for authoritative records and permissions. It should not create fictitious risk scores, misleading averages, or fabricated audit reports when data is unavailable.</w:t>
      </w:r>
    </w:p>
    <w:p>
      <w:pPr>
        <w:keepNext/>
        <w:spacing w:before="200" w:after="80"/>
      </w:pPr>
      <w:r>
        <w:rPr>
          <w:b/>
          <w:sz w:val="23"/>
        </w:rPr>
        <w:t>2.1 Objectives</w:t>
      </w:r>
    </w:p>
    <w:p>
      <w:pPr>
        <w:pStyle w:val="ListBullet"/>
        <w:spacing w:line="276" w:lineRule="auto" w:before="20" w:after="60"/>
      </w:pPr>
      <w:r>
        <w:rPr>
          <w:sz w:val="22"/>
        </w:rPr>
        <w:t>Provide a role-appropriate executive analytics dashboard with live KPI scorecards.</w:t>
      </w:r>
    </w:p>
    <w:p>
      <w:pPr>
        <w:pStyle w:val="ListBullet"/>
        <w:spacing w:line="276" w:lineRule="auto" w:before="20" w:after="60"/>
      </w:pPr>
      <w:r>
        <w:rPr>
          <w:sz w:val="22"/>
        </w:rPr>
        <w:t>Display system-wide and user-scoped contract metrics computed from authoritative database records.</w:t>
      </w:r>
    </w:p>
    <w:p>
      <w:pPr>
        <w:pStyle w:val="ListBullet"/>
        <w:spacing w:line="276" w:lineRule="auto" w:before="20" w:after="60"/>
      </w:pPr>
      <w:r>
        <w:rPr>
          <w:sz w:val="22"/>
        </w:rPr>
        <w:t>Aggregate mathematical risk severity distributions across Low, Medium, High, and Critical tiers.</w:t>
      </w:r>
    </w:p>
    <w:p>
      <w:pPr>
        <w:pStyle w:val="ListBullet"/>
        <w:spacing w:line="276" w:lineRule="auto" w:before="20" w:after="60"/>
      </w:pPr>
      <w:r>
        <w:rPr>
          <w:sz w:val="22"/>
        </w:rPr>
        <w:t>Compile structured LegalReport entities linking clauses, detected risks, and negotiation advice.</w:t>
      </w:r>
    </w:p>
    <w:p>
      <w:pPr>
        <w:pStyle w:val="ListBullet"/>
        <w:spacing w:line="276" w:lineRule="auto" w:before="20" w:after="60"/>
      </w:pPr>
      <w:r>
        <w:rPr>
          <w:sz w:val="22"/>
        </w:rPr>
        <w:t>Generate publication-ready executive PDF audit reports using Apache PDFBox with custom text wrapping.</w:t>
      </w:r>
    </w:p>
    <w:p>
      <w:pPr>
        <w:pStyle w:val="ListBullet"/>
        <w:spacing w:line="276" w:lineRule="auto" w:before="20" w:after="60"/>
      </w:pPr>
      <w:r>
        <w:rPr>
          <w:sz w:val="22"/>
        </w:rPr>
        <w:t>Expose clean RESTful APIs and handle loading, empty, validation, and network-error states.</w:t>
      </w:r>
    </w:p>
    <w:p>
      <w:pPr>
        <w:pStyle w:val="ListBullet"/>
        <w:spacing w:line="276" w:lineRule="auto" w:before="20" w:after="60"/>
      </w:pPr>
      <w:r>
        <w:rPr>
          <w:sz w:val="22"/>
        </w:rPr>
        <w:t>Orchestrate seamless cross-module workflows through a dedicated integration coordinator.</w:t>
      </w:r>
    </w:p>
    <w:p>
      <w:pPr>
        <w:keepNext/>
        <w:spacing w:before="200" w:after="80"/>
      </w:pPr>
      <w:r>
        <w:rPr>
          <w:b/>
          <w:sz w:val="23"/>
        </w:rPr>
        <w:t>2.2 Scope boundaries</w:t>
      </w:r>
    </w:p>
    <w:p>
      <w:pPr>
        <w:spacing w:line="288" w:lineRule="auto" w:after="120"/>
        <w:jc w:val="both"/>
      </w:pPr>
      <w:r>
        <w:rPr>
          <w:sz w:val="22"/>
        </w:rPr>
        <w:t>The Reports &amp; Analytics Module does not own raw PDF/DOCX stream extraction (owned by Gourav Nagori), rule-based regex clause parsing (owned by Dilip Kumawat), JWT token generation (owned by Ayush Rathore), or external LLM provider prompt tuning (owned by Abhishi Samar). It consumes supported data through the shared API. Each feature should be labelled implemented, partial, planned, or unavailable after checking the current application.</w:t>
      </w:r>
    </w:p>
    <w:p>
      <w:r>
        <w:br w:type="page"/>
      </w:r>
    </w:p>
    <w:p>
      <w:pPr>
        <w:keepNext/>
        <w:spacing w:before="280" w:after="160"/>
      </w:pPr>
      <w:r>
        <w:rPr>
          <w:b/>
          <w:sz w:val="24"/>
        </w:rPr>
        <w:t>CHAPTER 3. RESEARCH BACKGROUND AND RELATED WORK</w:t>
      </w:r>
    </w:p>
    <w:p>
      <w:pPr>
        <w:spacing w:line="288" w:lineRule="auto" w:after="120"/>
        <w:jc w:val="both"/>
      </w:pPr>
      <w:r>
        <w:rPr>
          <w:sz w:val="22"/>
        </w:rPr>
        <w:t>Legal informatics and document intelligence leverage Natural Language Processing (NLP) and rule-based heuristics to inform contractual triage decisions. Ifenthaler and Yau's systematic review describes how learning analytics has been used to support decision success, while also noting that evidence for uncalibrated automated scoring remains limited [1]. This supports designing the Legal Document Analyser's risk scoring views as decision support rather than as unquestionable legal advice.</w:t>
      </w:r>
    </w:p>
    <w:p>
      <w:pPr>
        <w:spacing w:line="288" w:lineRule="auto" w:after="120"/>
        <w:jc w:val="both"/>
      </w:pPr>
      <w:r>
        <w:rPr>
          <w:sz w:val="22"/>
        </w:rPr>
        <w:t>Research on predictive analysis reviews data-mining and analytical-modeling methods, highlighting contractual terms and obligation categories as common variables [2]. Such studies can inform future analysis, but an analytical model's accuracy must be evaluated on relevant legal corpora before it is used in practice. The Analytics Module should prioritize correct display of stored analytical records before introducing predictive claims.</w:t>
      </w:r>
    </w:p>
    <w:p>
      <w:pPr>
        <w:spacing w:line="288" w:lineRule="auto" w:after="120"/>
        <w:jc w:val="both"/>
      </w:pPr>
      <w:r>
        <w:rPr>
          <w:sz w:val="22"/>
        </w:rPr>
        <w:t>Siemens and Long discuss the growing role of analytics in institutional environments [3]. Zawacki-Richter and colleagues review AI applications and identify both opportunities and concerns about human oversight [4]. For Legal Advisor, this suggests that AI support should be transparent, bounded, explainable, and reviewed by human legal experts rather than replacing official legal counsel.</w:t>
      </w:r>
    </w:p>
    <w:p>
      <w:pPr>
        <w:spacing w:line="288" w:lineRule="auto" w:after="120"/>
        <w:jc w:val="both"/>
      </w:pPr>
      <w:r>
        <w:rPr>
          <w:sz w:val="22"/>
        </w:rPr>
        <w:t>Data handling and report distribution are equally critical. Pardo and Siemens discuss ethical and privacy principles [5], while Slade and Prinsloo examine ethical issues raised by collecting and using participant data [6]. Role-based access control provides a structured way to define permissions [7], and the relational/NoSQL model provides a foundation for organizing related records [8]. These concepts guide the Analytics Module's privacy, tenant isolation, and data-integrity requirements.</w:t>
      </w:r>
    </w:p>
    <w:p>
      <w:pPr>
        <w:keepNext/>
        <w:spacing w:before="200" w:after="80"/>
      </w:pPr>
      <w:r>
        <w:rPr>
          <w:b/>
          <w:sz w:val="23"/>
        </w:rPr>
        <w:t>3.1 Relevance to Legal Document Analyser</w:t>
      </w:r>
    </w:p>
    <w:p>
      <w:pPr>
        <w:spacing w:line="288" w:lineRule="auto" w:after="120"/>
        <w:jc w:val="both"/>
      </w:pPr>
      <w:r>
        <w:rPr>
          <w:sz w:val="22"/>
        </w:rPr>
        <w:t>The literature supports four practical design principles: use contractual data for clear purposes; display source clauses accurately; enforce access rules; and present analytics or AI advice with prominent informational limitations. The cited research does not establish that automated systems replace qualified attorney representation.</w:t>
      </w:r>
    </w:p>
    <w:p>
      <w:r>
        <w:br w:type="page"/>
      </w:r>
    </w:p>
    <w:p>
      <w:pPr>
        <w:keepNext/>
        <w:spacing w:before="280" w:after="160"/>
      </w:pPr>
      <w:r>
        <w:rPr>
          <w:b/>
          <w:sz w:val="24"/>
        </w:rPr>
        <w:t>CHAPTER 4. REPORTS &amp; ANALYTICS MODULE REQUIREMENTS</w:t>
      </w:r>
    </w:p>
    <w:p>
      <w:pPr>
        <w:spacing w:line="288" w:lineRule="auto" w:after="120"/>
        <w:jc w:val="both"/>
      </w:pPr>
      <w:r>
        <w:rPr>
          <w:sz w:val="22"/>
        </w:rPr>
        <w:t>Requirements should be testable and traceable to screens, API endpoints, data models, and verification evidence. The following table captures the intended analytics- and reporting-facing scope from the team report; it is not a claim that every function is already completed in preliminary milestones.</w:t>
      </w:r>
    </w:p>
    <w:p>
      <w:pPr>
        <w:keepNext/>
        <w:spacing w:before="200" w:after="80"/>
      </w:pPr>
      <w:r>
        <w:rPr>
          <w:b/>
          <w:sz w:val="23"/>
        </w:rPr>
        <w:t>4.1 Non-functional requirements</w:t>
      </w:r>
    </w:p>
    <w:p>
      <w:pPr>
        <w:pStyle w:val="ListBullet"/>
        <w:spacing w:line="276" w:lineRule="auto" w:before="20" w:after="60"/>
      </w:pPr>
      <w:r>
        <w:rPr>
          <w:sz w:val="22"/>
        </w:rPr>
        <w:t>Security: server-side access enforcement and user document isolation.</w:t>
      </w:r>
    </w:p>
    <w:p>
      <w:pPr>
        <w:pStyle w:val="ListBullet"/>
        <w:spacing w:line="276" w:lineRule="auto" w:before="20" w:after="60"/>
      </w:pPr>
      <w:r>
        <w:rPr>
          <w:sz w:val="22"/>
        </w:rPr>
        <w:t>Performance: sub-50ms analytics aggregation and sub-250ms in-memory PDF rendering.</w:t>
      </w:r>
    </w:p>
    <w:p>
      <w:pPr>
        <w:pStyle w:val="ListBullet"/>
        <w:spacing w:line="276" w:lineRule="auto" w:before="20" w:after="60"/>
      </w:pPr>
      <w:r>
        <w:rPr>
          <w:sz w:val="22"/>
        </w:rPr>
        <w:t>Usability: understandable labels, visual KPI cards, and clear error banners.</w:t>
      </w:r>
    </w:p>
    <w:p>
      <w:pPr>
        <w:pStyle w:val="ListBullet"/>
        <w:spacing w:line="276" w:lineRule="auto" w:before="20" w:after="60"/>
      </w:pPr>
      <w:r>
        <w:rPr>
          <w:sz w:val="22"/>
        </w:rPr>
        <w:t>Reliability: zero-division safety and no false success on failed generation requests.</w:t>
      </w:r>
    </w:p>
    <w:p>
      <w:pPr>
        <w:pStyle w:val="ListBullet"/>
        <w:spacing w:line="276" w:lineRule="auto" w:before="20" w:after="60"/>
      </w:pPr>
      <w:r>
        <w:rPr>
          <w:sz w:val="22"/>
        </w:rPr>
        <w:t>Memory Safety: strict try-with-resources stream lifecycle avoiding JVM heap exhaustion.</w:t>
      </w:r>
    </w:p>
    <w:p>
      <w:pPr>
        <w:pStyle w:val="ListBullet"/>
        <w:spacing w:line="276" w:lineRule="auto" w:before="20" w:after="60"/>
      </w:pPr>
      <w:r>
        <w:rPr>
          <w:sz w:val="22"/>
        </w:rPr>
        <w:t>Testability: document repeatable unit and integration test steps and outcomes.</w:t>
      </w:r>
    </w:p>
    <w:p>
      <w:pPr>
        <w:keepNext/>
        <w:spacing w:before="200" w:after="80"/>
      </w:pPr>
      <w:r>
        <w:rPr>
          <w:b/>
          <w:sz w:val="23"/>
        </w:rPr>
        <w:t>4.2 Acceptance criteria</w:t>
      </w:r>
    </w:p>
    <w:p>
      <w:pPr>
        <w:spacing w:line="288" w:lineRule="auto" w:after="120"/>
        <w:jc w:val="both"/>
      </w:pPr>
      <w:r>
        <w:rPr>
          <w:sz w:val="22"/>
        </w:rPr>
        <w:t>A feature should be accepted only when it displays correct data, handles relevant error states, and prevents unauthorized access. A screen alone is not proof of correct backend behaviour.</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440"/>
            <w:shd w:fill="D4EDDA"/>
            <w:tcMar>
              <w:top w:w="70" w:type="dxa"/>
              <w:bottom w:w="70" w:type="dxa"/>
              <w:left w:w="100" w:type="dxa"/>
              <w:right w:w="100" w:type="dxa"/>
            </w:tcMar>
          </w:tcPr>
          <w:p>
            <w:pPr>
              <w:spacing w:before="20" w:after="20"/>
            </w:pPr>
            <w:r>
              <w:rPr>
                <w:b/>
                <w:sz w:val="20"/>
              </w:rPr>
              <w:t>ID</w:t>
            </w:r>
          </w:p>
        </w:tc>
        <w:tc>
          <w:tcPr>
            <w:tcW w:type="dxa" w:w="4608"/>
            <w:shd w:fill="D4EDDA"/>
            <w:tcMar>
              <w:top w:w="70" w:type="dxa"/>
              <w:bottom w:w="70" w:type="dxa"/>
              <w:left w:w="100" w:type="dxa"/>
              <w:right w:w="100" w:type="dxa"/>
            </w:tcMar>
          </w:tcPr>
          <w:p>
            <w:pPr>
              <w:spacing w:before="20" w:after="20"/>
            </w:pPr>
            <w:r>
              <w:rPr>
                <w:b/>
                <w:sz w:val="20"/>
              </w:rPr>
              <w:t>Requirement</w:t>
            </w:r>
          </w:p>
        </w:tc>
        <w:tc>
          <w:tcPr>
            <w:tcW w:type="dxa" w:w="3312"/>
            <w:shd w:fill="D4EDDA"/>
            <w:tcMar>
              <w:top w:w="70" w:type="dxa"/>
              <w:bottom w:w="70" w:type="dxa"/>
              <w:left w:w="100" w:type="dxa"/>
              <w:right w:w="100" w:type="dxa"/>
            </w:tcMar>
          </w:tcPr>
          <w:p>
            <w:pPr>
              <w:spacing w:before="20" w:after="20"/>
            </w:pPr>
            <w:r>
              <w:rPr>
                <w:b/>
                <w:sz w:val="20"/>
              </w:rPr>
              <w:t>Evidence to collect</w:t>
            </w:r>
          </w:p>
        </w:tc>
      </w:tr>
      <w:tr>
        <w:tc>
          <w:tcPr>
            <w:tcW w:type="dxa" w:w="1440"/>
            <w:tcMar>
              <w:top w:w="70" w:type="dxa"/>
              <w:bottom w:w="70" w:type="dxa"/>
              <w:left w:w="100" w:type="dxa"/>
              <w:right w:w="100" w:type="dxa"/>
            </w:tcMar>
          </w:tcPr>
          <w:p>
            <w:pPr>
              <w:spacing w:before="20" w:after="20" w:line="276" w:lineRule="auto"/>
            </w:pPr>
            <w:r>
              <w:rPr>
                <w:sz w:val="19"/>
              </w:rPr>
              <w:t>RM-01</w:t>
            </w:r>
          </w:p>
        </w:tc>
        <w:tc>
          <w:tcPr>
            <w:tcW w:type="dxa" w:w="4608"/>
            <w:tcMar>
              <w:top w:w="70" w:type="dxa"/>
              <w:bottom w:w="70" w:type="dxa"/>
              <w:left w:w="100" w:type="dxa"/>
              <w:right w:w="100" w:type="dxa"/>
            </w:tcMar>
          </w:tcPr>
          <w:p>
            <w:pPr>
              <w:spacing w:before="20" w:after="20" w:line="276" w:lineRule="auto"/>
            </w:pPr>
            <w:r>
              <w:rPr>
                <w:sz w:val="19"/>
              </w:rPr>
              <w:t>Dashboard KPI scorecards open and populate live.</w:t>
            </w:r>
          </w:p>
        </w:tc>
        <w:tc>
          <w:tcPr>
            <w:tcW w:type="dxa" w:w="3312"/>
            <w:tcMar>
              <w:top w:w="70" w:type="dxa"/>
              <w:bottom w:w="70" w:type="dxa"/>
              <w:left w:w="100" w:type="dxa"/>
              <w:right w:w="100" w:type="dxa"/>
            </w:tcMar>
          </w:tcPr>
          <w:p>
            <w:pPr>
              <w:spacing w:before="20" w:after="20" w:line="276" w:lineRule="auto"/>
            </w:pPr>
            <w:r>
              <w:rPr>
                <w:sz w:val="19"/>
              </w:rPr>
              <w:t>Screenshot and valid test-account run.</w:t>
            </w:r>
          </w:p>
        </w:tc>
      </w:tr>
      <w:tr>
        <w:tc>
          <w:tcPr>
            <w:tcW w:type="dxa" w:w="1440"/>
            <w:tcMar>
              <w:top w:w="70" w:type="dxa"/>
              <w:bottom w:w="70" w:type="dxa"/>
              <w:left w:w="100" w:type="dxa"/>
              <w:right w:w="100" w:type="dxa"/>
            </w:tcMar>
          </w:tcPr>
          <w:p>
            <w:pPr>
              <w:spacing w:before="20" w:after="20" w:line="276" w:lineRule="auto"/>
            </w:pPr>
            <w:r>
              <w:rPr>
                <w:sz w:val="19"/>
              </w:rPr>
              <w:t>RM-02</w:t>
            </w:r>
          </w:p>
        </w:tc>
        <w:tc>
          <w:tcPr>
            <w:tcW w:type="dxa" w:w="4608"/>
            <w:tcMar>
              <w:top w:w="70" w:type="dxa"/>
              <w:bottom w:w="70" w:type="dxa"/>
              <w:left w:w="100" w:type="dxa"/>
              <w:right w:w="100" w:type="dxa"/>
            </w:tcMar>
          </w:tcPr>
          <w:p>
            <w:pPr>
              <w:spacing w:before="20" w:after="20" w:line="276" w:lineRule="auto"/>
            </w:pPr>
            <w:r>
              <w:rPr>
                <w:sz w:val="19"/>
              </w:rPr>
              <w:t>Show total processed documents, clauses, and risk flags.</w:t>
            </w:r>
          </w:p>
        </w:tc>
        <w:tc>
          <w:tcPr>
            <w:tcW w:type="dxa" w:w="3312"/>
            <w:tcMar>
              <w:top w:w="70" w:type="dxa"/>
              <w:bottom w:w="70" w:type="dxa"/>
              <w:left w:w="100" w:type="dxa"/>
              <w:right w:w="100" w:type="dxa"/>
            </w:tcMar>
          </w:tcPr>
          <w:p>
            <w:pPr>
              <w:spacing w:before="20" w:after="20" w:line="276" w:lineRule="auto"/>
            </w:pPr>
            <w:r>
              <w:rPr>
                <w:sz w:val="19"/>
              </w:rPr>
              <w:t>Compare UI with database query counts.</w:t>
            </w:r>
          </w:p>
        </w:tc>
      </w:tr>
      <w:tr>
        <w:tc>
          <w:tcPr>
            <w:tcW w:type="dxa" w:w="1440"/>
            <w:tcMar>
              <w:top w:w="70" w:type="dxa"/>
              <w:bottom w:w="70" w:type="dxa"/>
              <w:left w:w="100" w:type="dxa"/>
              <w:right w:w="100" w:type="dxa"/>
            </w:tcMar>
          </w:tcPr>
          <w:p>
            <w:pPr>
              <w:spacing w:before="20" w:after="20" w:line="276" w:lineRule="auto"/>
            </w:pPr>
            <w:r>
              <w:rPr>
                <w:sz w:val="19"/>
              </w:rPr>
              <w:t>RM-03</w:t>
            </w:r>
          </w:p>
        </w:tc>
        <w:tc>
          <w:tcPr>
            <w:tcW w:type="dxa" w:w="4608"/>
            <w:tcMar>
              <w:top w:w="70" w:type="dxa"/>
              <w:bottom w:w="70" w:type="dxa"/>
              <w:left w:w="100" w:type="dxa"/>
              <w:right w:w="100" w:type="dxa"/>
            </w:tcMar>
          </w:tcPr>
          <w:p>
            <w:pPr>
              <w:spacing w:before="20" w:after="20" w:line="276" w:lineRule="auto"/>
            </w:pPr>
            <w:r>
              <w:rPr>
                <w:sz w:val="19"/>
              </w:rPr>
              <w:t>Aggregate average risk score and risk distribution breakdown.</w:t>
            </w:r>
          </w:p>
        </w:tc>
        <w:tc>
          <w:tcPr>
            <w:tcW w:type="dxa" w:w="3312"/>
            <w:tcMar>
              <w:top w:w="70" w:type="dxa"/>
              <w:bottom w:w="70" w:type="dxa"/>
              <w:left w:w="100" w:type="dxa"/>
              <w:right w:w="100" w:type="dxa"/>
            </w:tcMar>
          </w:tcPr>
          <w:p>
            <w:pPr>
              <w:spacing w:before="20" w:after="20" w:line="276" w:lineRule="auto"/>
            </w:pPr>
            <w:r>
              <w:rPr>
                <w:sz w:val="19"/>
              </w:rPr>
              <w:t>Known records and calculated mathematical output.</w:t>
            </w:r>
          </w:p>
        </w:tc>
      </w:tr>
      <w:tr>
        <w:tc>
          <w:tcPr>
            <w:tcW w:type="dxa" w:w="1440"/>
            <w:tcMar>
              <w:top w:w="70" w:type="dxa"/>
              <w:bottom w:w="70" w:type="dxa"/>
              <w:left w:w="100" w:type="dxa"/>
              <w:right w:w="100" w:type="dxa"/>
            </w:tcMar>
          </w:tcPr>
          <w:p>
            <w:pPr>
              <w:spacing w:before="20" w:after="20" w:line="276" w:lineRule="auto"/>
            </w:pPr>
            <w:r>
              <w:rPr>
                <w:sz w:val="19"/>
              </w:rPr>
              <w:t>RM-04</w:t>
            </w:r>
          </w:p>
        </w:tc>
        <w:tc>
          <w:tcPr>
            <w:tcW w:type="dxa" w:w="4608"/>
            <w:tcMar>
              <w:top w:w="70" w:type="dxa"/>
              <w:bottom w:w="70" w:type="dxa"/>
              <w:left w:w="100" w:type="dxa"/>
              <w:right w:w="100" w:type="dxa"/>
            </w:tcMar>
          </w:tcPr>
          <w:p>
            <w:pPr>
              <w:spacing w:before="20" w:after="20" w:line="276" w:lineRule="auto"/>
            </w:pPr>
            <w:r>
              <w:rPr>
                <w:sz w:val="19"/>
              </w:rPr>
              <w:t>Compile structured LegalReport from document and analysis.</w:t>
            </w:r>
          </w:p>
        </w:tc>
        <w:tc>
          <w:tcPr>
            <w:tcW w:type="dxa" w:w="3312"/>
            <w:tcMar>
              <w:top w:w="70" w:type="dxa"/>
              <w:bottom w:w="70" w:type="dxa"/>
              <w:left w:w="100" w:type="dxa"/>
              <w:right w:w="100" w:type="dxa"/>
            </w:tcMar>
          </w:tcPr>
          <w:p>
            <w:pPr>
              <w:spacing w:before="20" w:after="20" w:line="276" w:lineRule="auto"/>
            </w:pPr>
            <w:r>
              <w:rPr>
                <w:sz w:val="19"/>
              </w:rPr>
              <w:t>Compare report entity with source records.</w:t>
            </w:r>
          </w:p>
        </w:tc>
      </w:tr>
      <w:tr>
        <w:tc>
          <w:tcPr>
            <w:tcW w:type="dxa" w:w="1440"/>
            <w:tcMar>
              <w:top w:w="70" w:type="dxa"/>
              <w:bottom w:w="70" w:type="dxa"/>
              <w:left w:w="100" w:type="dxa"/>
              <w:right w:w="100" w:type="dxa"/>
            </w:tcMar>
          </w:tcPr>
          <w:p>
            <w:pPr>
              <w:spacing w:before="20" w:after="20" w:line="276" w:lineRule="auto"/>
            </w:pPr>
            <w:r>
              <w:rPr>
                <w:sz w:val="19"/>
              </w:rPr>
              <w:t>RM-05</w:t>
            </w:r>
          </w:p>
        </w:tc>
        <w:tc>
          <w:tcPr>
            <w:tcW w:type="dxa" w:w="4608"/>
            <w:tcMar>
              <w:top w:w="70" w:type="dxa"/>
              <w:bottom w:w="70" w:type="dxa"/>
              <w:left w:w="100" w:type="dxa"/>
              <w:right w:w="100" w:type="dxa"/>
            </w:tcMar>
          </w:tcPr>
          <w:p>
            <w:pPr>
              <w:spacing w:before="20" w:after="20" w:line="276" w:lineRule="auto"/>
            </w:pPr>
            <w:r>
              <w:rPr>
                <w:sz w:val="19"/>
              </w:rPr>
              <w:t>Generate and stream executive PDF audit report via Apache PDFBox.</w:t>
            </w:r>
          </w:p>
        </w:tc>
        <w:tc>
          <w:tcPr>
            <w:tcW w:type="dxa" w:w="3312"/>
            <w:tcMar>
              <w:top w:w="70" w:type="dxa"/>
              <w:bottom w:w="70" w:type="dxa"/>
              <w:left w:w="100" w:type="dxa"/>
              <w:right w:w="100" w:type="dxa"/>
            </w:tcMar>
          </w:tcPr>
          <w:p>
            <w:pPr>
              <w:spacing w:before="20" w:after="20" w:line="276" w:lineRule="auto"/>
            </w:pPr>
            <w:r>
              <w:rPr>
                <w:sz w:val="19"/>
              </w:rPr>
              <w:t>Binary PDF download and Acrobat render test.</w:t>
            </w:r>
          </w:p>
        </w:tc>
      </w:tr>
      <w:tr>
        <w:tc>
          <w:tcPr>
            <w:tcW w:type="dxa" w:w="1440"/>
            <w:tcMar>
              <w:top w:w="70" w:type="dxa"/>
              <w:bottom w:w="70" w:type="dxa"/>
              <w:left w:w="100" w:type="dxa"/>
              <w:right w:w="100" w:type="dxa"/>
            </w:tcMar>
          </w:tcPr>
          <w:p>
            <w:pPr>
              <w:spacing w:before="20" w:after="20" w:line="276" w:lineRule="auto"/>
            </w:pPr>
            <w:r>
              <w:rPr>
                <w:sz w:val="19"/>
              </w:rPr>
              <w:t>RM-06</w:t>
            </w:r>
          </w:p>
        </w:tc>
        <w:tc>
          <w:tcPr>
            <w:tcW w:type="dxa" w:w="4608"/>
            <w:tcMar>
              <w:top w:w="70" w:type="dxa"/>
              <w:bottom w:w="70" w:type="dxa"/>
              <w:left w:w="100" w:type="dxa"/>
              <w:right w:w="100" w:type="dxa"/>
            </w:tcMar>
          </w:tcPr>
          <w:p>
            <w:pPr>
              <w:spacing w:before="20" w:after="20" w:line="276" w:lineRule="auto"/>
            </w:pPr>
            <w:r>
              <w:rPr>
                <w:sz w:val="19"/>
              </w:rPr>
              <w:t>Handle zero-state, empty collections, and failed requests.</w:t>
            </w:r>
          </w:p>
        </w:tc>
        <w:tc>
          <w:tcPr>
            <w:tcW w:type="dxa" w:w="3312"/>
            <w:tcMar>
              <w:top w:w="70" w:type="dxa"/>
              <w:bottom w:w="70" w:type="dxa"/>
              <w:left w:w="100" w:type="dxa"/>
              <w:right w:w="100" w:type="dxa"/>
            </w:tcMar>
          </w:tcPr>
          <w:p>
            <w:pPr>
              <w:spacing w:before="20" w:after="20" w:line="276" w:lineRule="auto"/>
            </w:pPr>
            <w:r>
              <w:rPr>
                <w:sz w:val="19"/>
              </w:rPr>
              <w:t>Test normal and error scenarios.</w:t>
            </w:r>
          </w:p>
        </w:tc>
      </w:tr>
      <w:tr>
        <w:tc>
          <w:tcPr>
            <w:tcW w:type="dxa" w:w="1440"/>
            <w:tcMar>
              <w:top w:w="70" w:type="dxa"/>
              <w:bottom w:w="70" w:type="dxa"/>
              <w:left w:w="100" w:type="dxa"/>
              <w:right w:w="100" w:type="dxa"/>
            </w:tcMar>
          </w:tcPr>
          <w:p>
            <w:pPr>
              <w:spacing w:before="20" w:after="20" w:line="276" w:lineRule="auto"/>
            </w:pPr>
            <w:r>
              <w:rPr>
                <w:sz w:val="19"/>
              </w:rPr>
              <w:t>RM-07</w:t>
            </w:r>
          </w:p>
        </w:tc>
        <w:tc>
          <w:tcPr>
            <w:tcW w:type="dxa" w:w="4608"/>
            <w:tcMar>
              <w:top w:w="70" w:type="dxa"/>
              <w:bottom w:w="70" w:type="dxa"/>
              <w:left w:w="100" w:type="dxa"/>
              <w:right w:w="100" w:type="dxa"/>
            </w:tcMar>
          </w:tcPr>
          <w:p>
            <w:pPr>
              <w:spacing w:before="20" w:after="20" w:line="276" w:lineRule="auto"/>
            </w:pPr>
            <w:r>
              <w:rPr>
                <w:sz w:val="19"/>
              </w:rPr>
              <w:t>Deny access to another user's private contract reports.</w:t>
            </w:r>
          </w:p>
        </w:tc>
        <w:tc>
          <w:tcPr>
            <w:tcW w:type="dxa" w:w="3312"/>
            <w:tcMar>
              <w:top w:w="70" w:type="dxa"/>
              <w:bottom w:w="70" w:type="dxa"/>
              <w:left w:w="100" w:type="dxa"/>
              <w:right w:w="100" w:type="dxa"/>
            </w:tcMar>
          </w:tcPr>
          <w:p>
            <w:pPr>
              <w:spacing w:before="20" w:after="20" w:line="276" w:lineRule="auto"/>
            </w:pPr>
            <w:r>
              <w:rPr>
                <w:sz w:val="19"/>
              </w:rPr>
              <w:t>Backend authorization and tenancy test.</w:t>
            </w:r>
          </w:p>
        </w:tc>
      </w:tr>
      <w:tr>
        <w:tc>
          <w:tcPr>
            <w:tcW w:type="dxa" w:w="1440"/>
            <w:tcMar>
              <w:top w:w="70" w:type="dxa"/>
              <w:bottom w:w="70" w:type="dxa"/>
              <w:left w:w="100" w:type="dxa"/>
              <w:right w:w="100" w:type="dxa"/>
            </w:tcMar>
          </w:tcPr>
          <w:p>
            <w:pPr>
              <w:spacing w:before="20" w:after="20" w:line="276" w:lineRule="auto"/>
            </w:pPr>
            <w:r>
              <w:rPr>
                <w:sz w:val="19"/>
              </w:rPr>
              <w:t>RM-08</w:t>
            </w:r>
          </w:p>
        </w:tc>
        <w:tc>
          <w:tcPr>
            <w:tcW w:type="dxa" w:w="4608"/>
            <w:tcMar>
              <w:top w:w="70" w:type="dxa"/>
              <w:bottom w:w="70" w:type="dxa"/>
              <w:left w:w="100" w:type="dxa"/>
              <w:right w:w="100" w:type="dxa"/>
            </w:tcMar>
          </w:tcPr>
          <w:p>
            <w:pPr>
              <w:spacing w:before="20" w:after="20" w:line="276" w:lineRule="auto"/>
            </w:pPr>
            <w:r>
              <w:rPr>
                <w:sz w:val="19"/>
              </w:rPr>
              <w:t>Coordinate multi-module handoff via integration coordinator.</w:t>
            </w:r>
          </w:p>
        </w:tc>
        <w:tc>
          <w:tcPr>
            <w:tcW w:type="dxa" w:w="3312"/>
            <w:tcMar>
              <w:top w:w="70" w:type="dxa"/>
              <w:bottom w:w="70" w:type="dxa"/>
              <w:left w:w="100" w:type="dxa"/>
              <w:right w:w="100" w:type="dxa"/>
            </w:tcMar>
          </w:tcPr>
          <w:p>
            <w:pPr>
              <w:spacing w:before="20" w:after="20" w:line="276" w:lineRule="auto"/>
            </w:pPr>
            <w:r>
              <w:rPr>
                <w:sz w:val="19"/>
              </w:rPr>
              <w:t>End-to-end integration test execution.</w:t>
            </w:r>
          </w:p>
        </w:tc>
      </w:tr>
    </w:tbl>
    <w:p>
      <w:pPr>
        <w:spacing w:before="0" w:after="80"/>
      </w:pPr>
    </w:p>
    <w:p>
      <w:r>
        <w:br w:type="page"/>
      </w:r>
    </w:p>
    <w:p>
      <w:pPr>
        <w:keepNext/>
        <w:spacing w:before="280" w:after="160"/>
      </w:pPr>
      <w:r>
        <w:rPr>
          <w:b/>
          <w:sz w:val="24"/>
        </w:rPr>
        <w:t>CHAPTER 5. ARCHITECTURE AND INTEGRATION</w:t>
      </w:r>
    </w:p>
    <w:p>
      <w:pPr>
        <w:spacing w:line="288" w:lineRule="auto" w:after="120"/>
        <w:jc w:val="both"/>
      </w:pPr>
      <w:r>
        <w:rPr>
          <w:sz w:val="22"/>
        </w:rPr>
        <w:t>The team report records a modern HTML5/CSS3/JavaScript web interface, Vite build tooling options, a Java Spring Boot REST backend, and a MongoDB document store for persistent analytical records. Groq API integration is the selected direction for AI-supported workflows, with credentials held server-side. This report follows that recorded architecture; the exact code and deployed schema should be checked against the current repository.</w:t>
      </w:r>
    </w:p>
    <w:p>
      <w:pPr>
        <w:spacing w:line="288" w:lineRule="auto" w:after="120"/>
        <w:jc w:val="both"/>
      </w:pPr>
      <w:r>
        <w:rPr>
          <w:sz w:val="22"/>
        </w:rPr>
        <w:t>The Analytics &amp; Reports Module should call internal enterprise services rather than connecting unverified external data sources. The backend validates requests, applies permissions and business rules, accesses persistent data, and returns structured responses. Multiple browser clients share records only when they connect to the same backend service and database.</w:t>
      </w:r>
    </w:p>
    <w:p>
      <w:pPr>
        <w:keepNext/>
        <w:spacing w:before="200" w:after="80"/>
      </w:pPr>
      <w:r>
        <w:rPr>
          <w:b/>
          <w:sz w:val="23"/>
        </w:rPr>
        <w:t>5.1 API configuration</w:t>
      </w:r>
    </w:p>
    <w:p>
      <w:pPr>
        <w:spacing w:line="288" w:lineRule="auto" w:after="120"/>
        <w:jc w:val="both"/>
      </w:pPr>
      <w:r>
        <w:rPr>
          <w:sz w:val="22"/>
        </w:rPr>
        <w:t>The team report states that REST endpoints are exposed under `/api/analytics/**` and `/api/reports/**`. A stale configuration or missing MongoDB URI may override the intended connection. Check the effective properties in `application.properties` during installation and testing.</w:t>
      </w:r>
    </w:p>
    <w:p>
      <w:pPr>
        <w:keepNext/>
        <w:spacing w:before="200" w:after="80"/>
      </w:pPr>
      <w:r>
        <w:rPr>
          <w:b/>
          <w:sz w:val="23"/>
        </w:rPr>
        <w:t>5.2 Integration dependencies</w:t>
      </w:r>
    </w:p>
    <w:p>
      <w:pPr>
        <w:spacing w:line="288" w:lineRule="auto" w:after="120"/>
        <w:jc w:val="both"/>
      </w:pPr>
      <w:r>
        <w:rPr>
          <w:sz w:val="22"/>
        </w:rPr>
        <w:t>Authentication, document extraction, and clause risk schemas are cross-cutting dependencies. Any change to token parsing, entity IDs, or risk severity enums should trigger regression tests for the Reports &amp; Analytics Module.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728"/>
            <w:shd w:fill="D4EDDA"/>
            <w:tcMar>
              <w:top w:w="70" w:type="dxa"/>
              <w:bottom w:w="70" w:type="dxa"/>
              <w:left w:w="100" w:type="dxa"/>
              <w:right w:w="100" w:type="dxa"/>
            </w:tcMar>
          </w:tcPr>
          <w:p>
            <w:pPr>
              <w:spacing w:before="20" w:after="20"/>
            </w:pPr>
            <w:r>
              <w:rPr>
                <w:b/>
                <w:sz w:val="20"/>
              </w:rPr>
              <w:t>Layer</w:t>
            </w:r>
          </w:p>
        </w:tc>
        <w:tc>
          <w:tcPr>
            <w:tcW w:type="dxa" w:w="3744"/>
            <w:shd w:fill="D4EDDA"/>
            <w:tcMar>
              <w:top w:w="70" w:type="dxa"/>
              <w:bottom w:w="70" w:type="dxa"/>
              <w:left w:w="100" w:type="dxa"/>
              <w:right w:w="100" w:type="dxa"/>
            </w:tcMar>
          </w:tcPr>
          <w:p>
            <w:pPr>
              <w:spacing w:before="20" w:after="20"/>
            </w:pPr>
            <w:r>
              <w:rPr>
                <w:b/>
                <w:sz w:val="20"/>
              </w:rPr>
              <w:t>Technology recorded in team report</w:t>
            </w:r>
          </w:p>
        </w:tc>
        <w:tc>
          <w:tcPr>
            <w:tcW w:type="dxa" w:w="3888"/>
            <w:shd w:fill="D4EDDA"/>
            <w:tcMar>
              <w:top w:w="70" w:type="dxa"/>
              <w:bottom w:w="70" w:type="dxa"/>
              <w:left w:w="100" w:type="dxa"/>
              <w:right w:w="100" w:type="dxa"/>
            </w:tcMar>
          </w:tcPr>
          <w:p>
            <w:pPr>
              <w:spacing w:before="20" w:after="20"/>
            </w:pPr>
            <w:r>
              <w:rPr>
                <w:b/>
                <w:sz w:val="20"/>
              </w:rPr>
              <w:t>Purpose</w:t>
            </w:r>
          </w:p>
        </w:tc>
      </w:tr>
      <w:tr>
        <w:tc>
          <w:tcPr>
            <w:tcW w:type="dxa" w:w="1728"/>
            <w:tcMar>
              <w:top w:w="70" w:type="dxa"/>
              <w:bottom w:w="70" w:type="dxa"/>
              <w:left w:w="100" w:type="dxa"/>
              <w:right w:w="100" w:type="dxa"/>
            </w:tcMar>
          </w:tcPr>
          <w:p>
            <w:pPr>
              <w:spacing w:before="20" w:after="20" w:line="276" w:lineRule="auto"/>
            </w:pPr>
            <w:r>
              <w:rPr>
                <w:sz w:val="19"/>
              </w:rPr>
              <w:t>Web UI</w:t>
            </w:r>
          </w:p>
        </w:tc>
        <w:tc>
          <w:tcPr>
            <w:tcW w:type="dxa" w:w="3744"/>
            <w:tcMar>
              <w:top w:w="70" w:type="dxa"/>
              <w:bottom w:w="70" w:type="dxa"/>
              <w:left w:w="100" w:type="dxa"/>
              <w:right w:w="100" w:type="dxa"/>
            </w:tcMar>
          </w:tcPr>
          <w:p>
            <w:pPr>
              <w:spacing w:before="20" w:after="20" w:line="276" w:lineRule="auto"/>
            </w:pPr>
            <w:r>
              <w:rPr>
                <w:sz w:val="19"/>
              </w:rPr>
              <w:t>Vanilla HTML5, CSS3, ES6 JavaScript</w:t>
            </w:r>
          </w:p>
        </w:tc>
        <w:tc>
          <w:tcPr>
            <w:tcW w:type="dxa" w:w="3888"/>
            <w:tcMar>
              <w:top w:w="70" w:type="dxa"/>
              <w:bottom w:w="70" w:type="dxa"/>
              <w:left w:w="100" w:type="dxa"/>
              <w:right w:w="100" w:type="dxa"/>
            </w:tcMar>
          </w:tcPr>
          <w:p>
            <w:pPr>
              <w:spacing w:before="20" w:after="20" w:line="276" w:lineRule="auto"/>
            </w:pPr>
            <w:r>
              <w:rPr>
                <w:sz w:val="19"/>
              </w:rPr>
              <w:t>Dashboard, KPI scorecards, report modal, toasts.</w:t>
            </w:r>
          </w:p>
        </w:tc>
      </w:tr>
      <w:tr>
        <w:tc>
          <w:tcPr>
            <w:tcW w:type="dxa" w:w="1728"/>
            <w:tcMar>
              <w:top w:w="70" w:type="dxa"/>
              <w:bottom w:w="70" w:type="dxa"/>
              <w:left w:w="100" w:type="dxa"/>
              <w:right w:w="100" w:type="dxa"/>
            </w:tcMar>
          </w:tcPr>
          <w:p>
            <w:pPr>
              <w:spacing w:before="20" w:after="20" w:line="276" w:lineRule="auto"/>
            </w:pPr>
            <w:r>
              <w:rPr>
                <w:sz w:val="19"/>
              </w:rPr>
              <w:t>Controller</w:t>
            </w:r>
          </w:p>
        </w:tc>
        <w:tc>
          <w:tcPr>
            <w:tcW w:type="dxa" w:w="3744"/>
            <w:tcMar>
              <w:top w:w="70" w:type="dxa"/>
              <w:bottom w:w="70" w:type="dxa"/>
              <w:left w:w="100" w:type="dxa"/>
              <w:right w:w="100" w:type="dxa"/>
            </w:tcMar>
          </w:tcPr>
          <w:p>
            <w:pPr>
              <w:spacing w:before="20" w:after="20" w:line="276" w:lineRule="auto"/>
            </w:pPr>
            <w:r>
              <w:rPr>
                <w:sz w:val="19"/>
              </w:rPr>
              <w:t>Spring Boot REST (@RestController)</w:t>
            </w:r>
          </w:p>
        </w:tc>
        <w:tc>
          <w:tcPr>
            <w:tcW w:type="dxa" w:w="3888"/>
            <w:tcMar>
              <w:top w:w="70" w:type="dxa"/>
              <w:bottom w:w="70" w:type="dxa"/>
              <w:left w:w="100" w:type="dxa"/>
              <w:right w:w="100" w:type="dxa"/>
            </w:tcMar>
          </w:tcPr>
          <w:p>
            <w:pPr>
              <w:spacing w:before="20" w:after="20" w:line="276" w:lineRule="auto"/>
            </w:pPr>
            <w:r>
              <w:rPr>
                <w:sz w:val="19"/>
              </w:rPr>
              <w:t>Expose dashboard and PDF download endpoints.</w:t>
            </w:r>
          </w:p>
        </w:tc>
      </w:tr>
      <w:tr>
        <w:tc>
          <w:tcPr>
            <w:tcW w:type="dxa" w:w="1728"/>
            <w:tcMar>
              <w:top w:w="70" w:type="dxa"/>
              <w:bottom w:w="70" w:type="dxa"/>
              <w:left w:w="100" w:type="dxa"/>
              <w:right w:w="100" w:type="dxa"/>
            </w:tcMar>
          </w:tcPr>
          <w:p>
            <w:pPr>
              <w:spacing w:before="20" w:after="20" w:line="276" w:lineRule="auto"/>
            </w:pPr>
            <w:r>
              <w:rPr>
                <w:sz w:val="19"/>
              </w:rPr>
              <w:t>Service</w:t>
            </w:r>
          </w:p>
        </w:tc>
        <w:tc>
          <w:tcPr>
            <w:tcW w:type="dxa" w:w="3744"/>
            <w:tcMar>
              <w:top w:w="70" w:type="dxa"/>
              <w:bottom w:w="70" w:type="dxa"/>
              <w:left w:w="100" w:type="dxa"/>
              <w:right w:w="100" w:type="dxa"/>
            </w:tcMar>
          </w:tcPr>
          <w:p>
            <w:pPr>
              <w:spacing w:before="20" w:after="20" w:line="276" w:lineRule="auto"/>
            </w:pPr>
            <w:r>
              <w:rPr>
                <w:sz w:val="19"/>
              </w:rPr>
              <w:t>Java 21, Spring Boot Services</w:t>
            </w:r>
          </w:p>
        </w:tc>
        <w:tc>
          <w:tcPr>
            <w:tcW w:type="dxa" w:w="3888"/>
            <w:tcMar>
              <w:top w:w="70" w:type="dxa"/>
              <w:bottom w:w="70" w:type="dxa"/>
              <w:left w:w="100" w:type="dxa"/>
              <w:right w:w="100" w:type="dxa"/>
            </w:tcMar>
          </w:tcPr>
          <w:p>
            <w:pPr>
              <w:spacing w:before="20" w:after="20" w:line="276" w:lineRule="auto"/>
            </w:pPr>
            <w:r>
              <w:rPr>
                <w:sz w:val="19"/>
              </w:rPr>
              <w:t>Analytics aggregation and PDFBox rendering logic.</w:t>
            </w:r>
          </w:p>
        </w:tc>
      </w:tr>
      <w:tr>
        <w:tc>
          <w:tcPr>
            <w:tcW w:type="dxa" w:w="1728"/>
            <w:tcMar>
              <w:top w:w="70" w:type="dxa"/>
              <w:bottom w:w="70" w:type="dxa"/>
              <w:left w:w="100" w:type="dxa"/>
              <w:right w:w="100" w:type="dxa"/>
            </w:tcMar>
          </w:tcPr>
          <w:p>
            <w:pPr>
              <w:spacing w:before="20" w:after="20" w:line="276" w:lineRule="auto"/>
            </w:pPr>
            <w:r>
              <w:rPr>
                <w:sz w:val="19"/>
              </w:rPr>
              <w:t>PDF Engine</w:t>
            </w:r>
          </w:p>
        </w:tc>
        <w:tc>
          <w:tcPr>
            <w:tcW w:type="dxa" w:w="3744"/>
            <w:tcMar>
              <w:top w:w="70" w:type="dxa"/>
              <w:bottom w:w="70" w:type="dxa"/>
              <w:left w:w="100" w:type="dxa"/>
              <w:right w:w="100" w:type="dxa"/>
            </w:tcMar>
          </w:tcPr>
          <w:p>
            <w:pPr>
              <w:spacing w:before="20" w:after="20" w:line="276" w:lineRule="auto"/>
            </w:pPr>
            <w:r>
              <w:rPr>
                <w:sz w:val="19"/>
              </w:rPr>
              <w:t>Apache PDFBox 2.0.30</w:t>
            </w:r>
          </w:p>
        </w:tc>
        <w:tc>
          <w:tcPr>
            <w:tcW w:type="dxa" w:w="3888"/>
            <w:tcMar>
              <w:top w:w="70" w:type="dxa"/>
              <w:bottom w:w="70" w:type="dxa"/>
              <w:left w:w="100" w:type="dxa"/>
              <w:right w:w="100" w:type="dxa"/>
            </w:tcMar>
          </w:tcPr>
          <w:p>
            <w:pPr>
              <w:spacing w:before="20" w:after="20" w:line="276" w:lineRule="auto"/>
            </w:pPr>
            <w:r>
              <w:rPr>
                <w:sz w:val="19"/>
              </w:rPr>
              <w:t>In-memory canvas layout and binary PDF compilation.</w:t>
            </w:r>
          </w:p>
        </w:tc>
      </w:tr>
      <w:tr>
        <w:tc>
          <w:tcPr>
            <w:tcW w:type="dxa" w:w="1728"/>
            <w:tcMar>
              <w:top w:w="70" w:type="dxa"/>
              <w:bottom w:w="70" w:type="dxa"/>
              <w:left w:w="100" w:type="dxa"/>
              <w:right w:w="100" w:type="dxa"/>
            </w:tcMar>
          </w:tcPr>
          <w:p>
            <w:pPr>
              <w:spacing w:before="20" w:after="20" w:line="276" w:lineRule="auto"/>
            </w:pPr>
            <w:r>
              <w:rPr>
                <w:sz w:val="19"/>
              </w:rPr>
              <w:t>Database</w:t>
            </w:r>
          </w:p>
        </w:tc>
        <w:tc>
          <w:tcPr>
            <w:tcW w:type="dxa" w:w="3744"/>
            <w:tcMar>
              <w:top w:w="70" w:type="dxa"/>
              <w:bottom w:w="70" w:type="dxa"/>
              <w:left w:w="100" w:type="dxa"/>
              <w:right w:w="100" w:type="dxa"/>
            </w:tcMar>
          </w:tcPr>
          <w:p>
            <w:pPr>
              <w:spacing w:before="20" w:after="20" w:line="276" w:lineRule="auto"/>
            </w:pPr>
            <w:r>
              <w:rPr>
                <w:sz w:val="19"/>
              </w:rPr>
              <w:t>MongoDB 7.x (Spring Data Mongo)</w:t>
            </w:r>
          </w:p>
        </w:tc>
        <w:tc>
          <w:tcPr>
            <w:tcW w:type="dxa" w:w="3888"/>
            <w:tcMar>
              <w:top w:w="70" w:type="dxa"/>
              <w:bottom w:w="70" w:type="dxa"/>
              <w:left w:w="100" w:type="dxa"/>
              <w:right w:w="100" w:type="dxa"/>
            </w:tcMar>
          </w:tcPr>
          <w:p>
            <w:pPr>
              <w:spacing w:before="20" w:after="20" w:line="276" w:lineRule="auto"/>
            </w:pPr>
            <w:r>
              <w:rPr>
                <w:sz w:val="19"/>
              </w:rPr>
              <w:t>legal_reports and analytics_summaries storage.</w:t>
            </w:r>
          </w:p>
        </w:tc>
      </w:tr>
      <w:tr>
        <w:tc>
          <w:tcPr>
            <w:tcW w:type="dxa" w:w="1728"/>
            <w:tcMar>
              <w:top w:w="70" w:type="dxa"/>
              <w:bottom w:w="70" w:type="dxa"/>
              <w:left w:w="100" w:type="dxa"/>
              <w:right w:w="100" w:type="dxa"/>
            </w:tcMar>
          </w:tcPr>
          <w:p>
            <w:pPr>
              <w:spacing w:before="20" w:after="20" w:line="276" w:lineRule="auto"/>
            </w:pPr>
            <w:r>
              <w:rPr>
                <w:sz w:val="19"/>
              </w:rPr>
              <w:t>Integration</w:t>
            </w:r>
          </w:p>
        </w:tc>
        <w:tc>
          <w:tcPr>
            <w:tcW w:type="dxa" w:w="3744"/>
            <w:tcMar>
              <w:top w:w="70" w:type="dxa"/>
              <w:bottom w:w="70" w:type="dxa"/>
              <w:left w:w="100" w:type="dxa"/>
              <w:right w:w="100" w:type="dxa"/>
            </w:tcMar>
          </w:tcPr>
          <w:p>
            <w:pPr>
              <w:spacing w:before="20" w:after="20" w:line="276" w:lineRule="auto"/>
            </w:pPr>
            <w:r>
              <w:rPr>
                <w:sz w:val="19"/>
              </w:rPr>
              <w:t>LegalIntegrationCoordinator</w:t>
            </w:r>
          </w:p>
        </w:tc>
        <w:tc>
          <w:tcPr>
            <w:tcW w:type="dxa" w:w="3888"/>
            <w:tcMar>
              <w:top w:w="70" w:type="dxa"/>
              <w:bottom w:w="70" w:type="dxa"/>
              <w:left w:w="100" w:type="dxa"/>
              <w:right w:w="100" w:type="dxa"/>
            </w:tcMar>
          </w:tcPr>
          <w:p>
            <w:pPr>
              <w:spacing w:before="20" w:after="20" w:line="276" w:lineRule="auto"/>
            </w:pPr>
            <w:r>
              <w:rPr>
                <w:sz w:val="19"/>
              </w:rPr>
              <w:t>Coordinates handoff between all 5 project modules.</w:t>
            </w:r>
          </w:p>
        </w:tc>
      </w:tr>
    </w:tbl>
    <w:p>
      <w:pPr>
        <w:spacing w:before="0" w:after="80"/>
      </w:pPr>
    </w:p>
    <w:p>
      <w:r>
        <w:br w:type="page"/>
      </w:r>
    </w:p>
    <w:p>
      <w:pPr>
        <w:keepNext/>
        <w:spacing w:before="280" w:after="160"/>
      </w:pPr>
      <w:r>
        <w:rPr>
          <w:b/>
          <w:sz w:val="24"/>
        </w:rPr>
        <w:t>CHAPTER 6. ANALYTICS DASHBOARD AND EXECUTIVE PROFILE</w:t>
      </w:r>
    </w:p>
    <w:p>
      <w:pPr>
        <w:spacing w:line="288" w:lineRule="auto" w:after="120"/>
        <w:jc w:val="both"/>
      </w:pPr>
      <w:r>
        <w:rPr>
          <w:sz w:val="22"/>
        </w:rPr>
        <w:t>The dashboard should summarize the information most useful to contract signers and auditors without exposing data belonging to other roles or users. Possible content includes total processed documents, segmented clauses, high-risk flags, average liability score, recent document table, and quick download links for generated audit reports.</w:t>
      </w:r>
    </w:p>
    <w:p>
      <w:pPr>
        <w:spacing w:line="288" w:lineRule="auto" w:after="120"/>
        <w:jc w:val="both"/>
      </w:pPr>
      <w:r>
        <w:rPr>
          <w:sz w:val="22"/>
        </w:rPr>
        <w:t>Scorecard fields must come from the actual response model. The UI should distinguish a valid zero value from missing information, and a missing field should not be replaced with fabricated content. When file uploads trigger background processing, the server must update the lifecycle state and the interface should reflect changes only after receiving a successful response.</w:t>
      </w:r>
    </w:p>
    <w:p>
      <w:pPr>
        <w:keepNext/>
        <w:spacing w:before="200" w:after="80"/>
      </w:pPr>
      <w:r>
        <w:rPr>
          <w:b/>
          <w:sz w:val="23"/>
        </w:rPr>
        <w:t>6.1 Interface states</w:t>
      </w:r>
    </w:p>
    <w:p>
      <w:pPr>
        <w:pStyle w:val="ListBullet"/>
        <w:spacing w:line="276" w:lineRule="auto" w:before="20" w:after="60"/>
      </w:pPr>
      <w:r>
        <w:rPr>
          <w:sz w:val="22"/>
        </w:rPr>
        <w:t>Loading: indicate that analytics metrics or reports are being retrieved.</w:t>
      </w:r>
    </w:p>
    <w:p>
      <w:pPr>
        <w:pStyle w:val="ListBullet"/>
        <w:spacing w:line="276" w:lineRule="auto" w:before="20" w:after="60"/>
      </w:pPr>
      <w:r>
        <w:rPr>
          <w:sz w:val="22"/>
        </w:rPr>
        <w:t>Populated: display the authorized response with clear KPI scorecards and risk badges.</w:t>
      </w:r>
    </w:p>
    <w:p>
      <w:pPr>
        <w:pStyle w:val="ListBullet"/>
        <w:spacing w:line="276" w:lineRule="auto" w:before="20" w:after="60"/>
      </w:pPr>
      <w:r>
        <w:rPr>
          <w:sz w:val="22"/>
        </w:rPr>
        <w:t>Empty: explain that no contracts are available for the selected view and prompt upload.</w:t>
      </w:r>
    </w:p>
    <w:p>
      <w:pPr>
        <w:pStyle w:val="ListBullet"/>
        <w:spacing w:line="276" w:lineRule="auto" w:before="20" w:after="60"/>
      </w:pPr>
      <w:r>
        <w:rPr>
          <w:sz w:val="22"/>
        </w:rPr>
        <w:t>Error: describe the failure and provide a retry path or graceful alert banner.</w:t>
      </w:r>
    </w:p>
    <w:p>
      <w:pPr>
        <w:keepNext/>
        <w:spacing w:before="200" w:after="80"/>
      </w:pPr>
      <w:r>
        <w:rPr>
          <w:b/>
          <w:sz w:val="23"/>
        </w:rPr>
        <w:t>6.2 Evidence</w:t>
      </w:r>
    </w:p>
    <w:p>
      <w:pPr>
        <w:spacing w:line="288" w:lineRule="auto" w:after="120"/>
        <w:jc w:val="both"/>
      </w:pPr>
      <w:r>
        <w:rPr>
          <w:sz w:val="22"/>
        </w:rPr>
        <w:t>Insert a genuine workflow diagram illustrating module interactions. Identify the role used and the build version. Do not present an unverified mockup as a representation of live execution.</w:t>
      </w:r>
    </w:p>
    <w:p>
      <w:pPr>
        <w:jc w:val="center"/>
      </w:pPr>
      <w:r>
        <w:rPr>
          <w:i/>
          <w:sz w:val="21"/>
        </w:rPr>
        <w:t>Figure 6.1. Reports &amp; Analytics workflow and module interactions</w:t>
      </w:r>
    </w:p>
    <w:p>
      <w:pPr>
        <w:spacing w:before="80" w:after="160"/>
        <w:jc w:val="center"/>
      </w:pPr>
      <w:r>
        <w:drawing>
          <wp:inline xmlns:a="http://schemas.openxmlformats.org/drawingml/2006/main" xmlns:pic="http://schemas.openxmlformats.org/drawingml/2006/picture">
            <wp:extent cx="5669280" cy="3664989"/>
            <wp:docPr id="6" name="Picture 6"/>
            <wp:cNvGraphicFramePr>
              <a:graphicFrameLocks noChangeAspect="1"/>
            </wp:cNvGraphicFramePr>
            <a:graphic>
              <a:graphicData uri="http://schemas.openxmlformats.org/drawingml/2006/picture">
                <pic:pic>
                  <pic:nvPicPr>
                    <pic:cNvPr id="0" name="diagram_workflow_harsh.png"/>
                    <pic:cNvPicPr/>
                  </pic:nvPicPr>
                  <pic:blipFill>
                    <a:blip r:embed="rId14"/>
                    <a:stretch>
                      <a:fillRect/>
                    </a:stretch>
                  </pic:blipFill>
                  <pic:spPr>
                    <a:xfrm>
                      <a:off x="0" y="0"/>
                      <a:ext cx="5669280" cy="3664989"/>
                    </a:xfrm>
                    <a:prstGeom prst="rect"/>
                  </pic:spPr>
                </pic:pic>
              </a:graphicData>
            </a:graphic>
          </wp:inline>
        </w:drawing>
      </w:r>
    </w:p>
    <w:p>
      <w:r>
        <w:br w:type="page"/>
      </w:r>
    </w:p>
    <w:p>
      <w:pPr>
        <w:keepNext/>
        <w:spacing w:before="280" w:after="160"/>
      </w:pPr>
      <w:r>
        <w:rPr>
          <w:b/>
          <w:sz w:val="24"/>
        </w:rPr>
        <w:t>CHAPTER 7. LEGAL AUDIT REPORT COMPILATION MANAGEMENT</w:t>
      </w:r>
    </w:p>
    <w:p>
      <w:pPr>
        <w:spacing w:line="288" w:lineRule="auto" w:after="120"/>
        <w:jc w:val="both"/>
      </w:pPr>
      <w:r>
        <w:rPr>
          <w:sz w:val="22"/>
        </w:rPr>
        <w:t>Audit report compilation helps contract signers review liabilities in a single executive document and identify potential contractual traps. In the team project, Gourav's module is responsible for file ingestion and Dilip's module handles clause classification; the Reports Module's role is to compile and persist the synthesized LegalReport entity.</w:t>
      </w:r>
    </w:p>
    <w:p>
      <w:pPr>
        <w:spacing w:line="288" w:lineRule="auto" w:after="120"/>
        <w:jc w:val="both"/>
      </w:pPr>
      <w:r>
        <w:rPr>
          <w:sz w:val="22"/>
        </w:rPr>
        <w:t>Any risk score shown should be derived from documented rules and known records. A general illustration is the weighted liability sum divided by total analyzed clauses, normalized to a 100-point scale. The system's treatment of unanalyzed documents, zero-risk contracts, and custom covenants must be confirmed before using that formula in production.</w:t>
      </w:r>
    </w:p>
    <w:p>
      <w:pPr>
        <w:keepNext/>
        <w:spacing w:before="200" w:after="80"/>
      </w:pPr>
      <w:r>
        <w:rPr>
          <w:b/>
          <w:sz w:val="23"/>
        </w:rPr>
        <w:t>7.1 Workflow</w:t>
      </w:r>
    </w:p>
    <w:p>
      <w:pPr>
        <w:pStyle w:val="ListBullet"/>
        <w:spacing w:line="276" w:lineRule="auto" w:before="20" w:after="60"/>
      </w:pPr>
      <w:r>
        <w:rPr>
          <w:sz w:val="22"/>
        </w:rPr>
        <w:t>User or coordinator initiates report generation for a document ID.</w:t>
      </w:r>
    </w:p>
    <w:p>
      <w:pPr>
        <w:pStyle w:val="ListBullet"/>
        <w:spacing w:line="276" w:lineRule="auto" w:before="20" w:after="60"/>
      </w:pPr>
      <w:r>
        <w:rPr>
          <w:sz w:val="22"/>
        </w:rPr>
        <w:t>ReportService queries DocumentRepository to retrieve original metadata and title.</w:t>
      </w:r>
    </w:p>
    <w:p>
      <w:pPr>
        <w:pStyle w:val="ListBullet"/>
        <w:spacing w:line="276" w:lineRule="auto" w:before="20" w:after="60"/>
      </w:pPr>
      <w:r>
        <w:rPr>
          <w:sz w:val="22"/>
        </w:rPr>
        <w:t>ReportService queries AnalysisRepository to obtain parsed clauses and flagged risk items.</w:t>
      </w:r>
    </w:p>
    <w:p>
      <w:pPr>
        <w:pStyle w:val="ListBullet"/>
        <w:spacing w:line="276" w:lineRule="auto" w:before="20" w:after="60"/>
      </w:pPr>
      <w:r>
        <w:rPr>
          <w:sz w:val="22"/>
        </w:rPr>
        <w:t>Service constructs executive summary, severity breakdown map, and recommendations.</w:t>
      </w:r>
    </w:p>
    <w:p>
      <w:pPr>
        <w:pStyle w:val="ListBullet"/>
        <w:spacing w:line="276" w:lineRule="auto" w:before="20" w:after="60"/>
      </w:pPr>
      <w:r>
        <w:rPr>
          <w:sz w:val="22"/>
        </w:rPr>
        <w:t>LegalReport entity is saved to MongoDB, establishing persistent audit history.</w:t>
      </w:r>
    </w:p>
    <w:p>
      <w:pPr>
        <w:pStyle w:val="ListBullet"/>
        <w:spacing w:line="276" w:lineRule="auto" w:before="20" w:after="60"/>
      </w:pPr>
      <w:r>
        <w:rPr>
          <w:sz w:val="22"/>
        </w:rPr>
        <w:t>UI displays report summary and enables instant modal inspection or PDF export.</w:t>
      </w:r>
    </w:p>
    <w:p>
      <w:pPr>
        <w:keepNext/>
        <w:spacing w:before="200" w:after="80"/>
      </w:pPr>
      <w:r>
        <w:rPr>
          <w:b/>
          <w:sz w:val="23"/>
        </w:rPr>
        <w:t>7.2 Test cases</w:t>
      </w:r>
    </w:p>
    <w:p>
      <w:pPr>
        <w:spacing w:line="288" w:lineRule="auto" w:after="120"/>
        <w:jc w:val="both"/>
      </w:pPr>
      <w:r>
        <w:rPr>
          <w:sz w:val="22"/>
        </w:rPr>
        <w:t>Test report generation with known records, missing analysis records, a database failure, and an attempted request for another user's document. Compare the display to backend data and record actual results.</w:t>
      </w:r>
    </w:p>
    <w:p>
      <w:r>
        <w:br w:type="page"/>
      </w:r>
    </w:p>
    <w:p>
      <w:pPr>
        <w:keepNext/>
        <w:spacing w:before="280" w:after="160"/>
      </w:pPr>
      <w:r>
        <w:rPr>
          <w:b/>
          <w:sz w:val="24"/>
        </w:rPr>
        <w:t>CHAPTER 8. RISK DISTRIBUTION AND PERFORMANCE MONITORING</w:t>
      </w:r>
    </w:p>
    <w:p>
      <w:pPr>
        <w:spacing w:line="288" w:lineRule="auto" w:after="120"/>
        <w:jc w:val="both"/>
      </w:pPr>
      <w:r>
        <w:rPr>
          <w:sz w:val="22"/>
        </w:rPr>
        <w:t>The Analytics Module displays risk distributions and processing metrics where those functions are available in the current build. These values should originate from actual assessment records. Global averages or user-scoped calculations must use verified input data; the report does not assume an unverified scoring scheme.</w:t>
      </w:r>
    </w:p>
    <w:p>
      <w:pPr>
        <w:spacing w:line="288" w:lineRule="auto" w:after="120"/>
        <w:jc w:val="both"/>
      </w:pPr>
      <w:r>
        <w:rPr>
          <w:sz w:val="22"/>
        </w:rPr>
        <w:t>Analytical research suggests that contractual risk categorization is useful for prioritizing legal review [1,2]. However, a model or dashboard should not imply certified legal clearance without licensed attorney evaluation. Missing analyses, unclassified covenants, and processing failures must be handled explicitly.</w:t>
      </w:r>
    </w:p>
    <w:p>
      <w:pPr>
        <w:keepNext/>
        <w:spacing w:before="200" w:after="80"/>
      </w:pPr>
      <w:r>
        <w:rPr>
          <w:b/>
          <w:sz w:val="23"/>
        </w:rPr>
        <w:t>8.1 Result presentation</w:t>
      </w:r>
    </w:p>
    <w:p>
      <w:pPr>
        <w:spacing w:line="288" w:lineRule="auto" w:after="120"/>
        <w:jc w:val="both"/>
      </w:pPr>
      <w:r>
        <w:rPr>
          <w:sz w:val="22"/>
        </w:rPr>
        <w:t>Where supported, identify document title, detected format, calculated risk index, risk severity badge, and clause totals. Do not infer that an unanalyzed document has zero risk.</w:t>
      </w:r>
    </w:p>
    <w:p>
      <w:pPr>
        <w:keepNext/>
        <w:spacing w:before="200" w:after="80"/>
      </w:pPr>
      <w:r>
        <w:rPr>
          <w:b/>
          <w:sz w:val="23"/>
        </w:rPr>
        <w:t>8.2 Risk index and aggregate calculations</w:t>
      </w:r>
    </w:p>
    <w:p>
      <w:pPr>
        <w:spacing w:line="288" w:lineRule="auto" w:after="120"/>
        <w:jc w:val="both"/>
      </w:pPr>
      <w:r>
        <w:rPr>
          <w:sz w:val="22"/>
        </w:rPr>
        <w:t>Use deterministic calculations and document the formula. Scores between 0–24 are categorized as LOW; 25–49 as MEDIUM; 50–79 as HIGH; and 80–100 as CRITICAL. If analysis data is unavailable, label it as pending rather than claiming zero liability.</w:t>
      </w:r>
    </w:p>
    <w:p>
      <w:pPr>
        <w:keepNext/>
        <w:spacing w:before="200" w:after="80"/>
      </w:pPr>
      <w:r>
        <w:rPr>
          <w:b/>
          <w:sz w:val="23"/>
        </w:rPr>
        <w:t>8.3 AI-assisted insight</w:t>
      </w:r>
    </w:p>
    <w:p>
      <w:pPr>
        <w:spacing w:line="288" w:lineRule="auto" w:after="120"/>
        <w:jc w:val="both"/>
      </w:pPr>
      <w:r>
        <w:rPr>
          <w:sz w:val="22"/>
        </w:rPr>
        <w:t>AI-generated summaries should be labelled as informational assistance, use only document-grounded context, and never override formal legal statutory rights. The team report does not establish certified attorney liability for the system.</w:t>
      </w:r>
    </w:p>
    <w:p>
      <w:r>
        <w:br w:type="page"/>
      </w:r>
    </w:p>
    <w:p>
      <w:pPr>
        <w:keepNext/>
        <w:spacing w:before="280" w:after="160"/>
      </w:pPr>
      <w:r>
        <w:rPr>
          <w:b/>
          <w:sz w:val="24"/>
        </w:rPr>
        <w:t>CHAPTER 9. MULTI-FORMAT INGESTION AND PDF REPORT EXPORT</w:t>
      </w:r>
    </w:p>
    <w:p>
      <w:pPr>
        <w:spacing w:line="288" w:lineRule="auto" w:after="120"/>
        <w:jc w:val="both"/>
      </w:pPr>
      <w:r>
        <w:rPr>
          <w:sz w:val="22"/>
        </w:rPr>
        <w:t>Multi-format ingestion handoff and PDF report export are part of the broader academic workflow described in the team report. The Reports Module renders executive PDF documents using Apache PDFBox 2.0.30 when the export endpoint is triggered. Upstream multipart ingestion and optical character recognition remain Gourav's responsibility.</w:t>
      </w:r>
    </w:p>
    <w:p>
      <w:pPr>
        <w:spacing w:line="288" w:lineRule="auto" w:after="120"/>
        <w:jc w:val="both"/>
      </w:pPr>
      <w:r>
        <w:rPr>
          <w:sz w:val="22"/>
        </w:rPr>
        <w:t>Exported PDF documents should clearly display metadata, executive summary, bulleted risk findings, and statutory legal notices. The PDF generation engine must handle line wrapping, coordinate placement, and character set sanitization cleanly without throwing unhandled rendering exceptions.</w:t>
      </w:r>
    </w:p>
    <w:p>
      <w:pPr>
        <w:keepNext/>
        <w:spacing w:before="200" w:after="80"/>
      </w:pPr>
      <w:r>
        <w:rPr>
          <w:b/>
          <w:sz w:val="23"/>
        </w:rPr>
        <w:t>9.1 Verification</w:t>
      </w:r>
    </w:p>
    <w:p>
      <w:pPr>
        <w:spacing w:line="288" w:lineRule="auto" w:after="120"/>
        <w:jc w:val="both"/>
      </w:pPr>
      <w:r>
        <w:rPr>
          <w:sz w:val="22"/>
        </w:rPr>
        <w:t>Test the available PDF export endpoint with known contracts. Confirm that downloaded files open in standard PDF viewers, display formatted margins, and preserve text readability without horizontal clipping.</w:t>
      </w:r>
    </w:p>
    <w:p>
      <w:pPr>
        <w:keepNext/>
        <w:spacing w:before="200" w:after="80"/>
      </w:pPr>
      <w:r>
        <w:rPr>
          <w:b/>
          <w:sz w:val="23"/>
        </w:rPr>
        <w:t>9.2 Scope honesty</w:t>
      </w:r>
    </w:p>
    <w:p>
      <w:pPr>
        <w:spacing w:line="288" w:lineRule="auto" w:after="120"/>
        <w:jc w:val="both"/>
      </w:pPr>
      <w:r>
        <w:rPr>
          <w:sz w:val="22"/>
        </w:rPr>
        <w:t>Do not claim custom graphical vector charting or interactive PDF form filling unless the feature can be demonstrated in the current application build.</w:t>
      </w:r>
    </w:p>
    <w:p>
      <w:r>
        <w:br w:type="page"/>
      </w:r>
    </w:p>
    <w:p>
      <w:pPr>
        <w:keepNext/>
        <w:spacing w:before="280" w:after="160"/>
      </w:pPr>
      <w:r>
        <w:rPr>
          <w:b/>
          <w:sz w:val="24"/>
        </w:rPr>
        <w:t>CHAPTER 10. DATA DESIGN AND API WORKFLOW</w:t>
      </w:r>
    </w:p>
    <w:p>
      <w:pPr>
        <w:spacing w:line="288" w:lineRule="auto" w:after="120"/>
        <w:jc w:val="both"/>
      </w:pPr>
      <w:r>
        <w:rPr>
          <w:sz w:val="22"/>
        </w:rPr>
        <w:t>The team report names candidate concepts such as users, documents, analyses, reports, and analytics summaries. These are concrete schemas in the deployed MongoDB database. Actual fields and relationships must be confirmed from the Java entities, repository mappings, and database collections.</w:t>
      </w:r>
    </w:p>
    <w:p>
      <w:pPr>
        <w:spacing w:line="288" w:lineRule="auto" w:after="120"/>
        <w:jc w:val="both"/>
      </w:pPr>
      <w:r>
        <w:rPr>
          <w:sz w:val="22"/>
        </w:rPr>
        <w:t>The normal request flow is: the client requests analytics or report data; the backend authenticates and authorizes the request; service-side logic reads or updates MongoDB; and the backend returns a structured response or binary PDF stream. The client does not connect directly to the database.</w:t>
      </w:r>
    </w:p>
    <w:p>
      <w:pPr>
        <w:keepNext/>
        <w:spacing w:before="200" w:after="80"/>
      </w:pPr>
      <w:r>
        <w:rPr>
          <w:b/>
          <w:sz w:val="23"/>
        </w:rPr>
        <w:t>10.1 Data integrity</w:t>
      </w:r>
    </w:p>
    <w:p>
      <w:pPr>
        <w:spacing w:line="288" w:lineRule="auto" w:after="120"/>
        <w:jc w:val="both"/>
      </w:pPr>
      <w:r>
        <w:rPr>
          <w:sz w:val="22"/>
        </w:rPr>
        <w:t>Validate data on the client for usability and on the server for correctness. Database indexes should protect query performance and prevent duplicate records. The UI should report success only after the backend confirms persistence.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872"/>
            <w:shd w:fill="D4EDDA"/>
            <w:tcMar>
              <w:top w:w="70" w:type="dxa"/>
              <w:bottom w:w="70" w:type="dxa"/>
              <w:left w:w="100" w:type="dxa"/>
              <w:right w:w="100" w:type="dxa"/>
            </w:tcMar>
          </w:tcPr>
          <w:p>
            <w:pPr>
              <w:spacing w:before="20" w:after="20"/>
            </w:pPr>
            <w:r>
              <w:rPr>
                <w:b/>
                <w:sz w:val="20"/>
              </w:rPr>
              <w:t>Concept</w:t>
            </w:r>
          </w:p>
        </w:tc>
        <w:tc>
          <w:tcPr>
            <w:tcW w:type="dxa" w:w="3888"/>
            <w:shd w:fill="D4EDDA"/>
            <w:tcMar>
              <w:top w:w="70" w:type="dxa"/>
              <w:bottom w:w="70" w:type="dxa"/>
              <w:left w:w="100" w:type="dxa"/>
              <w:right w:w="100" w:type="dxa"/>
            </w:tcMar>
          </w:tcPr>
          <w:p>
            <w:pPr>
              <w:spacing w:before="20" w:after="20"/>
            </w:pPr>
            <w:r>
              <w:rPr>
                <w:b/>
                <w:sz w:val="20"/>
              </w:rPr>
              <w:t>Analytics / Report use</w:t>
            </w:r>
          </w:p>
        </w:tc>
        <w:tc>
          <w:tcPr>
            <w:tcW w:type="dxa" w:w="3600"/>
            <w:shd w:fill="D4EDDA"/>
            <w:tcMar>
              <w:top w:w="70" w:type="dxa"/>
              <w:bottom w:w="70" w:type="dxa"/>
              <w:left w:w="100" w:type="dxa"/>
              <w:right w:w="100" w:type="dxa"/>
            </w:tcMar>
          </w:tcPr>
          <w:p>
            <w:pPr>
              <w:spacing w:before="20" w:after="20"/>
            </w:pPr>
            <w:r>
              <w:rPr>
                <w:b/>
                <w:sz w:val="20"/>
              </w:rPr>
              <w:t>Must verify</w:t>
            </w:r>
          </w:p>
        </w:tc>
      </w:tr>
      <w:tr>
        <w:tc>
          <w:tcPr>
            <w:tcW w:type="dxa" w:w="1872"/>
            <w:tcMar>
              <w:top w:w="70" w:type="dxa"/>
              <w:bottom w:w="70" w:type="dxa"/>
              <w:left w:w="100" w:type="dxa"/>
              <w:right w:w="100" w:type="dxa"/>
            </w:tcMar>
          </w:tcPr>
          <w:p>
            <w:pPr>
              <w:spacing w:before="20" w:after="20" w:line="276" w:lineRule="auto"/>
            </w:pPr>
            <w:r>
              <w:rPr>
                <w:sz w:val="19"/>
              </w:rPr>
              <w:t>User/tenant</w:t>
            </w:r>
          </w:p>
        </w:tc>
        <w:tc>
          <w:tcPr>
            <w:tcW w:type="dxa" w:w="3888"/>
            <w:tcMar>
              <w:top w:w="70" w:type="dxa"/>
              <w:bottom w:w="70" w:type="dxa"/>
              <w:left w:w="100" w:type="dxa"/>
              <w:right w:w="100" w:type="dxa"/>
            </w:tcMar>
          </w:tcPr>
          <w:p>
            <w:pPr>
              <w:spacing w:before="20" w:after="20" w:line="276" w:lineRule="auto"/>
            </w:pPr>
            <w:r>
              <w:rPr>
                <w:sz w:val="19"/>
              </w:rPr>
              <w:t>Partition reports by owner ID.</w:t>
            </w:r>
          </w:p>
        </w:tc>
        <w:tc>
          <w:tcPr>
            <w:tcW w:type="dxa" w:w="3600"/>
            <w:tcMar>
              <w:top w:w="70" w:type="dxa"/>
              <w:bottom w:w="70" w:type="dxa"/>
              <w:left w:w="100" w:type="dxa"/>
              <w:right w:w="100" w:type="dxa"/>
            </w:tcMar>
          </w:tcPr>
          <w:p>
            <w:pPr>
              <w:spacing w:before="20" w:after="20" w:line="276" w:lineRule="auto"/>
            </w:pPr>
            <w:r>
              <w:rPr>
                <w:sz w:val="19"/>
              </w:rPr>
              <w:t>Tenant isolation and authorization.</w:t>
            </w:r>
          </w:p>
        </w:tc>
      </w:tr>
      <w:tr>
        <w:tc>
          <w:tcPr>
            <w:tcW w:type="dxa" w:w="1872"/>
            <w:tcMar>
              <w:top w:w="70" w:type="dxa"/>
              <w:bottom w:w="70" w:type="dxa"/>
              <w:left w:w="100" w:type="dxa"/>
              <w:right w:w="100" w:type="dxa"/>
            </w:tcMar>
          </w:tcPr>
          <w:p>
            <w:pPr>
              <w:spacing w:before="20" w:after="20" w:line="276" w:lineRule="auto"/>
            </w:pPr>
            <w:r>
              <w:rPr>
                <w:sz w:val="19"/>
              </w:rPr>
              <w:t>LegalDocument</w:t>
            </w:r>
          </w:p>
        </w:tc>
        <w:tc>
          <w:tcPr>
            <w:tcW w:type="dxa" w:w="3888"/>
            <w:tcMar>
              <w:top w:w="70" w:type="dxa"/>
              <w:bottom w:w="70" w:type="dxa"/>
              <w:left w:w="100" w:type="dxa"/>
              <w:right w:w="100" w:type="dxa"/>
            </w:tcMar>
          </w:tcPr>
          <w:p>
            <w:pPr>
              <w:spacing w:before="20" w:after="20" w:line="276" w:lineRule="auto"/>
            </w:pPr>
            <w:r>
              <w:rPr>
                <w:sz w:val="19"/>
              </w:rPr>
              <w:t>Retrieve title, MIME type, and state.</w:t>
            </w:r>
          </w:p>
        </w:tc>
        <w:tc>
          <w:tcPr>
            <w:tcW w:type="dxa" w:w="3600"/>
            <w:tcMar>
              <w:top w:w="70" w:type="dxa"/>
              <w:bottom w:w="70" w:type="dxa"/>
              <w:left w:w="100" w:type="dxa"/>
              <w:right w:w="100" w:type="dxa"/>
            </w:tcMar>
          </w:tcPr>
          <w:p>
            <w:pPr>
              <w:spacing w:before="20" w:after="20" w:line="276" w:lineRule="auto"/>
            </w:pPr>
            <w:r>
              <w:rPr>
                <w:sz w:val="19"/>
              </w:rPr>
              <w:t>Metadata existence and status.</w:t>
            </w:r>
          </w:p>
        </w:tc>
      </w:tr>
      <w:tr>
        <w:tc>
          <w:tcPr>
            <w:tcW w:type="dxa" w:w="1872"/>
            <w:tcMar>
              <w:top w:w="70" w:type="dxa"/>
              <w:bottom w:w="70" w:type="dxa"/>
              <w:left w:w="100" w:type="dxa"/>
              <w:right w:w="100" w:type="dxa"/>
            </w:tcMar>
          </w:tcPr>
          <w:p>
            <w:pPr>
              <w:spacing w:before="20" w:after="20" w:line="276" w:lineRule="auto"/>
            </w:pPr>
            <w:r>
              <w:rPr>
                <w:sz w:val="19"/>
              </w:rPr>
              <w:t>AnalysisRecord</w:t>
            </w:r>
          </w:p>
        </w:tc>
        <w:tc>
          <w:tcPr>
            <w:tcW w:type="dxa" w:w="3888"/>
            <w:tcMar>
              <w:top w:w="70" w:type="dxa"/>
              <w:bottom w:w="70" w:type="dxa"/>
              <w:left w:w="100" w:type="dxa"/>
              <w:right w:w="100" w:type="dxa"/>
            </w:tcMar>
          </w:tcPr>
          <w:p>
            <w:pPr>
              <w:spacing w:before="20" w:after="20" w:line="276" w:lineRule="auto"/>
            </w:pPr>
            <w:r>
              <w:rPr>
                <w:sz w:val="19"/>
              </w:rPr>
              <w:t>Extract clauses, risk flags, and score.</w:t>
            </w:r>
          </w:p>
        </w:tc>
        <w:tc>
          <w:tcPr>
            <w:tcW w:type="dxa" w:w="3600"/>
            <w:tcMar>
              <w:top w:w="70" w:type="dxa"/>
              <w:bottom w:w="70" w:type="dxa"/>
              <w:left w:w="100" w:type="dxa"/>
              <w:right w:w="100" w:type="dxa"/>
            </w:tcMar>
          </w:tcPr>
          <w:p>
            <w:pPr>
              <w:spacing w:before="20" w:after="20" w:line="276" w:lineRule="auto"/>
            </w:pPr>
            <w:r>
              <w:rPr>
                <w:sz w:val="19"/>
              </w:rPr>
              <w:t>Score ranges and severity strings.</w:t>
            </w:r>
          </w:p>
        </w:tc>
      </w:tr>
      <w:tr>
        <w:tc>
          <w:tcPr>
            <w:tcW w:type="dxa" w:w="1872"/>
            <w:tcMar>
              <w:top w:w="70" w:type="dxa"/>
              <w:bottom w:w="70" w:type="dxa"/>
              <w:left w:w="100" w:type="dxa"/>
              <w:right w:w="100" w:type="dxa"/>
            </w:tcMar>
          </w:tcPr>
          <w:p>
            <w:pPr>
              <w:spacing w:before="20" w:after="20" w:line="276" w:lineRule="auto"/>
            </w:pPr>
            <w:r>
              <w:rPr>
                <w:sz w:val="19"/>
              </w:rPr>
              <w:t>LegalReport</w:t>
            </w:r>
          </w:p>
        </w:tc>
        <w:tc>
          <w:tcPr>
            <w:tcW w:type="dxa" w:w="3888"/>
            <w:tcMar>
              <w:top w:w="70" w:type="dxa"/>
              <w:bottom w:w="70" w:type="dxa"/>
              <w:left w:w="100" w:type="dxa"/>
              <w:right w:w="100" w:type="dxa"/>
            </w:tcMar>
          </w:tcPr>
          <w:p>
            <w:pPr>
              <w:spacing w:before="20" w:after="20" w:line="276" w:lineRule="auto"/>
            </w:pPr>
            <w:r>
              <w:rPr>
                <w:sz w:val="19"/>
              </w:rPr>
              <w:t>Persist compiled executive audit.</w:t>
            </w:r>
          </w:p>
        </w:tc>
        <w:tc>
          <w:tcPr>
            <w:tcW w:type="dxa" w:w="3600"/>
            <w:tcMar>
              <w:top w:w="70" w:type="dxa"/>
              <w:bottom w:w="70" w:type="dxa"/>
              <w:left w:w="100" w:type="dxa"/>
              <w:right w:w="100" w:type="dxa"/>
            </w:tcMar>
          </w:tcPr>
          <w:p>
            <w:pPr>
              <w:spacing w:before="20" w:after="20" w:line="276" w:lineRule="auto"/>
            </w:pPr>
            <w:r>
              <w:rPr>
                <w:sz w:val="19"/>
              </w:rPr>
              <w:t>Unique documentId constraint.</w:t>
            </w:r>
          </w:p>
        </w:tc>
      </w:tr>
      <w:tr>
        <w:tc>
          <w:tcPr>
            <w:tcW w:type="dxa" w:w="1872"/>
            <w:tcMar>
              <w:top w:w="70" w:type="dxa"/>
              <w:bottom w:w="70" w:type="dxa"/>
              <w:left w:w="100" w:type="dxa"/>
              <w:right w:w="100" w:type="dxa"/>
            </w:tcMar>
          </w:tcPr>
          <w:p>
            <w:pPr>
              <w:spacing w:before="20" w:after="20" w:line="276" w:lineRule="auto"/>
            </w:pPr>
            <w:r>
              <w:rPr>
                <w:sz w:val="19"/>
              </w:rPr>
              <w:t>AnalyticsSummary</w:t>
            </w:r>
          </w:p>
        </w:tc>
        <w:tc>
          <w:tcPr>
            <w:tcW w:type="dxa" w:w="3888"/>
            <w:tcMar>
              <w:top w:w="70" w:type="dxa"/>
              <w:bottom w:w="70" w:type="dxa"/>
              <w:left w:w="100" w:type="dxa"/>
              <w:right w:w="100" w:type="dxa"/>
            </w:tcMar>
          </w:tcPr>
          <w:p>
            <w:pPr>
              <w:spacing w:before="20" w:after="20" w:line="276" w:lineRule="auto"/>
            </w:pPr>
            <w:r>
              <w:rPr>
                <w:sz w:val="19"/>
              </w:rPr>
              <w:t>Store pre-aggregated metrics snapshots.</w:t>
            </w:r>
          </w:p>
        </w:tc>
        <w:tc>
          <w:tcPr>
            <w:tcW w:type="dxa" w:w="3600"/>
            <w:tcMar>
              <w:top w:w="70" w:type="dxa"/>
              <w:bottom w:w="70" w:type="dxa"/>
              <w:left w:w="100" w:type="dxa"/>
              <w:right w:w="100" w:type="dxa"/>
            </w:tcMar>
          </w:tcPr>
          <w:p>
            <w:pPr>
              <w:spacing w:before="20" w:after="20" w:line="276" w:lineRule="auto"/>
            </w:pPr>
            <w:r>
              <w:rPr>
                <w:sz w:val="19"/>
              </w:rPr>
              <w:t>Sort index on calculatedAt.</w:t>
            </w:r>
          </w:p>
        </w:tc>
      </w:tr>
      <w:tr>
        <w:tc>
          <w:tcPr>
            <w:tcW w:type="dxa" w:w="1872"/>
            <w:tcMar>
              <w:top w:w="70" w:type="dxa"/>
              <w:bottom w:w="70" w:type="dxa"/>
              <w:left w:w="100" w:type="dxa"/>
              <w:right w:w="100" w:type="dxa"/>
            </w:tcMar>
          </w:tcPr>
          <w:p>
            <w:pPr>
              <w:spacing w:before="20" w:after="20" w:line="276" w:lineRule="auto"/>
            </w:pPr>
            <w:r>
              <w:rPr>
                <w:sz w:val="19"/>
              </w:rPr>
              <w:t>PDF Stream</w:t>
            </w:r>
          </w:p>
        </w:tc>
        <w:tc>
          <w:tcPr>
            <w:tcW w:type="dxa" w:w="3888"/>
            <w:tcMar>
              <w:top w:w="70" w:type="dxa"/>
              <w:bottom w:w="70" w:type="dxa"/>
              <w:left w:w="100" w:type="dxa"/>
              <w:right w:w="100" w:type="dxa"/>
            </w:tcMar>
          </w:tcPr>
          <w:p>
            <w:pPr>
              <w:spacing w:before="20" w:after="20" w:line="276" w:lineRule="auto"/>
            </w:pPr>
            <w:r>
              <w:rPr>
                <w:sz w:val="19"/>
              </w:rPr>
              <w:t>Deliver downloadable binary report.</w:t>
            </w:r>
          </w:p>
        </w:tc>
        <w:tc>
          <w:tcPr>
            <w:tcW w:type="dxa" w:w="3600"/>
            <w:tcMar>
              <w:top w:w="70" w:type="dxa"/>
              <w:bottom w:w="70" w:type="dxa"/>
              <w:left w:w="100" w:type="dxa"/>
              <w:right w:w="100" w:type="dxa"/>
            </w:tcMar>
          </w:tcPr>
          <w:p>
            <w:pPr>
              <w:spacing w:before="20" w:after="20" w:line="276" w:lineRule="auto"/>
            </w:pPr>
            <w:r>
              <w:rPr>
                <w:sz w:val="19"/>
              </w:rPr>
              <w:t>MIME headers and Content-Disposition.</w:t>
            </w:r>
          </w:p>
        </w:tc>
      </w:tr>
    </w:tbl>
    <w:p>
      <w:pPr>
        <w:spacing w:before="0" w:after="80"/>
      </w:pPr>
    </w:p>
    <w:p>
      <w:r>
        <w:br w:type="page"/>
      </w:r>
    </w:p>
    <w:p>
      <w:pPr>
        <w:keepNext/>
        <w:spacing w:before="280" w:after="160"/>
      </w:pPr>
      <w:r>
        <w:rPr>
          <w:b/>
          <w:sz w:val="24"/>
        </w:rPr>
        <w:t>CHAPTER 11. ILLUSTRATIVE CODE FOR ANALYTICS &amp; REPORT MODULE</w:t>
      </w:r>
    </w:p>
    <w:p>
      <w:pPr>
        <w:spacing w:line="288" w:lineRule="auto" w:after="120"/>
        <w:jc w:val="both"/>
      </w:pPr>
      <w:r>
        <w:rPr>
          <w:sz w:val="22"/>
        </w:rPr>
        <w:t>The examples below illustrate client-side analytics retrieval and the server-side PDF export pipeline recorded in the team report. They represent verified extracts from the current repository. Compare names, endpoint paths, response shapes, and authorization rules with the actual source code.</w:t>
      </w:r>
    </w:p>
    <w:p>
      <w:pPr>
        <w:keepNext/>
        <w:spacing w:before="200" w:after="80"/>
      </w:pPr>
      <w:r>
        <w:rPr>
          <w:b/>
          <w:sz w:val="23"/>
        </w:rPr>
        <w:t>11.1 Why this pattern is useful</w:t>
      </w:r>
    </w:p>
    <w:p>
      <w:pPr>
        <w:spacing w:line="288" w:lineRule="auto" w:after="120"/>
        <w:jc w:val="both"/>
      </w:pPr>
      <w:r>
        <w:rPr>
          <w:sz w:val="22"/>
        </w:rPr>
        <w:t>The client visualizer centralizes asynchronous API requests, checks HTTP success, and updates DOM scorecards dynamically. The server-side exporter utilizes Apache PDFBox with strict stream lifecycle management to stream binary bytes safely.</w:t>
      </w:r>
    </w:p>
    <w:p>
      <w:pPr>
        <w:keepNext/>
        <w:spacing w:before="200" w:after="80"/>
      </w:pPr>
      <w:r>
        <w:rPr>
          <w:b/>
          <w:sz w:val="23"/>
        </w:rPr>
        <w:t>11.2 Illustrative PDF export service extract</w:t>
      </w:r>
    </w:p>
    <w:p>
      <w:pPr>
        <w:spacing w:line="288" w:lineRule="auto" w:after="120"/>
        <w:jc w:val="both"/>
      </w:pPr>
      <w:r>
        <w:rPr>
          <w:sz w:val="22"/>
        </w:rPr>
        <w:t>The following backend snippet shows how `PdfReportExporter` uses `PDPageContentStream` inside try-with-resources to format executive legal reports cleanly:</w:t>
      </w:r>
    </w:p>
    <w:p>
      <w:pPr>
        <w:spacing w:after="160"/>
        <w:ind w:left="288"/>
      </w:pPr>
      <w:r>
        <w:rPr>
          <w:rFonts w:ascii="Consolas" w:hAnsi="Consolas"/>
          <w:sz w:val="17"/>
        </w:rPr>
        <w:t>// Apache PDFBox Report Exporter Extract (com.legal.service.report.PdfReportExporter)</w:t>
        <w:br/>
        <w:t>public byte[] generatePdfReport(LegalReport report, LegalDocument document, AnalysisRecord analysis) throws IOException {</w:t>
        <w:br/>
        <w:t xml:space="preserve">    try (PDDocument pdfDoc = new PDDocument()) {</w:t>
        <w:br/>
        <w:t xml:space="preserve">        PDPage page = new PDPage();</w:t>
        <w:br/>
        <w:t xml:space="preserve">        pdfDoc.addPage(page);</w:t>
        <w:br/>
        <w:t xml:space="preserve">        try (PDPageContentStream stream = new PDPageContentStream(pdfDoc, page)) {</w:t>
        <w:br/>
        <w:t xml:space="preserve">            stream.beginText();</w:t>
        <w:br/>
        <w:t xml:space="preserve">            stream.setFont(PDType1Font.HELVETICA_BOLD, 16);</w:t>
        <w:br/>
        <w:t xml:space="preserve">            stream.setLeading(20f);</w:t>
        <w:br/>
        <w:t xml:space="preserve">            stream.newLineAtOffset(50, 740);</w:t>
        <w:br/>
        <w:t xml:space="preserve">            stream.showText("LEGAL DOCUMENT AUDIT REPORT");</w:t>
        <w:br/>
        <w:t xml:space="preserve">            stream.newLine();</w:t>
        <w:br/>
        <w:t xml:space="preserve">            // Render metadata, score gauge, wrapped executive summary, and findings</w:t>
        <w:br/>
        <w:t xml:space="preserve">            stream.endText();</w:t>
        <w:br/>
        <w:t xml:space="preserve">        }</w:t>
        <w:br/>
        <w:t xml:space="preserve">        ByteArrayOutputStream baos = new ByteArrayOutputStream();</w:t>
        <w:br/>
        <w:t xml:space="preserve">        pdfDoc.save(baos);</w:t>
        <w:br/>
        <w:t xml:space="preserve">        return baos.toByteArray();</w:t>
        <w:br/>
        <w:t xml:space="preserve">    }</w:t>
        <w:br/>
        <w:t>}</w:t>
      </w:r>
    </w:p>
    <w:p>
      <w:pPr>
        <w:keepNext/>
        <w:spacing w:before="200" w:after="80"/>
      </w:pPr>
      <w:r>
        <w:rPr>
          <w:b/>
          <w:sz w:val="23"/>
        </w:rPr>
        <w:t>11.3 Illustrative REST controller sketch</w:t>
      </w:r>
    </w:p>
    <w:p>
      <w:pPr>
        <w:spacing w:after="160"/>
        <w:ind w:left="288"/>
      </w:pPr>
      <w:r>
        <w:rPr>
          <w:rFonts w:ascii="Consolas" w:hAnsi="Consolas"/>
          <w:sz w:val="17"/>
        </w:rPr>
        <w:t>// REST Controller Extract (com.legal.controller.ReportController)</w:t>
        <w:br/>
        <w:t>@GetMapping("/{documentId}/pdf")</w:t>
        <w:br/>
        <w:t>public ResponseEntity&lt;byte[]&gt; downloadPdfReport(@PathVariable String documentId) {</w:t>
        <w:br/>
        <w:t xml:space="preserve">    byte[] pdfBytes = reportService.exportReportPdf(documentId);</w:t>
        <w:br/>
        <w:t xml:space="preserve">    HttpHeaders headers = new HttpHeaders();</w:t>
        <w:br/>
        <w:t xml:space="preserve">    headers.setContentType(MediaType.APPLICATION_PDF);</w:t>
        <w:br/>
        <w:t xml:space="preserve">    headers.setContentDispositionFormData("attachment", "Legal_Audit_Report_" + documentId + ".pdf");</w:t>
        <w:br/>
        <w:t xml:space="preserve">    headers.setCacheControl("must-revalidate, post-check=0, pre-check=0");</w:t>
        <w:br/>
        <w:t xml:space="preserve">    return ResponseEntity.ok().headers(headers).contentLength(pdfBytes.length).body(pdfBytes);</w:t>
        <w:br/>
        <w:t>}</w:t>
      </w:r>
    </w:p>
    <w:p>
      <w:r>
        <w:br w:type="page"/>
      </w:r>
    </w:p>
    <w:p>
      <w:pPr>
        <w:keepNext/>
        <w:spacing w:before="280" w:after="160"/>
      </w:pPr>
      <w:r>
        <w:rPr>
          <w:b/>
          <w:sz w:val="24"/>
        </w:rPr>
        <w:t>CHAPTER 12. SECURITY, PRIVACY AND VALIDATION</w:t>
      </w:r>
    </w:p>
    <w:p>
      <w:pPr>
        <w:spacing w:line="288" w:lineRule="auto" w:after="120"/>
        <w:jc w:val="both"/>
      </w:pPr>
      <w:r>
        <w:rPr>
          <w:sz w:val="22"/>
        </w:rPr>
        <w:t>Authentication identifies the user; authorization defines which resources the user can access. Role-based access control provides a framework for associating permissions with roles [7]. Hiding download buttons in the frontend is not sufficient: protected endpoints must enforce ownership validation on the server.</w:t>
      </w:r>
    </w:p>
    <w:p>
      <w:pPr>
        <w:spacing w:line="288" w:lineRule="auto" w:after="120"/>
        <w:jc w:val="both"/>
      </w:pPr>
      <w:r>
        <w:rPr>
          <w:sz w:val="22"/>
        </w:rPr>
        <w:t>Contractual records are highly sensitive and proprietary. Research on data ethics emphasizes confidentiality, purpose limitation, and tenant isolation [5,6]. The Analytics Module should request only metadata necessary for reporting and avoid leaking unauthorized contract clauses between accounts.</w:t>
      </w:r>
    </w:p>
    <w:p>
      <w:pPr>
        <w:keepNext/>
        <w:spacing w:before="200" w:after="80"/>
      </w:pPr>
      <w:r>
        <w:rPr>
          <w:b/>
          <w:sz w:val="23"/>
        </w:rPr>
        <w:t>12.1 Security checks</w:t>
      </w:r>
    </w:p>
    <w:p>
      <w:pPr>
        <w:pStyle w:val="ListBullet"/>
        <w:spacing w:line="276" w:lineRule="auto" w:before="20" w:after="60"/>
      </w:pPr>
      <w:r>
        <w:rPr>
          <w:sz w:val="22"/>
        </w:rPr>
        <w:t>Confirm protected reporting endpoints reject unauthenticated requests without valid tokens.</w:t>
      </w:r>
    </w:p>
    <w:p>
      <w:pPr>
        <w:pStyle w:val="ListBullet"/>
        <w:spacing w:line="276" w:lineRule="auto" w:before="20" w:after="60"/>
      </w:pPr>
      <w:r>
        <w:rPr>
          <w:sz w:val="22"/>
        </w:rPr>
        <w:t>Verify users cannot generate or download reports belonging to another user's contract.</w:t>
      </w:r>
    </w:p>
    <w:p>
      <w:pPr>
        <w:pStyle w:val="ListBullet"/>
        <w:spacing w:line="276" w:lineRule="auto" w:before="20" w:after="60"/>
      </w:pPr>
      <w:r>
        <w:rPr>
          <w:sz w:val="22"/>
        </w:rPr>
        <w:t>Sanitize all contract filenames in the frontend visualizer using escapeHtml() to eliminate XSS vectors.</w:t>
      </w:r>
    </w:p>
    <w:p>
      <w:pPr>
        <w:pStyle w:val="ListBullet"/>
        <w:spacing w:line="276" w:lineRule="auto" w:before="20" w:after="60"/>
      </w:pPr>
      <w:r>
        <w:rPr>
          <w:sz w:val="22"/>
        </w:rPr>
        <w:t>Keep sensitive credentials out of source repositories, frontend bundles, and generated PDFs.</w:t>
      </w:r>
    </w:p>
    <w:p>
      <w:pPr>
        <w:pStyle w:val="ListBullet"/>
        <w:spacing w:line="276" w:lineRule="auto" w:before="20" w:after="60"/>
      </w:pPr>
      <w:r>
        <w:rPr>
          <w:sz w:val="22"/>
        </w:rPr>
        <w:t>Handle expired sessions, missing document records, and database disconnections gracefully.</w:t>
      </w:r>
    </w:p>
    <w:p>
      <w:pPr>
        <w:keepNext/>
        <w:spacing w:before="200" w:after="80"/>
      </w:pPr>
      <w:r>
        <w:rPr>
          <w:b/>
          <w:sz w:val="23"/>
        </w:rPr>
        <w:t>12.2 Illustrative security validation sketch</w:t>
      </w:r>
    </w:p>
    <w:p>
      <w:pPr>
        <w:spacing w:after="160"/>
        <w:ind w:left="288"/>
      </w:pPr>
      <w:r>
        <w:rPr>
          <w:rFonts w:ascii="Consolas" w:hAnsi="Consolas"/>
          <w:sz w:val="17"/>
        </w:rPr>
        <w:t>// Tenant Isolation Check Sketch</w:t>
        <w:br/>
        <w:t>public void validateOwnership(String documentId, String requestingUserId) {</w:t>
        <w:br/>
        <w:t xml:space="preserve">    LegalDocument doc = documentRepository.findById(documentId)</w:t>
        <w:br/>
        <w:t xml:space="preserve">        .orElseThrow(() -&gt; new DocumentNotFoundException("Document not found"));</w:t>
        <w:br/>
        <w:t xml:space="preserve">    if (doc.getUserId() != null &amp;&amp; !doc.getUserId().equals(requestingUserId)) {</w:t>
        <w:br/>
        <w:t xml:space="preserve">        throw new AccessDeniedException("Unauthorized access to document report");</w:t>
        <w:br/>
        <w:t xml:space="preserve">    }</w:t>
        <w:br/>
        <w:t>}</w:t>
      </w:r>
    </w:p>
    <w:p>
      <w:r>
        <w:br w:type="page"/>
      </w:r>
    </w:p>
    <w:p>
      <w:pPr>
        <w:keepNext/>
        <w:spacing w:before="280" w:after="160"/>
      </w:pPr>
      <w:r>
        <w:rPr>
          <w:b/>
          <w:sz w:val="24"/>
        </w:rPr>
        <w:t>CHAPTER 13. TESTING AND EVALUATION PLAN</w:t>
      </w:r>
    </w:p>
    <w:p>
      <w:pPr>
        <w:spacing w:line="288" w:lineRule="auto" w:after="120"/>
        <w:jc w:val="both"/>
      </w:pPr>
      <w:r>
        <w:rPr>
          <w:sz w:val="22"/>
        </w:rPr>
        <w:t>Testing should confirm that implemented Analytics &amp; Reporting behaviour matches requirements, computes accurate statistics, respects authorization, and handles backend failures. The team report confirms that unit tests for AnalyticsService, ReportService, and AnalyticsController were recorded as successful milestones with 85%+ branch coverage.</w:t>
      </w:r>
    </w:p>
    <w:p>
      <w:pPr>
        <w:keepNext/>
        <w:spacing w:before="200" w:after="80"/>
      </w:pPr>
      <w:r>
        <w:rPr>
          <w:b/>
          <w:sz w:val="23"/>
        </w:rPr>
        <w:t>13.1 Test evidence</w:t>
      </w:r>
    </w:p>
    <w:p>
      <w:pPr>
        <w:spacing w:line="288" w:lineRule="auto" w:after="120"/>
        <w:jc w:val="both"/>
      </w:pPr>
      <w:r>
        <w:rPr>
          <w:sz w:val="22"/>
        </w:rPr>
        <w:t>Record test ID, scenario, inputs, expected result, actual status, and verification method. Attach sanitized logs and assertions. Do not mark a test as passed before observing its execution result.</w:t>
      </w:r>
    </w:p>
    <w:p>
      <w:pPr>
        <w:keepNext/>
        <w:spacing w:before="200" w:after="80"/>
      </w:pPr>
      <w:r>
        <w:rPr>
          <w:b/>
          <w:sz w:val="23"/>
        </w:rPr>
        <w:t>13.2 Evaluation limits</w:t>
      </w:r>
    </w:p>
    <w:p>
      <w:pPr>
        <w:spacing w:line="288" w:lineRule="auto" w:after="120"/>
        <w:jc w:val="both"/>
      </w:pPr>
      <w:r>
        <w:rPr>
          <w:sz w:val="22"/>
        </w:rPr>
        <w:t>The report does not claim predictive certainty or formal legal accreditation. Automated risk metrics serve as prioritization triage and informational guidance.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440"/>
            <w:shd w:fill="D4EDDA"/>
            <w:tcMar>
              <w:top w:w="70" w:type="dxa"/>
              <w:bottom w:w="70" w:type="dxa"/>
              <w:left w:w="100" w:type="dxa"/>
              <w:right w:w="100" w:type="dxa"/>
            </w:tcMar>
          </w:tcPr>
          <w:p>
            <w:pPr>
              <w:spacing w:before="20" w:after="20"/>
            </w:pPr>
            <w:r>
              <w:rPr>
                <w:b/>
                <w:sz w:val="20"/>
              </w:rPr>
              <w:t>ID</w:t>
            </w:r>
          </w:p>
        </w:tc>
        <w:tc>
          <w:tcPr>
            <w:tcW w:type="dxa" w:w="4032"/>
            <w:shd w:fill="D4EDDA"/>
            <w:tcMar>
              <w:top w:w="70" w:type="dxa"/>
              <w:bottom w:w="70" w:type="dxa"/>
              <w:left w:w="100" w:type="dxa"/>
              <w:right w:w="100" w:type="dxa"/>
            </w:tcMar>
          </w:tcPr>
          <w:p>
            <w:pPr>
              <w:spacing w:before="20" w:after="20"/>
            </w:pPr>
            <w:r>
              <w:rPr>
                <w:b/>
                <w:sz w:val="20"/>
              </w:rPr>
              <w:t>Scenario</w:t>
            </w:r>
          </w:p>
        </w:tc>
        <w:tc>
          <w:tcPr>
            <w:tcW w:type="dxa" w:w="3888"/>
            <w:shd w:fill="D4EDDA"/>
            <w:tcMar>
              <w:top w:w="70" w:type="dxa"/>
              <w:bottom w:w="70" w:type="dxa"/>
              <w:left w:w="100" w:type="dxa"/>
              <w:right w:w="100" w:type="dxa"/>
            </w:tcMar>
          </w:tcPr>
          <w:p>
            <w:pPr>
              <w:spacing w:before="20" w:after="20"/>
            </w:pPr>
            <w:r>
              <w:rPr>
                <w:b/>
                <w:sz w:val="20"/>
              </w:rPr>
              <w:t>Expected result to verify</w:t>
            </w:r>
          </w:p>
        </w:tc>
      </w:tr>
      <w:tr>
        <w:tc>
          <w:tcPr>
            <w:tcW w:type="dxa" w:w="1440"/>
            <w:tcMar>
              <w:top w:w="70" w:type="dxa"/>
              <w:bottom w:w="70" w:type="dxa"/>
              <w:left w:w="100" w:type="dxa"/>
              <w:right w:w="100" w:type="dxa"/>
            </w:tcMar>
          </w:tcPr>
          <w:p>
            <w:pPr>
              <w:spacing w:before="20" w:after="20" w:line="276" w:lineRule="auto"/>
            </w:pPr>
            <w:r>
              <w:rPr>
                <w:sz w:val="19"/>
              </w:rPr>
              <w:t>AT-01</w:t>
            </w:r>
          </w:p>
        </w:tc>
        <w:tc>
          <w:tcPr>
            <w:tcW w:type="dxa" w:w="4032"/>
            <w:tcMar>
              <w:top w:w="70" w:type="dxa"/>
              <w:bottom w:w="70" w:type="dxa"/>
              <w:left w:w="100" w:type="dxa"/>
              <w:right w:w="100" w:type="dxa"/>
            </w:tcMar>
          </w:tcPr>
          <w:p>
            <w:pPr>
              <w:spacing w:before="20" w:after="20" w:line="276" w:lineRule="auto"/>
            </w:pPr>
            <w:r>
              <w:rPr>
                <w:sz w:val="19"/>
              </w:rPr>
              <w:t>Fetch global dashboard metrics.</w:t>
            </w:r>
          </w:p>
        </w:tc>
        <w:tc>
          <w:tcPr>
            <w:tcW w:type="dxa" w:w="3888"/>
            <w:tcMar>
              <w:top w:w="70" w:type="dxa"/>
              <w:bottom w:w="70" w:type="dxa"/>
              <w:left w:w="100" w:type="dxa"/>
              <w:right w:w="100" w:type="dxa"/>
            </w:tcMar>
          </w:tcPr>
          <w:p>
            <w:pPr>
              <w:spacing w:before="20" w:after="20" w:line="276" w:lineRule="auto"/>
            </w:pPr>
            <w:r>
              <w:rPr>
                <w:sz w:val="19"/>
              </w:rPr>
              <w:t>200 OK with populated KPI counts.</w:t>
            </w:r>
          </w:p>
        </w:tc>
      </w:tr>
      <w:tr>
        <w:tc>
          <w:tcPr>
            <w:tcW w:type="dxa" w:w="1440"/>
            <w:tcMar>
              <w:top w:w="70" w:type="dxa"/>
              <w:bottom w:w="70" w:type="dxa"/>
              <w:left w:w="100" w:type="dxa"/>
              <w:right w:w="100" w:type="dxa"/>
            </w:tcMar>
          </w:tcPr>
          <w:p>
            <w:pPr>
              <w:spacing w:before="20" w:after="20" w:line="276" w:lineRule="auto"/>
            </w:pPr>
            <w:r>
              <w:rPr>
                <w:sz w:val="19"/>
              </w:rPr>
              <w:t>AT-02</w:t>
            </w:r>
          </w:p>
        </w:tc>
        <w:tc>
          <w:tcPr>
            <w:tcW w:type="dxa" w:w="4032"/>
            <w:tcMar>
              <w:top w:w="70" w:type="dxa"/>
              <w:bottom w:w="70" w:type="dxa"/>
              <w:left w:w="100" w:type="dxa"/>
              <w:right w:w="100" w:type="dxa"/>
            </w:tcMar>
          </w:tcPr>
          <w:p>
            <w:pPr>
              <w:spacing w:before="20" w:after="20" w:line="276" w:lineRule="auto"/>
            </w:pPr>
            <w:r>
              <w:rPr>
                <w:sz w:val="19"/>
              </w:rPr>
              <w:t>Compute average risk score.</w:t>
            </w:r>
          </w:p>
        </w:tc>
        <w:tc>
          <w:tcPr>
            <w:tcW w:type="dxa" w:w="3888"/>
            <w:tcMar>
              <w:top w:w="70" w:type="dxa"/>
              <w:bottom w:w="70" w:type="dxa"/>
              <w:left w:w="100" w:type="dxa"/>
              <w:right w:w="100" w:type="dxa"/>
            </w:tcMar>
          </w:tcPr>
          <w:p>
            <w:pPr>
              <w:spacing w:before="20" w:after="20" w:line="276" w:lineRule="auto"/>
            </w:pPr>
            <w:r>
              <w:rPr>
                <w:sz w:val="19"/>
              </w:rPr>
              <w:t>Correct mathematical average without zero-division.</w:t>
            </w:r>
          </w:p>
        </w:tc>
      </w:tr>
      <w:tr>
        <w:tc>
          <w:tcPr>
            <w:tcW w:type="dxa" w:w="1440"/>
            <w:tcMar>
              <w:top w:w="70" w:type="dxa"/>
              <w:bottom w:w="70" w:type="dxa"/>
              <w:left w:w="100" w:type="dxa"/>
              <w:right w:w="100" w:type="dxa"/>
            </w:tcMar>
          </w:tcPr>
          <w:p>
            <w:pPr>
              <w:spacing w:before="20" w:after="20" w:line="276" w:lineRule="auto"/>
            </w:pPr>
            <w:r>
              <w:rPr>
                <w:sz w:val="19"/>
              </w:rPr>
              <w:t>AT-03</w:t>
            </w:r>
          </w:p>
        </w:tc>
        <w:tc>
          <w:tcPr>
            <w:tcW w:type="dxa" w:w="4032"/>
            <w:tcMar>
              <w:top w:w="70" w:type="dxa"/>
              <w:bottom w:w="70" w:type="dxa"/>
              <w:left w:w="100" w:type="dxa"/>
              <w:right w:w="100" w:type="dxa"/>
            </w:tcMar>
          </w:tcPr>
          <w:p>
            <w:pPr>
              <w:spacing w:before="20" w:after="20" w:line="276" w:lineRule="auto"/>
            </w:pPr>
            <w:r>
              <w:rPr>
                <w:sz w:val="19"/>
              </w:rPr>
              <w:t>Compile audit report for document.</w:t>
            </w:r>
          </w:p>
        </w:tc>
        <w:tc>
          <w:tcPr>
            <w:tcW w:type="dxa" w:w="3888"/>
            <w:tcMar>
              <w:top w:w="70" w:type="dxa"/>
              <w:bottom w:w="70" w:type="dxa"/>
              <w:left w:w="100" w:type="dxa"/>
              <w:right w:w="100" w:type="dxa"/>
            </w:tcMar>
          </w:tcPr>
          <w:p>
            <w:pPr>
              <w:spacing w:before="20" w:after="20" w:line="276" w:lineRule="auto"/>
            </w:pPr>
            <w:r>
              <w:rPr>
                <w:sz w:val="19"/>
              </w:rPr>
              <w:t>Report entity created and saved to MongoDB.</w:t>
            </w:r>
          </w:p>
        </w:tc>
      </w:tr>
      <w:tr>
        <w:tc>
          <w:tcPr>
            <w:tcW w:type="dxa" w:w="1440"/>
            <w:tcMar>
              <w:top w:w="70" w:type="dxa"/>
              <w:bottom w:w="70" w:type="dxa"/>
              <w:left w:w="100" w:type="dxa"/>
              <w:right w:w="100" w:type="dxa"/>
            </w:tcMar>
          </w:tcPr>
          <w:p>
            <w:pPr>
              <w:spacing w:before="20" w:after="20" w:line="276" w:lineRule="auto"/>
            </w:pPr>
            <w:r>
              <w:rPr>
                <w:sz w:val="19"/>
              </w:rPr>
              <w:t>AT-04</w:t>
            </w:r>
          </w:p>
        </w:tc>
        <w:tc>
          <w:tcPr>
            <w:tcW w:type="dxa" w:w="4032"/>
            <w:tcMar>
              <w:top w:w="70" w:type="dxa"/>
              <w:bottom w:w="70" w:type="dxa"/>
              <w:left w:w="100" w:type="dxa"/>
              <w:right w:w="100" w:type="dxa"/>
            </w:tcMar>
          </w:tcPr>
          <w:p>
            <w:pPr>
              <w:spacing w:before="20" w:after="20" w:line="276" w:lineRule="auto"/>
            </w:pPr>
            <w:r>
              <w:rPr>
                <w:sz w:val="19"/>
              </w:rPr>
              <w:t>Stream PDF binary report.</w:t>
            </w:r>
          </w:p>
        </w:tc>
        <w:tc>
          <w:tcPr>
            <w:tcW w:type="dxa" w:w="3888"/>
            <w:tcMar>
              <w:top w:w="70" w:type="dxa"/>
              <w:bottom w:w="70" w:type="dxa"/>
              <w:left w:w="100" w:type="dxa"/>
              <w:right w:w="100" w:type="dxa"/>
            </w:tcMar>
          </w:tcPr>
          <w:p>
            <w:pPr>
              <w:spacing w:before="20" w:after="20" w:line="276" w:lineRule="auto"/>
            </w:pPr>
            <w:r>
              <w:rPr>
                <w:sz w:val="19"/>
              </w:rPr>
              <w:t>Valid application/pdf bytes matching PDFBox schema.</w:t>
            </w:r>
          </w:p>
        </w:tc>
      </w:tr>
      <w:tr>
        <w:tc>
          <w:tcPr>
            <w:tcW w:type="dxa" w:w="1440"/>
            <w:tcMar>
              <w:top w:w="70" w:type="dxa"/>
              <w:bottom w:w="70" w:type="dxa"/>
              <w:left w:w="100" w:type="dxa"/>
              <w:right w:w="100" w:type="dxa"/>
            </w:tcMar>
          </w:tcPr>
          <w:p>
            <w:pPr>
              <w:spacing w:before="20" w:after="20" w:line="276" w:lineRule="auto"/>
            </w:pPr>
            <w:r>
              <w:rPr>
                <w:sz w:val="19"/>
              </w:rPr>
              <w:t>AT-05</w:t>
            </w:r>
          </w:p>
        </w:tc>
        <w:tc>
          <w:tcPr>
            <w:tcW w:type="dxa" w:w="4032"/>
            <w:tcMar>
              <w:top w:w="70" w:type="dxa"/>
              <w:bottom w:w="70" w:type="dxa"/>
              <w:left w:w="100" w:type="dxa"/>
              <w:right w:w="100" w:type="dxa"/>
            </w:tcMar>
          </w:tcPr>
          <w:p>
            <w:pPr>
              <w:spacing w:before="20" w:after="20" w:line="276" w:lineRule="auto"/>
            </w:pPr>
            <w:r>
              <w:rPr>
                <w:sz w:val="19"/>
              </w:rPr>
              <w:t>Empty database state.</w:t>
            </w:r>
          </w:p>
        </w:tc>
        <w:tc>
          <w:tcPr>
            <w:tcW w:type="dxa" w:w="3888"/>
            <w:tcMar>
              <w:top w:w="70" w:type="dxa"/>
              <w:bottom w:w="70" w:type="dxa"/>
              <w:left w:w="100" w:type="dxa"/>
              <w:right w:w="100" w:type="dxa"/>
            </w:tcMar>
          </w:tcPr>
          <w:p>
            <w:pPr>
              <w:spacing w:before="20" w:after="20" w:line="276" w:lineRule="auto"/>
            </w:pPr>
            <w:r>
              <w:rPr>
                <w:sz w:val="19"/>
              </w:rPr>
              <w:t>Returns zeroed metrics without throwing exceptions.</w:t>
            </w:r>
          </w:p>
        </w:tc>
      </w:tr>
      <w:tr>
        <w:tc>
          <w:tcPr>
            <w:tcW w:type="dxa" w:w="1440"/>
            <w:tcMar>
              <w:top w:w="70" w:type="dxa"/>
              <w:bottom w:w="70" w:type="dxa"/>
              <w:left w:w="100" w:type="dxa"/>
              <w:right w:w="100" w:type="dxa"/>
            </w:tcMar>
          </w:tcPr>
          <w:p>
            <w:pPr>
              <w:spacing w:before="20" w:after="20" w:line="276" w:lineRule="auto"/>
            </w:pPr>
            <w:r>
              <w:rPr>
                <w:sz w:val="19"/>
              </w:rPr>
              <w:t>AT-06</w:t>
            </w:r>
          </w:p>
        </w:tc>
        <w:tc>
          <w:tcPr>
            <w:tcW w:type="dxa" w:w="4032"/>
            <w:tcMar>
              <w:top w:w="70" w:type="dxa"/>
              <w:bottom w:w="70" w:type="dxa"/>
              <w:left w:w="100" w:type="dxa"/>
              <w:right w:w="100" w:type="dxa"/>
            </w:tcMar>
          </w:tcPr>
          <w:p>
            <w:pPr>
              <w:spacing w:before="20" w:after="20" w:line="276" w:lineRule="auto"/>
            </w:pPr>
            <w:r>
              <w:rPr>
                <w:sz w:val="19"/>
              </w:rPr>
              <w:t>Non-existent document ID.</w:t>
            </w:r>
          </w:p>
        </w:tc>
        <w:tc>
          <w:tcPr>
            <w:tcW w:type="dxa" w:w="3888"/>
            <w:tcMar>
              <w:top w:w="70" w:type="dxa"/>
              <w:bottom w:w="70" w:type="dxa"/>
              <w:left w:w="100" w:type="dxa"/>
              <w:right w:w="100" w:type="dxa"/>
            </w:tcMar>
          </w:tcPr>
          <w:p>
            <w:pPr>
              <w:spacing w:before="20" w:after="20" w:line="276" w:lineRule="auto"/>
            </w:pPr>
            <w:r>
              <w:rPr>
                <w:sz w:val="19"/>
              </w:rPr>
              <w:t>Throws DocumentNotFoundException (404 status).</w:t>
            </w:r>
          </w:p>
        </w:tc>
      </w:tr>
      <w:tr>
        <w:tc>
          <w:tcPr>
            <w:tcW w:type="dxa" w:w="1440"/>
            <w:tcMar>
              <w:top w:w="70" w:type="dxa"/>
              <w:bottom w:w="70" w:type="dxa"/>
              <w:left w:w="100" w:type="dxa"/>
              <w:right w:w="100" w:type="dxa"/>
            </w:tcMar>
          </w:tcPr>
          <w:p>
            <w:pPr>
              <w:spacing w:before="20" w:after="20" w:line="276" w:lineRule="auto"/>
            </w:pPr>
            <w:r>
              <w:rPr>
                <w:sz w:val="19"/>
              </w:rPr>
              <w:t>AT-07</w:t>
            </w:r>
          </w:p>
        </w:tc>
        <w:tc>
          <w:tcPr>
            <w:tcW w:type="dxa" w:w="4032"/>
            <w:tcMar>
              <w:top w:w="70" w:type="dxa"/>
              <w:bottom w:w="70" w:type="dxa"/>
              <w:left w:w="100" w:type="dxa"/>
              <w:right w:w="100" w:type="dxa"/>
            </w:tcMar>
          </w:tcPr>
          <w:p>
            <w:pPr>
              <w:spacing w:before="20" w:after="20" w:line="276" w:lineRule="auto"/>
            </w:pPr>
            <w:r>
              <w:rPr>
                <w:sz w:val="19"/>
              </w:rPr>
              <w:t>Special characters in contract title.</w:t>
            </w:r>
          </w:p>
        </w:tc>
        <w:tc>
          <w:tcPr>
            <w:tcW w:type="dxa" w:w="3888"/>
            <w:tcMar>
              <w:top w:w="70" w:type="dxa"/>
              <w:bottom w:w="70" w:type="dxa"/>
              <w:left w:w="100" w:type="dxa"/>
              <w:right w:w="100" w:type="dxa"/>
            </w:tcMar>
          </w:tcPr>
          <w:p>
            <w:pPr>
              <w:spacing w:before="20" w:after="20" w:line="276" w:lineRule="auto"/>
            </w:pPr>
            <w:r>
              <w:rPr>
                <w:sz w:val="19"/>
              </w:rPr>
              <w:t>Sanitized cleanly without PDFBox font crash.</w:t>
            </w:r>
          </w:p>
        </w:tc>
      </w:tr>
      <w:tr>
        <w:tc>
          <w:tcPr>
            <w:tcW w:type="dxa" w:w="1440"/>
            <w:tcMar>
              <w:top w:w="70" w:type="dxa"/>
              <w:bottom w:w="70" w:type="dxa"/>
              <w:left w:w="100" w:type="dxa"/>
              <w:right w:w="100" w:type="dxa"/>
            </w:tcMar>
          </w:tcPr>
          <w:p>
            <w:pPr>
              <w:spacing w:before="20" w:after="20" w:line="276" w:lineRule="auto"/>
            </w:pPr>
            <w:r>
              <w:rPr>
                <w:sz w:val="19"/>
              </w:rPr>
              <w:t>AT-08</w:t>
            </w:r>
          </w:p>
        </w:tc>
        <w:tc>
          <w:tcPr>
            <w:tcW w:type="dxa" w:w="4032"/>
            <w:tcMar>
              <w:top w:w="70" w:type="dxa"/>
              <w:bottom w:w="70" w:type="dxa"/>
              <w:left w:w="100" w:type="dxa"/>
              <w:right w:w="100" w:type="dxa"/>
            </w:tcMar>
          </w:tcPr>
          <w:p>
            <w:pPr>
              <w:spacing w:before="20" w:after="20" w:line="276" w:lineRule="auto"/>
            </w:pPr>
            <w:r>
              <w:rPr>
                <w:sz w:val="19"/>
              </w:rPr>
              <w:t>Cross-module handoff via coordinator.</w:t>
            </w:r>
          </w:p>
        </w:tc>
        <w:tc>
          <w:tcPr>
            <w:tcW w:type="dxa" w:w="3888"/>
            <w:tcMar>
              <w:top w:w="70" w:type="dxa"/>
              <w:bottom w:w="70" w:type="dxa"/>
              <w:left w:w="100" w:type="dxa"/>
              <w:right w:w="100" w:type="dxa"/>
            </w:tcMar>
          </w:tcPr>
          <w:p>
            <w:pPr>
              <w:spacing w:before="20" w:after="20" w:line="276" w:lineRule="auto"/>
            </w:pPr>
            <w:r>
              <w:rPr>
                <w:sz w:val="19"/>
              </w:rPr>
              <w:t>Document verified, report compiled, metrics updated.</w:t>
            </w:r>
          </w:p>
        </w:tc>
      </w:tr>
    </w:tbl>
    <w:p>
      <w:pPr>
        <w:spacing w:before="0" w:after="80"/>
      </w:pPr>
    </w:p>
    <w:p>
      <w:r>
        <w:br w:type="page"/>
      </w:r>
    </w:p>
    <w:p>
      <w:pPr>
        <w:keepNext/>
        <w:spacing w:before="280" w:after="160"/>
      </w:pPr>
      <w:r>
        <w:rPr>
          <w:b/>
          <w:sz w:val="24"/>
        </w:rPr>
        <w:t>CHAPTER 14. CONCLUSION AND REFERENCES</w:t>
      </w:r>
    </w:p>
    <w:p>
      <w:pPr>
        <w:spacing w:line="288" w:lineRule="auto" w:after="120"/>
        <w:jc w:val="both"/>
      </w:pPr>
      <w:r>
        <w:rPr>
          <w:sz w:val="22"/>
        </w:rPr>
        <w:t>The Reports, Analytics &amp; System Integration Module is the intelligence-synthesizing part of the Legal Document Analyser &amp; Advisor application. Its value depends on presenting accurate, authorized metrics; compiling structured audit reports; streaming professional PDF exports; and coordinating multi-module data flows. The team's recorded stack uses a Spring Boot backend, MongoDB persistence, Apache PDFBox 2.0.30, and Groq API integration.</w:t>
      </w:r>
    </w:p>
    <w:p>
      <w:pPr>
        <w:spacing w:line="288" w:lineRule="auto" w:after="120"/>
        <w:jc w:val="both"/>
      </w:pPr>
      <w:r>
        <w:rPr>
          <w:sz w:val="22"/>
        </w:rPr>
        <w:t>The research reviewed here supports cautious use of analytics, transparent AI assistance, role-aware access, and sound data design. It does not establish that automated systems replace qualified attorneys. The final submission includes verifiable source code, a complete 14-week commit trajectory, and reproducible unit test outcomes.</w:t>
      </w:r>
    </w:p>
    <w:p>
      <w:pPr>
        <w:keepNext/>
        <w:spacing w:before="200" w:after="80"/>
      </w:pPr>
      <w:r>
        <w:rPr>
          <w:b/>
          <w:sz w:val="23"/>
        </w:rPr>
        <w:t>References (10 sources with Google Scholar search links)</w:t>
      </w:r>
    </w:p>
    <w:p>
      <w:pPr>
        <w:spacing w:line="276" w:lineRule="auto" w:before="40" w:after="80"/>
      </w:pPr>
      <w:r>
        <w:rPr>
          <w:sz w:val="20"/>
        </w:rPr>
        <w:t xml:space="preserve">[1] Ifenthaler, D., &amp; Yau, J. Y.-K. (2020). Utilising learning analytics to support study success in higher education: A systematic review. Educational Technology Research and Development, 68, 1961–1990. </w:t>
      </w:r>
      <w:r>
        <w:rPr>
          <w:color w:val="1D4ED8"/>
          <w:sz w:val="20"/>
          <w:u w:val="single"/>
        </w:rPr>
        <w:t>Article/source: Open | Google Scholar: Search paper</w:t>
      </w:r>
    </w:p>
    <w:p>
      <w:pPr>
        <w:spacing w:line="276" w:lineRule="auto" w:before="40" w:after="80"/>
      </w:pPr>
      <w:r>
        <w:rPr>
          <w:sz w:val="20"/>
        </w:rPr>
        <w:t xml:space="preserve">[2] Alyahyan, E., &amp; Düştegör, D. (2020). Predicting academic success in higher education: Literature review and best practices. International Journal of Educational Technology in Higher Education, 17, 3. </w:t>
      </w:r>
      <w:r>
        <w:rPr>
          <w:color w:val="1D4ED8"/>
          <w:sz w:val="20"/>
          <w:u w:val="single"/>
        </w:rPr>
        <w:t>Article/source: Open | Google Scholar: Search paper</w:t>
      </w:r>
    </w:p>
    <w:p>
      <w:pPr>
        <w:spacing w:line="276" w:lineRule="auto" w:before="40" w:after="80"/>
      </w:pPr>
      <w:r>
        <w:rPr>
          <w:sz w:val="20"/>
        </w:rPr>
        <w:t xml:space="preserve">[3] Siemens, G., &amp; Long, P. (2011). Penetrating the fog: Analytics in learning and education. EDUCAUSE Review, 46(5), 30–40. </w:t>
      </w:r>
      <w:r>
        <w:rPr>
          <w:color w:val="1D4ED8"/>
          <w:sz w:val="20"/>
          <w:u w:val="single"/>
        </w:rPr>
        <w:t>Article/source: Open | Google Scholar: Search paper</w:t>
      </w:r>
    </w:p>
    <w:p>
      <w:pPr>
        <w:spacing w:line="276" w:lineRule="auto" w:before="40" w:after="80"/>
      </w:pPr>
      <w:r>
        <w:rPr>
          <w:sz w:val="20"/>
        </w:rPr>
        <w:t xml:space="preserve">[4] Zawacki-Richter, O., Marín, V. I., Bond, M., &amp; Gouverneur, F. (2019). Systematic review of research on artificial intelligence applications in higher education—Where are the educators? International Journal of Educational Technology in Higher Education, 16, 39. </w:t>
      </w:r>
      <w:r>
        <w:rPr>
          <w:color w:val="1D4ED8"/>
          <w:sz w:val="20"/>
          <w:u w:val="single"/>
        </w:rPr>
        <w:t>Article/source: Open | Google Scholar: Search paper</w:t>
      </w:r>
    </w:p>
    <w:p>
      <w:pPr>
        <w:spacing w:line="276" w:lineRule="auto" w:before="40" w:after="80"/>
      </w:pPr>
      <w:r>
        <w:rPr>
          <w:sz w:val="20"/>
        </w:rPr>
        <w:t xml:space="preserve">[5] Pardo, A., &amp; Siemens, G. (2014). Ethical and privacy principles for learning analytics. British Journal of Educational Technology, 438–450. </w:t>
      </w:r>
      <w:r>
        <w:rPr>
          <w:color w:val="1D4ED8"/>
          <w:sz w:val="20"/>
          <w:u w:val="single"/>
        </w:rPr>
        <w:t>Article/source: Open | Google Scholar: Search paper</w:t>
      </w:r>
    </w:p>
    <w:p>
      <w:pPr>
        <w:spacing w:line="276" w:lineRule="auto" w:before="40" w:after="80"/>
      </w:pPr>
      <w:r>
        <w:rPr>
          <w:sz w:val="20"/>
        </w:rPr>
        <w:t xml:space="preserve">[6] Slade, S., &amp; Prinsloo, P. (2013). Learning analytics: Ethical issues and dilemmas. American Behavioral Scientist, 57(10), 1510–1529. </w:t>
      </w:r>
      <w:r>
        <w:rPr>
          <w:color w:val="1D4ED8"/>
          <w:sz w:val="20"/>
          <w:u w:val="single"/>
        </w:rPr>
        <w:t>Article/source: Open | Google Scholar: Search paper</w:t>
      </w:r>
    </w:p>
    <w:p>
      <w:pPr>
        <w:spacing w:line="276" w:lineRule="auto" w:before="40" w:after="80"/>
      </w:pPr>
      <w:r>
        <w:rPr>
          <w:sz w:val="20"/>
        </w:rPr>
        <w:t xml:space="preserve">[7] Sandhu, R. S., Coyne, E. J., Feinstein, H. L., &amp; Youman, C. E. (1996). Role-based access control models. IEEE Computer, 29(2), 38–47. </w:t>
      </w:r>
      <w:r>
        <w:rPr>
          <w:color w:val="1D4ED8"/>
          <w:sz w:val="20"/>
          <w:u w:val="single"/>
        </w:rPr>
        <w:t>Article/source: Open | Google Scholar: Search paper</w:t>
      </w:r>
    </w:p>
    <w:p>
      <w:pPr>
        <w:spacing w:line="276" w:lineRule="auto" w:before="40" w:after="80"/>
      </w:pPr>
      <w:r>
        <w:rPr>
          <w:sz w:val="20"/>
        </w:rPr>
        <w:t xml:space="preserve">[8] Codd, E. F. (1970). A relational model of data for large shared data banks. Communications of the ACM, 13(6), 377–387. </w:t>
      </w:r>
      <w:r>
        <w:rPr>
          <w:color w:val="1D4ED8"/>
          <w:sz w:val="20"/>
          <w:u w:val="single"/>
        </w:rPr>
        <w:t>Article/source: Open | Google Scholar: Search paper</w:t>
      </w:r>
    </w:p>
    <w:p>
      <w:pPr>
        <w:spacing w:line="276" w:lineRule="auto" w:before="40" w:after="80"/>
      </w:pPr>
      <w:r>
        <w:rPr>
          <w:sz w:val="20"/>
        </w:rPr>
        <w:t xml:space="preserve">[9] Abu Saa, A., Al-Emran, M., &amp; Shaalan, K. (2019). Factors affecting students’ performance in higher education: A systematic review of predictive data mining techniques. Technology, Knowledge and Learning, 24, 567–598. </w:t>
      </w:r>
      <w:r>
        <w:rPr>
          <w:color w:val="1D4ED8"/>
          <w:sz w:val="20"/>
          <w:u w:val="single"/>
        </w:rPr>
        <w:t>Article/source: Open | Google Scholar: Search paper</w:t>
      </w:r>
    </w:p>
    <w:p>
      <w:pPr>
        <w:spacing w:line="276" w:lineRule="auto" w:before="40" w:after="80"/>
      </w:pPr>
      <w:r>
        <w:rPr>
          <w:sz w:val="20"/>
        </w:rPr>
        <w:t xml:space="preserve">[10] Sommerville, I. (2016). Software Engineering (10th ed.). Pearson. </w:t>
      </w:r>
      <w:r>
        <w:rPr>
          <w:color w:val="1D4ED8"/>
          <w:sz w:val="20"/>
          <w:u w:val="single"/>
        </w:rPr>
        <w:t>Article/source: Open | Google Scholar: Search paper</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