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783E1">
      <w:pPr>
        <w:jc w:val="both"/>
      </w:pPr>
      <w:bookmarkStart w:id="0" w:name="_GoBack"/>
      <w:r>
        <w:drawing>
          <wp:inline distT="0" distB="0" distL="114300" distR="114300">
            <wp:extent cx="5715000" cy="84391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15000" cy="844485"/>
                    </a:xfrm>
                    <a:prstGeom prst="rect">
                      <a:avLst/>
                    </a:prstGeom>
                  </pic:spPr>
                </pic:pic>
              </a:graphicData>
            </a:graphic>
          </wp:inline>
        </w:drawing>
      </w:r>
      <w:bookmarkEnd w:id="0"/>
    </w:p>
    <w:p w14:paraId="0A7D83B0"/>
    <w:p w14:paraId="722DF01B"/>
    <w:p w14:paraId="3383A38B">
      <w:pPr>
        <w:jc w:val="center"/>
      </w:pPr>
      <w:r>
        <w:rPr>
          <w:rFonts w:ascii="Calibri" w:hAnsi="Calibri"/>
          <w:b/>
          <w:i w:val="0"/>
          <w:sz w:val="26"/>
        </w:rPr>
        <w:t>Prepared By</w:t>
      </w:r>
    </w:p>
    <w:p w14:paraId="4E28A770">
      <w:pPr>
        <w:jc w:val="center"/>
      </w:pPr>
      <w:r>
        <w:rPr>
          <w:rFonts w:ascii="Calibri" w:hAnsi="Calibri"/>
          <w:b/>
          <w:i w:val="0"/>
          <w:color w:val="1B3A6B"/>
          <w:sz w:val="32"/>
        </w:rPr>
        <w:t>Dilip Kumawat</w:t>
      </w:r>
    </w:p>
    <w:p w14:paraId="082EF666">
      <w:pPr>
        <w:jc w:val="center"/>
      </w:pPr>
      <w:r>
        <w:rPr>
          <w:rFonts w:ascii="Calibri" w:hAnsi="Calibri"/>
          <w:b w:val="0"/>
          <w:i w:val="0"/>
          <w:color w:val="555555"/>
          <w:sz w:val="22"/>
        </w:rPr>
        <w:t>dilipkumawat785188@gmail.com</w:t>
      </w:r>
    </w:p>
    <w:p w14:paraId="28D028B6"/>
    <w:p w14:paraId="57B5FE3E"/>
    <w:p w14:paraId="5AA94C54">
      <w:pPr>
        <w:jc w:val="center"/>
      </w:pPr>
      <w:r>
        <w:rPr>
          <w:rFonts w:ascii="Calibri" w:hAnsi="Calibri"/>
          <w:b w:val="0"/>
          <w:i w:val="0"/>
          <w:color w:val="555555"/>
          <w:sz w:val="24"/>
        </w:rPr>
        <w:t>Advanced Java Project-Based Learning (PBL) — 5th Semester</w:t>
      </w:r>
    </w:p>
    <w:p w14:paraId="60165C4C">
      <w:pPr>
        <w:jc w:val="center"/>
      </w:pPr>
      <w:r>
        <w:rPr>
          <w:rFonts w:ascii="Calibri" w:hAnsi="Calibri"/>
          <w:b w:val="0"/>
          <w:i w:val="0"/>
          <w:color w:val="555555"/>
          <w:sz w:val="24"/>
        </w:rPr>
        <w:t>October 2026</w:t>
      </w:r>
    </w:p>
    <w:p w14:paraId="5AC351EA">
      <w:r>
        <w:br w:type="page"/>
      </w:r>
    </w:p>
    <w:p w14:paraId="38FD32AA">
      <w:pPr>
        <w:pStyle w:val="2"/>
      </w:pPr>
      <w:r>
        <w:t>Table of Contents</w:t>
      </w:r>
    </w:p>
    <w:p w14:paraId="5D7DC20A">
      <w:pPr>
        <w:spacing w:after="40"/>
      </w:pPr>
      <w:r>
        <w:rPr>
          <w:rFonts w:ascii="Calibri" w:hAnsi="Calibri"/>
          <w:sz w:val="22"/>
        </w:rPr>
        <w:t>1. Introduction</w:t>
      </w:r>
    </w:p>
    <w:p w14:paraId="5DD92E02">
      <w:pPr>
        <w:spacing w:after="40"/>
      </w:pPr>
      <w:r>
        <w:rPr>
          <w:rFonts w:ascii="Calibri" w:hAnsi="Calibri"/>
          <w:sz w:val="22"/>
        </w:rPr>
        <w:t xml:space="preserve">    1.1 Project Overview</w:t>
      </w:r>
    </w:p>
    <w:p w14:paraId="7CCE99BF">
      <w:pPr>
        <w:spacing w:after="40"/>
      </w:pPr>
      <w:r>
        <w:rPr>
          <w:rFonts w:ascii="Calibri" w:hAnsi="Calibri"/>
          <w:sz w:val="22"/>
        </w:rPr>
        <w:t xml:space="preserve">    1.2 Module Overview</w:t>
      </w:r>
    </w:p>
    <w:p w14:paraId="4B9DDC8E">
      <w:pPr>
        <w:spacing w:after="40"/>
      </w:pPr>
      <w:r>
        <w:rPr>
          <w:rFonts w:ascii="Calibri" w:hAnsi="Calibri"/>
          <w:sz w:val="22"/>
        </w:rPr>
        <w:t xml:space="preserve">    1.3 Technology Stack Used</w:t>
      </w:r>
    </w:p>
    <w:p w14:paraId="7E4188E0">
      <w:pPr>
        <w:spacing w:after="40"/>
      </w:pPr>
      <w:r>
        <w:rPr>
          <w:rFonts w:ascii="Calibri" w:hAnsi="Calibri"/>
          <w:sz w:val="22"/>
        </w:rPr>
        <w:t>2. Module Responsibilities &amp; Functional Requirements Mapping</w:t>
      </w:r>
    </w:p>
    <w:p w14:paraId="28898A81">
      <w:pPr>
        <w:spacing w:after="40"/>
      </w:pPr>
      <w:r>
        <w:rPr>
          <w:rFonts w:ascii="Calibri" w:hAnsi="Calibri"/>
          <w:sz w:val="22"/>
        </w:rPr>
        <w:t>3. Architecture &amp; Design</w:t>
      </w:r>
    </w:p>
    <w:p w14:paraId="2F3D7008">
      <w:pPr>
        <w:spacing w:after="40"/>
      </w:pPr>
      <w:r>
        <w:rPr>
          <w:rFonts w:ascii="Calibri" w:hAnsi="Calibri"/>
          <w:sz w:val="22"/>
        </w:rPr>
        <w:t xml:space="preserve">    3.1 Pipeline Flow</w:t>
      </w:r>
    </w:p>
    <w:p w14:paraId="620A5975">
      <w:pPr>
        <w:spacing w:after="40"/>
      </w:pPr>
      <w:r>
        <w:rPr>
          <w:rFonts w:ascii="Calibri" w:hAnsi="Calibri"/>
          <w:sz w:val="22"/>
        </w:rPr>
        <w:t xml:space="preserve">    3.2 Layered Architecture</w:t>
      </w:r>
    </w:p>
    <w:p w14:paraId="77230D3C">
      <w:pPr>
        <w:spacing w:after="40"/>
      </w:pPr>
      <w:r>
        <w:rPr>
          <w:rFonts w:ascii="Calibri" w:hAnsi="Calibri"/>
          <w:sz w:val="22"/>
        </w:rPr>
        <w:t>4. Detailed Implementation</w:t>
      </w:r>
    </w:p>
    <w:p w14:paraId="53F695F4">
      <w:pPr>
        <w:spacing w:after="40"/>
      </w:pPr>
      <w:r>
        <w:rPr>
          <w:rFonts w:ascii="Calibri" w:hAnsi="Calibri"/>
          <w:sz w:val="22"/>
        </w:rPr>
        <w:t xml:space="preserve">    4.1 Model Layer — Entity Design</w:t>
      </w:r>
    </w:p>
    <w:p w14:paraId="320C0932">
      <w:pPr>
        <w:spacing w:after="40"/>
      </w:pPr>
      <w:r>
        <w:rPr>
          <w:rFonts w:ascii="Calibri" w:hAnsi="Calibri"/>
          <w:sz w:val="22"/>
        </w:rPr>
        <w:t xml:space="preserve">    4.2 Enum Definitions</w:t>
      </w:r>
    </w:p>
    <w:p w14:paraId="6ECB5E9D">
      <w:pPr>
        <w:spacing w:after="40"/>
      </w:pPr>
      <w:r>
        <w:rPr>
          <w:rFonts w:ascii="Calibri" w:hAnsi="Calibri"/>
          <w:sz w:val="22"/>
        </w:rPr>
        <w:t xml:space="preserve">    4.3 Service Layer — Business Logic</w:t>
      </w:r>
    </w:p>
    <w:p w14:paraId="3FC75D4E">
      <w:pPr>
        <w:spacing w:after="40"/>
      </w:pPr>
      <w:r>
        <w:rPr>
          <w:rFonts w:ascii="Calibri" w:hAnsi="Calibri"/>
          <w:sz w:val="22"/>
        </w:rPr>
        <w:t xml:space="preserve">    4.4 Repository Layer — Data Access</w:t>
      </w:r>
    </w:p>
    <w:p w14:paraId="3F1C6A3D">
      <w:pPr>
        <w:spacing w:after="40"/>
      </w:pPr>
      <w:r>
        <w:rPr>
          <w:rFonts w:ascii="Calibri" w:hAnsi="Calibri"/>
          <w:sz w:val="22"/>
        </w:rPr>
        <w:t xml:space="preserve">    4.5 Controller Layer — REST API Endpoints</w:t>
      </w:r>
    </w:p>
    <w:p w14:paraId="496CD426">
      <w:pPr>
        <w:spacing w:after="40"/>
      </w:pPr>
      <w:r>
        <w:rPr>
          <w:rFonts w:ascii="Calibri" w:hAnsi="Calibri"/>
          <w:sz w:val="22"/>
        </w:rPr>
        <w:t xml:space="preserve">    4.6 DTO Layer — Data Transfer Objects</w:t>
      </w:r>
    </w:p>
    <w:p w14:paraId="3E25578F">
      <w:pPr>
        <w:spacing w:after="40"/>
      </w:pPr>
      <w:r>
        <w:rPr>
          <w:rFonts w:ascii="Calibri" w:hAnsi="Calibri"/>
          <w:sz w:val="22"/>
        </w:rPr>
        <w:t>5. Files Contributed</w:t>
      </w:r>
    </w:p>
    <w:p w14:paraId="3F01712E">
      <w:pPr>
        <w:spacing w:after="40"/>
      </w:pPr>
      <w:r>
        <w:rPr>
          <w:rFonts w:ascii="Calibri" w:hAnsi="Calibri"/>
          <w:sz w:val="22"/>
        </w:rPr>
        <w:t xml:space="preserve">    5.1 Complete File Inventory</w:t>
      </w:r>
    </w:p>
    <w:p w14:paraId="7EFB383A">
      <w:pPr>
        <w:spacing w:after="40"/>
      </w:pPr>
      <w:r>
        <w:rPr>
          <w:rFonts w:ascii="Calibri" w:hAnsi="Calibri"/>
          <w:sz w:val="22"/>
        </w:rPr>
        <w:t xml:space="preserve">    5.2 Git Commit History</w:t>
      </w:r>
    </w:p>
    <w:p w14:paraId="55C4D2DA">
      <w:pPr>
        <w:spacing w:after="40"/>
      </w:pPr>
      <w:r>
        <w:rPr>
          <w:rFonts w:ascii="Calibri" w:hAnsi="Calibri"/>
          <w:sz w:val="22"/>
        </w:rPr>
        <w:t>6. Integration Points with Other Modules</w:t>
      </w:r>
    </w:p>
    <w:p w14:paraId="04F2F98F">
      <w:pPr>
        <w:spacing w:after="40"/>
      </w:pPr>
      <w:r>
        <w:rPr>
          <w:rFonts w:ascii="Calibri" w:hAnsi="Calibri"/>
          <w:sz w:val="22"/>
        </w:rPr>
        <w:t>7. Testing</w:t>
      </w:r>
    </w:p>
    <w:p w14:paraId="054EDECF">
      <w:pPr>
        <w:spacing w:after="40"/>
      </w:pPr>
      <w:r>
        <w:rPr>
          <w:rFonts w:ascii="Calibri" w:hAnsi="Calibri"/>
          <w:sz w:val="22"/>
        </w:rPr>
        <w:t>8. Key Design Decisions &amp; Rationale</w:t>
      </w:r>
    </w:p>
    <w:p w14:paraId="36C8AE8E">
      <w:pPr>
        <w:spacing w:after="40"/>
      </w:pPr>
      <w:r>
        <w:rPr>
          <w:rFonts w:ascii="Calibri" w:hAnsi="Calibri"/>
          <w:sz w:val="22"/>
        </w:rPr>
        <w:t>9. Challenges Faced &amp; Solutions</w:t>
      </w:r>
    </w:p>
    <w:p w14:paraId="142D300E">
      <w:pPr>
        <w:spacing w:after="40"/>
      </w:pPr>
      <w:r>
        <w:rPr>
          <w:rFonts w:ascii="Calibri" w:hAnsi="Calibri"/>
          <w:sz w:val="22"/>
        </w:rPr>
        <w:t>10. Sample API Request &amp; Response</w:t>
      </w:r>
    </w:p>
    <w:p w14:paraId="133F807F">
      <w:pPr>
        <w:spacing w:after="40"/>
      </w:pPr>
      <w:r>
        <w:rPr>
          <w:rFonts w:ascii="Calibri" w:hAnsi="Calibri"/>
          <w:sz w:val="22"/>
        </w:rPr>
        <w:t>11. Future Enhancements</w:t>
      </w:r>
    </w:p>
    <w:p w14:paraId="506E02BA">
      <w:pPr>
        <w:spacing w:after="40"/>
      </w:pPr>
      <w:r>
        <w:rPr>
          <w:rFonts w:ascii="Calibri" w:hAnsi="Calibri"/>
          <w:sz w:val="22"/>
        </w:rPr>
        <w:t>12. Conclusion</w:t>
      </w:r>
    </w:p>
    <w:p w14:paraId="517F695C">
      <w:r>
        <w:br w:type="page"/>
      </w:r>
    </w:p>
    <w:p w14:paraId="3D1532A3">
      <w:pPr>
        <w:pStyle w:val="2"/>
      </w:pPr>
      <w:r>
        <w:t>1. Introduction</w:t>
      </w:r>
    </w:p>
    <w:p w14:paraId="5B964591">
      <w:pPr>
        <w:pStyle w:val="3"/>
      </w:pPr>
      <w:r>
        <w:t>1.1 Project Overview</w:t>
      </w:r>
    </w:p>
    <w:p w14:paraId="46C91C6F">
      <w:r>
        <w:rPr>
          <w:rFonts w:ascii="Calibri" w:hAnsi="Calibri"/>
          <w:b w:val="0"/>
          <w:i w:val="0"/>
          <w:sz w:val="22"/>
        </w:rPr>
        <w:t>The Legal Document Analyser &amp; Advisor is a distributed modular Spring Boot 3 enterprise application that extracts raw textual content from uploaded legal documents (PDF, DOCX, TXT, and scanned images), identifies critical contractual clauses, evaluates legal liabilities using an explainable risk-scoring engine, and enables conversational AI interaction constrained strictly to the document's context.</w:t>
      </w:r>
    </w:p>
    <w:p w14:paraId="529AE3F2">
      <w:pPr>
        <w:pStyle w:val="3"/>
      </w:pPr>
      <w:r>
        <w:t>1.2 Module Overview</w:t>
      </w:r>
    </w:p>
    <w:p w14:paraId="646453AE">
      <w:r>
        <w:rPr>
          <w:rFonts w:ascii="Calibri" w:hAnsi="Calibri"/>
          <w:b w:val="0"/>
          <w:i w:val="0"/>
          <w:sz w:val="22"/>
        </w:rPr>
        <w:t>The Legal Analysis &amp; Risk Detection Engine is the core analytical backbone of the system. It is responsible for receiving extracted text from the Document Processing module, segmenting it into meaningful contractual clauses, classifying the document type, evaluating each clause against a rule-based risk detection engine, computing a composite risk score, and generating actionable risk reports. This module forms the primary intelligence layer that transforms raw document text into structured, quantified legal risk assessments.</w:t>
      </w:r>
    </w:p>
    <w:p w14:paraId="50AF13E7">
      <w:pPr>
        <w:pStyle w:val="3"/>
      </w:pPr>
      <w:r>
        <w:t>1.3 Technology Stack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760"/>
      </w:tblGrid>
      <w:tr w14:paraId="3B29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B3A6B"/>
          </w:tcPr>
          <w:p w14:paraId="0BE4AAC0">
            <w:pPr>
              <w:jc w:val="center"/>
            </w:pPr>
            <w:r>
              <w:rPr>
                <w:rFonts w:ascii="Calibri" w:hAnsi="Calibri"/>
                <w:b/>
                <w:color w:val="FFFFFF"/>
                <w:sz w:val="20"/>
              </w:rPr>
              <w:t>Technology</w:t>
            </w:r>
          </w:p>
        </w:tc>
        <w:tc>
          <w:tcPr>
            <w:tcW w:w="5760" w:type="dxa"/>
            <w:shd w:val="clear" w:color="auto" w:fill="1B3A6B"/>
          </w:tcPr>
          <w:p w14:paraId="63E59DB1">
            <w:pPr>
              <w:jc w:val="center"/>
            </w:pPr>
            <w:r>
              <w:rPr>
                <w:rFonts w:ascii="Calibri" w:hAnsi="Calibri"/>
                <w:b/>
                <w:color w:val="FFFFFF"/>
                <w:sz w:val="20"/>
              </w:rPr>
              <w:t>Version / Details</w:t>
            </w:r>
          </w:p>
        </w:tc>
      </w:tr>
      <w:tr w14:paraId="39DF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0F7"/>
          </w:tcPr>
          <w:p w14:paraId="533A9C7A">
            <w:r>
              <w:rPr>
                <w:rFonts w:ascii="Calibri" w:hAnsi="Calibri"/>
                <w:sz w:val="20"/>
              </w:rPr>
              <w:t>Java</w:t>
            </w:r>
          </w:p>
        </w:tc>
        <w:tc>
          <w:tcPr>
            <w:tcW w:w="5760" w:type="dxa"/>
            <w:shd w:val="clear" w:color="auto" w:fill="EBF0F7"/>
          </w:tcPr>
          <w:p w14:paraId="59A213A7">
            <w:r>
              <w:rPr>
                <w:rFonts w:ascii="Calibri" w:hAnsi="Calibri"/>
                <w:sz w:val="20"/>
              </w:rPr>
              <w:t>21 (LTS)</w:t>
            </w:r>
          </w:p>
        </w:tc>
      </w:tr>
      <w:tr w14:paraId="383D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7BDF3F30">
            <w:r>
              <w:rPr>
                <w:rFonts w:ascii="Calibri" w:hAnsi="Calibri"/>
                <w:sz w:val="20"/>
              </w:rPr>
              <w:t>Spring Boot</w:t>
            </w:r>
          </w:p>
        </w:tc>
        <w:tc>
          <w:tcPr>
            <w:tcW w:w="5760" w:type="dxa"/>
          </w:tcPr>
          <w:p w14:paraId="652E4241">
            <w:r>
              <w:rPr>
                <w:rFonts w:ascii="Calibri" w:hAnsi="Calibri"/>
                <w:sz w:val="20"/>
              </w:rPr>
              <w:t>3.2.4</w:t>
            </w:r>
          </w:p>
        </w:tc>
      </w:tr>
      <w:tr w14:paraId="3D50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0F7"/>
          </w:tcPr>
          <w:p w14:paraId="7E074583">
            <w:r>
              <w:rPr>
                <w:rFonts w:ascii="Calibri" w:hAnsi="Calibri"/>
                <w:sz w:val="20"/>
              </w:rPr>
              <w:t>Spring Security</w:t>
            </w:r>
          </w:p>
        </w:tc>
        <w:tc>
          <w:tcPr>
            <w:tcW w:w="5760" w:type="dxa"/>
            <w:shd w:val="clear" w:color="auto" w:fill="EBF0F7"/>
          </w:tcPr>
          <w:p w14:paraId="568ECA44">
            <w:r>
              <w:rPr>
                <w:rFonts w:ascii="Calibri" w:hAnsi="Calibri"/>
                <w:sz w:val="20"/>
              </w:rPr>
              <w:t>JWT-based Stateless Authentication</w:t>
            </w:r>
          </w:p>
        </w:tc>
      </w:tr>
      <w:tr w14:paraId="76E4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7FFA329C">
            <w:r>
              <w:rPr>
                <w:rFonts w:ascii="Calibri" w:hAnsi="Calibri"/>
                <w:sz w:val="20"/>
              </w:rPr>
              <w:t>Database</w:t>
            </w:r>
          </w:p>
        </w:tc>
        <w:tc>
          <w:tcPr>
            <w:tcW w:w="5760" w:type="dxa"/>
          </w:tcPr>
          <w:p w14:paraId="429A2BC0">
            <w:r>
              <w:rPr>
                <w:rFonts w:ascii="Calibri" w:hAnsi="Calibri"/>
                <w:sz w:val="20"/>
              </w:rPr>
              <w:t>MongoDB 7.x (Spring Data MongoDB)</w:t>
            </w:r>
          </w:p>
        </w:tc>
      </w:tr>
      <w:tr w14:paraId="6767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0F7"/>
          </w:tcPr>
          <w:p w14:paraId="16C09A91">
            <w:r>
              <w:rPr>
                <w:rFonts w:ascii="Calibri" w:hAnsi="Calibri"/>
                <w:sz w:val="20"/>
              </w:rPr>
              <w:t>Build Tool</w:t>
            </w:r>
          </w:p>
        </w:tc>
        <w:tc>
          <w:tcPr>
            <w:tcW w:w="5760" w:type="dxa"/>
            <w:shd w:val="clear" w:color="auto" w:fill="EBF0F7"/>
          </w:tcPr>
          <w:p w14:paraId="05C8EFDD">
            <w:r>
              <w:rPr>
                <w:rFonts w:ascii="Calibri" w:hAnsi="Calibri"/>
                <w:sz w:val="20"/>
              </w:rPr>
              <w:t>Apache Maven</w:t>
            </w:r>
          </w:p>
        </w:tc>
      </w:tr>
      <w:tr w14:paraId="2870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6CF65044">
            <w:r>
              <w:rPr>
                <w:rFonts w:ascii="Calibri" w:hAnsi="Calibri"/>
                <w:sz w:val="20"/>
              </w:rPr>
              <w:t>Testing</w:t>
            </w:r>
          </w:p>
        </w:tc>
        <w:tc>
          <w:tcPr>
            <w:tcW w:w="5760" w:type="dxa"/>
          </w:tcPr>
          <w:p w14:paraId="24480976">
            <w:r>
              <w:rPr>
                <w:rFonts w:ascii="Calibri" w:hAnsi="Calibri"/>
                <w:sz w:val="20"/>
              </w:rPr>
              <w:t>JUnit 5, Mockito</w:t>
            </w:r>
          </w:p>
        </w:tc>
      </w:tr>
      <w:tr w14:paraId="35EE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0F7"/>
          </w:tcPr>
          <w:p w14:paraId="0E7CF27E">
            <w:r>
              <w:rPr>
                <w:rFonts w:ascii="Calibri" w:hAnsi="Calibri"/>
                <w:sz w:val="20"/>
              </w:rPr>
              <w:t>Logging</w:t>
            </w:r>
          </w:p>
        </w:tc>
        <w:tc>
          <w:tcPr>
            <w:tcW w:w="5760" w:type="dxa"/>
            <w:shd w:val="clear" w:color="auto" w:fill="EBF0F7"/>
          </w:tcPr>
          <w:p w14:paraId="75607868">
            <w:r>
              <w:rPr>
                <w:rFonts w:ascii="Calibri" w:hAnsi="Calibri"/>
                <w:sz w:val="20"/>
              </w:rPr>
              <w:t>SLF4J + Logback</w:t>
            </w:r>
          </w:p>
        </w:tc>
      </w:tr>
      <w:tr w14:paraId="0AABB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1D4E9B93">
            <w:r>
              <w:rPr>
                <w:rFonts w:ascii="Calibri" w:hAnsi="Calibri"/>
                <w:sz w:val="20"/>
              </w:rPr>
              <w:t>Architecture Pattern</w:t>
            </w:r>
          </w:p>
        </w:tc>
        <w:tc>
          <w:tcPr>
            <w:tcW w:w="5760" w:type="dxa"/>
          </w:tcPr>
          <w:p w14:paraId="29AE1593">
            <w:r>
              <w:rPr>
                <w:rFonts w:ascii="Calibri" w:hAnsi="Calibri"/>
                <w:sz w:val="20"/>
              </w:rPr>
              <w:t>Layered MVC (Controller → Service → Repository)</w:t>
            </w:r>
          </w:p>
        </w:tc>
      </w:tr>
    </w:tbl>
    <w:p w14:paraId="10FC9CD3"/>
    <w:p w14:paraId="252D0AE3">
      <w:pPr>
        <w:pStyle w:val="2"/>
      </w:pPr>
      <w:r>
        <w:t>2. Module Responsibilities &amp; Functional Requirements Mapping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2592"/>
        <w:gridCol w:w="4032"/>
        <w:gridCol w:w="1008"/>
      </w:tblGrid>
      <w:tr w14:paraId="75B2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B3A6B"/>
          </w:tcPr>
          <w:p w14:paraId="66CC6BD0">
            <w:pPr>
              <w:jc w:val="center"/>
            </w:pPr>
            <w:r>
              <w:rPr>
                <w:rFonts w:ascii="Calibri" w:hAnsi="Calibri"/>
                <w:b/>
                <w:color w:val="FFFFFF"/>
                <w:sz w:val="20"/>
              </w:rPr>
              <w:t>SRS Req.</w:t>
            </w:r>
          </w:p>
        </w:tc>
        <w:tc>
          <w:tcPr>
            <w:tcW w:w="2592" w:type="dxa"/>
            <w:shd w:val="clear" w:color="auto" w:fill="1B3A6B"/>
          </w:tcPr>
          <w:p w14:paraId="7437513C">
            <w:pPr>
              <w:jc w:val="center"/>
            </w:pPr>
            <w:r>
              <w:rPr>
                <w:rFonts w:ascii="Calibri" w:hAnsi="Calibri"/>
                <w:b/>
                <w:color w:val="FFFFFF"/>
                <w:sz w:val="20"/>
              </w:rPr>
              <w:t>Functional Requirement</w:t>
            </w:r>
          </w:p>
        </w:tc>
        <w:tc>
          <w:tcPr>
            <w:tcW w:w="4032" w:type="dxa"/>
            <w:shd w:val="clear" w:color="auto" w:fill="1B3A6B"/>
          </w:tcPr>
          <w:p w14:paraId="05601C71">
            <w:pPr>
              <w:jc w:val="center"/>
            </w:pPr>
            <w:r>
              <w:rPr>
                <w:rFonts w:ascii="Calibri" w:hAnsi="Calibri"/>
                <w:b/>
                <w:color w:val="FFFFFF"/>
                <w:sz w:val="20"/>
              </w:rPr>
              <w:t>Description</w:t>
            </w:r>
          </w:p>
        </w:tc>
        <w:tc>
          <w:tcPr>
            <w:tcW w:w="1008" w:type="dxa"/>
            <w:shd w:val="clear" w:color="auto" w:fill="1B3A6B"/>
          </w:tcPr>
          <w:p w14:paraId="35ABDBD3">
            <w:pPr>
              <w:jc w:val="center"/>
            </w:pPr>
            <w:r>
              <w:rPr>
                <w:rFonts w:ascii="Calibri" w:hAnsi="Calibri"/>
                <w:b/>
                <w:color w:val="FFFFFF"/>
                <w:sz w:val="20"/>
              </w:rPr>
              <w:t>Status</w:t>
            </w:r>
          </w:p>
        </w:tc>
      </w:tr>
      <w:tr w14:paraId="7540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BF0F7"/>
          </w:tcPr>
          <w:p w14:paraId="2AA02D37">
            <w:r>
              <w:rPr>
                <w:rFonts w:ascii="Calibri" w:hAnsi="Calibri"/>
                <w:sz w:val="20"/>
              </w:rPr>
              <w:t>F4</w:t>
            </w:r>
          </w:p>
        </w:tc>
        <w:tc>
          <w:tcPr>
            <w:tcW w:w="2592" w:type="dxa"/>
            <w:shd w:val="clear" w:color="auto" w:fill="EBF0F7"/>
          </w:tcPr>
          <w:p w14:paraId="191D8B1F">
            <w:r>
              <w:rPr>
                <w:rFonts w:ascii="Calibri" w:hAnsi="Calibri"/>
                <w:sz w:val="20"/>
              </w:rPr>
              <w:t>FR6 — Document Classification</w:t>
            </w:r>
          </w:p>
        </w:tc>
        <w:tc>
          <w:tcPr>
            <w:tcW w:w="4032" w:type="dxa"/>
            <w:shd w:val="clear" w:color="auto" w:fill="EBF0F7"/>
          </w:tcPr>
          <w:p w14:paraId="37BA8AA0">
            <w:r>
              <w:rPr>
                <w:rFonts w:ascii="Calibri" w:hAnsi="Calibri"/>
                <w:sz w:val="20"/>
              </w:rPr>
              <w:t>Classify legal documents into 10 categories (NDA, Employment, Rental, etc.)</w:t>
            </w:r>
          </w:p>
        </w:tc>
        <w:tc>
          <w:tcPr>
            <w:tcW w:w="1008" w:type="dxa"/>
            <w:shd w:val="clear" w:color="auto" w:fill="EBF0F7"/>
          </w:tcPr>
          <w:p w14:paraId="7DF5CB6E">
            <w:r>
              <w:rPr>
                <w:rFonts w:ascii="Calibri" w:hAnsi="Calibri"/>
                <w:sz w:val="20"/>
              </w:rPr>
              <w:t>✅ Done</w:t>
            </w:r>
          </w:p>
        </w:tc>
      </w:tr>
      <w:tr w14:paraId="1461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4B1945D">
            <w:r>
              <w:rPr>
                <w:rFonts w:ascii="Calibri" w:hAnsi="Calibri"/>
                <w:sz w:val="20"/>
              </w:rPr>
              <w:t>F6</w:t>
            </w:r>
          </w:p>
        </w:tc>
        <w:tc>
          <w:tcPr>
            <w:tcW w:w="2592" w:type="dxa"/>
          </w:tcPr>
          <w:p w14:paraId="2F39E073">
            <w:r>
              <w:rPr>
                <w:rFonts w:ascii="Calibri" w:hAnsi="Calibri"/>
                <w:sz w:val="20"/>
              </w:rPr>
              <w:t>FR8 — Clause Extraction</w:t>
            </w:r>
          </w:p>
        </w:tc>
        <w:tc>
          <w:tcPr>
            <w:tcW w:w="4032" w:type="dxa"/>
          </w:tcPr>
          <w:p w14:paraId="74D3C7A4">
            <w:r>
              <w:rPr>
                <w:rFonts w:ascii="Calibri" w:hAnsi="Calibri"/>
                <w:sz w:val="20"/>
              </w:rPr>
              <w:t>Segment raw document text into individual contractual clauses</w:t>
            </w:r>
          </w:p>
        </w:tc>
        <w:tc>
          <w:tcPr>
            <w:tcW w:w="1008" w:type="dxa"/>
          </w:tcPr>
          <w:p w14:paraId="52B080E7">
            <w:r>
              <w:rPr>
                <w:rFonts w:ascii="Calibri" w:hAnsi="Calibri"/>
                <w:sz w:val="20"/>
              </w:rPr>
              <w:t>✅ Done</w:t>
            </w:r>
          </w:p>
        </w:tc>
      </w:tr>
      <w:tr w14:paraId="6B7A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BF0F7"/>
          </w:tcPr>
          <w:p w14:paraId="3F5BFD36">
            <w:r>
              <w:rPr>
                <w:rFonts w:ascii="Calibri" w:hAnsi="Calibri"/>
                <w:sz w:val="20"/>
              </w:rPr>
              <w:t>F7</w:t>
            </w:r>
          </w:p>
        </w:tc>
        <w:tc>
          <w:tcPr>
            <w:tcW w:w="2592" w:type="dxa"/>
            <w:shd w:val="clear" w:color="auto" w:fill="EBF0F7"/>
          </w:tcPr>
          <w:p w14:paraId="4010F879">
            <w:r>
              <w:rPr>
                <w:rFonts w:ascii="Calibri" w:hAnsi="Calibri"/>
                <w:sz w:val="20"/>
              </w:rPr>
              <w:t>FR9 — Risk Detection</w:t>
            </w:r>
          </w:p>
        </w:tc>
        <w:tc>
          <w:tcPr>
            <w:tcW w:w="4032" w:type="dxa"/>
            <w:shd w:val="clear" w:color="auto" w:fill="EBF0F7"/>
          </w:tcPr>
          <w:p w14:paraId="2595625B">
            <w:r>
              <w:rPr>
                <w:rFonts w:ascii="Calibri" w:hAnsi="Calibri"/>
                <w:sz w:val="20"/>
              </w:rPr>
              <w:t>Evaluate each clause against 13 deterministic risk detection rules</w:t>
            </w:r>
          </w:p>
        </w:tc>
        <w:tc>
          <w:tcPr>
            <w:tcW w:w="1008" w:type="dxa"/>
            <w:shd w:val="clear" w:color="auto" w:fill="EBF0F7"/>
          </w:tcPr>
          <w:p w14:paraId="58F12174">
            <w:r>
              <w:rPr>
                <w:rFonts w:ascii="Calibri" w:hAnsi="Calibri"/>
                <w:sz w:val="20"/>
              </w:rPr>
              <w:t>✅ Done</w:t>
            </w:r>
          </w:p>
        </w:tc>
      </w:tr>
      <w:tr w14:paraId="0C98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ACB2E59">
            <w:r>
              <w:rPr>
                <w:rFonts w:ascii="Calibri" w:hAnsi="Calibri"/>
                <w:sz w:val="20"/>
              </w:rPr>
              <w:t>F8</w:t>
            </w:r>
          </w:p>
        </w:tc>
        <w:tc>
          <w:tcPr>
            <w:tcW w:w="2592" w:type="dxa"/>
          </w:tcPr>
          <w:p w14:paraId="05DF4CDA">
            <w:r>
              <w:rPr>
                <w:rFonts w:ascii="Calibri" w:hAnsi="Calibri"/>
                <w:sz w:val="20"/>
              </w:rPr>
              <w:t>FR10 — Legal Term Explainer</w:t>
            </w:r>
          </w:p>
        </w:tc>
        <w:tc>
          <w:tcPr>
            <w:tcW w:w="4032" w:type="dxa"/>
          </w:tcPr>
          <w:p w14:paraId="5A846444">
            <w:r>
              <w:rPr>
                <w:rFonts w:ascii="Calibri" w:hAnsi="Calibri"/>
                <w:sz w:val="20"/>
              </w:rPr>
              <w:t>Provide plain-language explanations of flagged risk patterns</w:t>
            </w:r>
          </w:p>
        </w:tc>
        <w:tc>
          <w:tcPr>
            <w:tcW w:w="1008" w:type="dxa"/>
          </w:tcPr>
          <w:p w14:paraId="7E83147B">
            <w:r>
              <w:rPr>
                <w:rFonts w:ascii="Calibri" w:hAnsi="Calibri"/>
                <w:sz w:val="20"/>
              </w:rPr>
              <w:t>✅ Done</w:t>
            </w:r>
          </w:p>
        </w:tc>
      </w:tr>
      <w:tr w14:paraId="15AC4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BF0F7"/>
          </w:tcPr>
          <w:p w14:paraId="1B9960A4">
            <w:r>
              <w:rPr>
                <w:rFonts w:ascii="Calibri" w:hAnsi="Calibri"/>
                <w:sz w:val="20"/>
              </w:rPr>
              <w:t>F10</w:t>
            </w:r>
          </w:p>
        </w:tc>
        <w:tc>
          <w:tcPr>
            <w:tcW w:w="2592" w:type="dxa"/>
            <w:shd w:val="clear" w:color="auto" w:fill="EBF0F7"/>
          </w:tcPr>
          <w:p w14:paraId="5A8C1544">
            <w:r>
              <w:rPr>
                <w:rFonts w:ascii="Calibri" w:hAnsi="Calibri"/>
                <w:sz w:val="20"/>
              </w:rPr>
              <w:t>FR12 — Actionable Suggestions</w:t>
            </w:r>
          </w:p>
        </w:tc>
        <w:tc>
          <w:tcPr>
            <w:tcW w:w="4032" w:type="dxa"/>
            <w:shd w:val="clear" w:color="auto" w:fill="EBF0F7"/>
          </w:tcPr>
          <w:p w14:paraId="73461A32">
            <w:r>
              <w:rPr>
                <w:rFonts w:ascii="Calibri" w:hAnsi="Calibri"/>
                <w:sz w:val="20"/>
              </w:rPr>
              <w:t>Generate negotiation advice and recommendations for each risk</w:t>
            </w:r>
          </w:p>
        </w:tc>
        <w:tc>
          <w:tcPr>
            <w:tcW w:w="1008" w:type="dxa"/>
            <w:shd w:val="clear" w:color="auto" w:fill="EBF0F7"/>
          </w:tcPr>
          <w:p w14:paraId="520A32FE">
            <w:r>
              <w:rPr>
                <w:rFonts w:ascii="Calibri" w:hAnsi="Calibri"/>
                <w:sz w:val="20"/>
              </w:rPr>
              <w:t>✅ Done</w:t>
            </w:r>
          </w:p>
        </w:tc>
      </w:tr>
      <w:tr w14:paraId="5E06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9FE31BE">
            <w:r>
              <w:rPr>
                <w:rFonts w:ascii="Calibri" w:hAnsi="Calibri"/>
                <w:sz w:val="20"/>
              </w:rPr>
              <w:t>—</w:t>
            </w:r>
          </w:p>
        </w:tc>
        <w:tc>
          <w:tcPr>
            <w:tcW w:w="2592" w:type="dxa"/>
          </w:tcPr>
          <w:p w14:paraId="04EA3EAB">
            <w:r>
              <w:rPr>
                <w:rFonts w:ascii="Calibri" w:hAnsi="Calibri"/>
                <w:sz w:val="20"/>
              </w:rPr>
              <w:t>Composite Risk Scoring</w:t>
            </w:r>
          </w:p>
        </w:tc>
        <w:tc>
          <w:tcPr>
            <w:tcW w:w="4032" w:type="dxa"/>
          </w:tcPr>
          <w:p w14:paraId="33914EFF">
            <w:r>
              <w:rPr>
                <w:rFonts w:ascii="Calibri" w:hAnsi="Calibri"/>
                <w:sz w:val="20"/>
              </w:rPr>
              <w:t>Compute a normalised 0–100 weighted composite risk score</w:t>
            </w:r>
          </w:p>
        </w:tc>
        <w:tc>
          <w:tcPr>
            <w:tcW w:w="1008" w:type="dxa"/>
          </w:tcPr>
          <w:p w14:paraId="7571B549">
            <w:r>
              <w:rPr>
                <w:rFonts w:ascii="Calibri" w:hAnsi="Calibri"/>
                <w:sz w:val="20"/>
              </w:rPr>
              <w:t>✅ Done</w:t>
            </w:r>
          </w:p>
        </w:tc>
      </w:tr>
      <w:tr w14:paraId="52F87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BF0F7"/>
          </w:tcPr>
          <w:p w14:paraId="7E840FDA">
            <w:r>
              <w:rPr>
                <w:rFonts w:ascii="Calibri" w:hAnsi="Calibri"/>
                <w:sz w:val="20"/>
              </w:rPr>
              <w:t>—</w:t>
            </w:r>
          </w:p>
        </w:tc>
        <w:tc>
          <w:tcPr>
            <w:tcW w:w="2592" w:type="dxa"/>
            <w:shd w:val="clear" w:color="auto" w:fill="EBF0F7"/>
          </w:tcPr>
          <w:p w14:paraId="1D1A4B55">
            <w:r>
              <w:rPr>
                <w:rFonts w:ascii="Calibri" w:hAnsi="Calibri"/>
                <w:sz w:val="20"/>
              </w:rPr>
              <w:t>Multi-Tenant Isolation</w:t>
            </w:r>
          </w:p>
        </w:tc>
        <w:tc>
          <w:tcPr>
            <w:tcW w:w="4032" w:type="dxa"/>
            <w:shd w:val="clear" w:color="auto" w:fill="EBF0F7"/>
          </w:tcPr>
          <w:p w14:paraId="0DD19644">
            <w:r>
              <w:rPr>
                <w:rFonts w:ascii="Calibri" w:hAnsi="Calibri"/>
                <w:sz w:val="20"/>
              </w:rPr>
              <w:t>Scope all queries by userId for data ownership enforcement</w:t>
            </w:r>
          </w:p>
        </w:tc>
        <w:tc>
          <w:tcPr>
            <w:tcW w:w="1008" w:type="dxa"/>
            <w:shd w:val="clear" w:color="auto" w:fill="EBF0F7"/>
          </w:tcPr>
          <w:p w14:paraId="7A93B8BD">
            <w:r>
              <w:rPr>
                <w:rFonts w:ascii="Calibri" w:hAnsi="Calibri"/>
                <w:sz w:val="20"/>
              </w:rPr>
              <w:t>✅ Done</w:t>
            </w:r>
          </w:p>
        </w:tc>
      </w:tr>
    </w:tbl>
    <w:p w14:paraId="70A9A310"/>
    <w:p w14:paraId="7583B026">
      <w:pPr>
        <w:pStyle w:val="2"/>
      </w:pPr>
      <w:r>
        <w:t>3. Architecture &amp; Design</w:t>
      </w:r>
    </w:p>
    <w:p w14:paraId="320C841A">
      <w:pPr>
        <w:pStyle w:val="3"/>
      </w:pPr>
      <w:r>
        <w:t>3.1 Pipeline Flow</w:t>
      </w:r>
    </w:p>
    <w:p w14:paraId="77A831DA">
      <w:r>
        <w:rPr>
          <w:rFonts w:ascii="Calibri" w:hAnsi="Calibri"/>
          <w:b w:val="0"/>
          <w:i w:val="0"/>
          <w:sz w:val="22"/>
        </w:rPr>
        <w:t>The analysis pipeline follows a sequential processing model:</w:t>
      </w:r>
    </w:p>
    <w:p w14:paraId="5672E978">
      <w:pPr>
        <w:shd w:val="clear" w:fill="F4F4F4"/>
        <w:ind w:left="567"/>
      </w:pPr>
      <w:r>
        <w:rPr>
          <w:rFonts w:ascii="Consolas" w:hAnsi="Consolas"/>
          <w:color w:val="2D2D2D"/>
          <w:sz w:val="18"/>
        </w:rPr>
        <w:t>Extracted Text (from Document Processing Module)</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ClassificationService</w:t>
      </w:r>
      <w:r>
        <w:rPr>
          <w:rFonts w:ascii="Consolas" w:hAnsi="Consolas"/>
          <w:color w:val="2D2D2D"/>
          <w:sz w:val="18"/>
        </w:rPr>
        <w:br w:type="textWrapping"/>
      </w:r>
      <w:r>
        <w:rPr>
          <w:rFonts w:ascii="Consolas" w:hAnsi="Consolas"/>
          <w:color w:val="2D2D2D"/>
          <w:sz w:val="18"/>
        </w:rPr>
        <w:t xml:space="preserve">  (Regex keyword heuristics → DocType: NDA, EMPLOYMENT, etc.)</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Clause Segmenter</w:t>
      </w:r>
      <w:r>
        <w:rPr>
          <w:rFonts w:ascii="Consolas" w:hAnsi="Consolas"/>
          <w:color w:val="2D2D2D"/>
          <w:sz w:val="18"/>
        </w:rPr>
        <w:br w:type="textWrapping"/>
      </w:r>
      <w:r>
        <w:rPr>
          <w:rFonts w:ascii="Consolas" w:hAnsi="Consolas"/>
          <w:color w:val="2D2D2D"/>
          <w:sz w:val="18"/>
        </w:rPr>
        <w:t xml:space="preserve">  (Blank-line + numbered heading boundary splitting)</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RiskService.evaluateClause()</w:t>
      </w:r>
      <w:r>
        <w:rPr>
          <w:rFonts w:ascii="Consolas" w:hAnsi="Consolas"/>
          <w:color w:val="2D2D2D"/>
          <w:sz w:val="18"/>
        </w:rPr>
        <w:br w:type="textWrapping"/>
      </w:r>
      <w:r>
        <w:rPr>
          <w:rFonts w:ascii="Consolas" w:hAnsi="Consolas"/>
          <w:color w:val="2D2D2D"/>
          <w:sz w:val="18"/>
        </w:rPr>
        <w:t xml:space="preserve">  (13 deterministic regex rules per clause → Risk entities)</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Composite Score &amp; Summary</w:t>
      </w:r>
      <w:r>
        <w:rPr>
          <w:rFonts w:ascii="Consolas" w:hAnsi="Consolas"/>
          <w:color w:val="2D2D2D"/>
          <w:sz w:val="18"/>
        </w:rPr>
        <w:br w:type="textWrapping"/>
      </w:r>
      <w:r>
        <w:rPr>
          <w:rFonts w:ascii="Consolas" w:hAnsi="Consolas"/>
          <w:color w:val="2D2D2D"/>
          <w:sz w:val="18"/>
        </w:rPr>
        <w:t xml:space="preserve">  (Weighted severity scoring, plain-language risk summary)</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MongoDB Persistence</w:t>
      </w:r>
      <w:r>
        <w:rPr>
          <w:rFonts w:ascii="Consolas" w:hAnsi="Consolas"/>
          <w:color w:val="2D2D2D"/>
          <w:sz w:val="18"/>
        </w:rPr>
        <w:br w:type="textWrapping"/>
      </w:r>
      <w:r>
        <w:rPr>
          <w:rFonts w:ascii="Consolas" w:hAnsi="Consolas"/>
          <w:color w:val="2D2D2D"/>
          <w:sz w:val="18"/>
        </w:rPr>
        <w:t xml:space="preserve">  (Analysis + Clause + Risk entities with indexed queries)</w:t>
      </w:r>
    </w:p>
    <w:p w14:paraId="784384CC">
      <w:pPr>
        <w:pStyle w:val="3"/>
      </w:pPr>
      <w:r>
        <w:t>3.2 Layered Architecture</w:t>
      </w:r>
    </w:p>
    <w:p w14:paraId="1B773339">
      <w:r>
        <w:rPr>
          <w:rFonts w:ascii="Calibri" w:hAnsi="Calibri"/>
          <w:b w:val="0"/>
          <w:i w:val="0"/>
          <w:sz w:val="22"/>
        </w:rPr>
        <w:t>The module follows the standard Spring Boot layered architecture:</w:t>
      </w:r>
    </w:p>
    <w:p w14:paraId="58A6F7D3">
      <w:pPr>
        <w:shd w:val="clear" w:fill="F4F4F4"/>
        <w:ind w:left="567"/>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REST API Layer                     │</w:t>
      </w:r>
      <w:r>
        <w:rPr>
          <w:rFonts w:ascii="Consolas" w:hAnsi="Consolas"/>
          <w:color w:val="2D2D2D"/>
          <w:sz w:val="18"/>
        </w:rPr>
        <w:br w:type="textWrapping"/>
      </w:r>
      <w:r>
        <w:rPr>
          <w:rFonts w:ascii="Consolas" w:hAnsi="Consolas"/>
          <w:color w:val="2D2D2D"/>
          <w:sz w:val="18"/>
        </w:rPr>
        <w:t>│       AnalysisController.java                │</w:t>
      </w:r>
      <w:r>
        <w:rPr>
          <w:rFonts w:ascii="Consolas" w:hAnsi="Consolas"/>
          <w:color w:val="2D2D2D"/>
          <w:sz w:val="18"/>
        </w:rPr>
        <w:br w:type="textWrapping"/>
      </w:r>
      <w:r>
        <w:rPr>
          <w:rFonts w:ascii="Consolas" w:hAnsi="Consolas"/>
          <w:color w:val="2D2D2D"/>
          <w:sz w:val="18"/>
        </w:rPr>
        <w:t>│  POST/GET/DELETE /api/analysis/{documentId}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Service Layer                      │</w:t>
      </w:r>
      <w:r>
        <w:rPr>
          <w:rFonts w:ascii="Consolas" w:hAnsi="Consolas"/>
          <w:color w:val="2D2D2D"/>
          <w:sz w:val="18"/>
        </w:rPr>
        <w:br w:type="textWrapping"/>
      </w:r>
      <w:r>
        <w:rPr>
          <w:rFonts w:ascii="Consolas" w:hAnsi="Consolas"/>
          <w:color w:val="2D2D2D"/>
          <w:sz w:val="18"/>
        </w:rPr>
        <w:t>│  AnalysisService | ClassificationService     │</w:t>
      </w:r>
      <w:r>
        <w:rPr>
          <w:rFonts w:ascii="Consolas" w:hAnsi="Consolas"/>
          <w:color w:val="2D2D2D"/>
          <w:sz w:val="18"/>
        </w:rPr>
        <w:br w:type="textWrapping"/>
      </w:r>
      <w:r>
        <w:rPr>
          <w:rFonts w:ascii="Consolas" w:hAnsi="Consolas"/>
          <w:color w:val="2D2D2D"/>
          <w:sz w:val="18"/>
        </w:rPr>
        <w:t>│  RiskService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Repository Layer (MongoDB)            │</w:t>
      </w:r>
      <w:r>
        <w:rPr>
          <w:rFonts w:ascii="Consolas" w:hAnsi="Consolas"/>
          <w:color w:val="2D2D2D"/>
          <w:sz w:val="18"/>
        </w:rPr>
        <w:br w:type="textWrapping"/>
      </w:r>
      <w:r>
        <w:rPr>
          <w:rFonts w:ascii="Consolas" w:hAnsi="Consolas"/>
          <w:color w:val="2D2D2D"/>
          <w:sz w:val="18"/>
        </w:rPr>
        <w:t>│  AnalysisResultRepository | ClauseRepository │</w:t>
      </w:r>
      <w:r>
        <w:rPr>
          <w:rFonts w:ascii="Consolas" w:hAnsi="Consolas"/>
          <w:color w:val="2D2D2D"/>
          <w:sz w:val="18"/>
        </w:rPr>
        <w:br w:type="textWrapping"/>
      </w:r>
      <w:r>
        <w:rPr>
          <w:rFonts w:ascii="Consolas" w:hAnsi="Consolas"/>
          <w:color w:val="2D2D2D"/>
          <w:sz w:val="18"/>
        </w:rPr>
        <w:t>│  RiskRepository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Model / Entity Layer                 │</w:t>
      </w:r>
      <w:r>
        <w:rPr>
          <w:rFonts w:ascii="Consolas" w:hAnsi="Consolas"/>
          <w:color w:val="2D2D2D"/>
          <w:sz w:val="18"/>
        </w:rPr>
        <w:br w:type="textWrapping"/>
      </w:r>
      <w:r>
        <w:rPr>
          <w:rFonts w:ascii="Consolas" w:hAnsi="Consolas"/>
          <w:color w:val="2D2D2D"/>
          <w:sz w:val="18"/>
        </w:rPr>
        <w:t>│  Analysis | Clause | Risk                    │</w:t>
      </w:r>
      <w:r>
        <w:rPr>
          <w:rFonts w:ascii="Consolas" w:hAnsi="Consolas"/>
          <w:color w:val="2D2D2D"/>
          <w:sz w:val="18"/>
        </w:rPr>
        <w:br w:type="textWrapping"/>
      </w:r>
      <w:r>
        <w:rPr>
          <w:rFonts w:ascii="Consolas" w:hAnsi="Consolas"/>
          <w:color w:val="2D2D2D"/>
          <w:sz w:val="18"/>
        </w:rPr>
        <w:t>│  DocType | Severity | AnalysisStatus (Enums)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DTO Layer                        │</w:t>
      </w:r>
      <w:r>
        <w:rPr>
          <w:rFonts w:ascii="Consolas" w:hAnsi="Consolas"/>
          <w:color w:val="2D2D2D"/>
          <w:sz w:val="18"/>
        </w:rPr>
        <w:br w:type="textWrapping"/>
      </w:r>
      <w:r>
        <w:rPr>
          <w:rFonts w:ascii="Consolas" w:hAnsi="Consolas"/>
          <w:color w:val="2D2D2D"/>
          <w:sz w:val="18"/>
        </w:rPr>
        <w:t>│  AnalysisReportResponse | ClauseDto | RiskDto│</w:t>
      </w:r>
      <w:r>
        <w:rPr>
          <w:rFonts w:ascii="Consolas" w:hAnsi="Consolas"/>
          <w:color w:val="2D2D2D"/>
          <w:sz w:val="18"/>
        </w:rPr>
        <w:br w:type="textWrapping"/>
      </w:r>
      <w:r>
        <w:rPr>
          <w:rFonts w:ascii="Consolas" w:hAnsi="Consolas"/>
          <w:color w:val="2D2D2D"/>
          <w:sz w:val="18"/>
        </w:rPr>
        <w:t>└─────────────────────────────────────────────┘</w:t>
      </w:r>
    </w:p>
    <w:p w14:paraId="676B4261">
      <w:pPr>
        <w:pStyle w:val="2"/>
      </w:pPr>
      <w:r>
        <w:t>4. Detailed Implementation</w:t>
      </w:r>
    </w:p>
    <w:p w14:paraId="3A4C1237">
      <w:pPr>
        <w:pStyle w:val="3"/>
      </w:pPr>
      <w:r>
        <w:t>4.1 Model Layer — Entity Design</w:t>
      </w:r>
    </w:p>
    <w:p w14:paraId="5271E618">
      <w:pPr>
        <w:pStyle w:val="4"/>
      </w:pPr>
      <w:r>
        <w:t>4.1.1 Analysis.java — Core Analysis Entity</w:t>
      </w:r>
    </w:p>
    <w:p w14:paraId="4AA6E783">
      <w:r>
        <w:rPr>
          <w:rFonts w:ascii="Calibri" w:hAnsi="Calibri"/>
          <w:b w:val="0"/>
          <w:i w:val="0"/>
          <w:sz w:val="22"/>
        </w:rPr>
        <w:t>MongoDB Collection: analyses</w:t>
      </w:r>
    </w:p>
    <w:p w14:paraId="06AFB0E1">
      <w:r>
        <w:rPr>
          <w:rFonts w:ascii="Calibri" w:hAnsi="Calibri"/>
          <w:b w:val="0"/>
          <w:i w:val="0"/>
          <w:sz w:val="22"/>
        </w:rPr>
        <w:t>Compound Index: {userId: 1, documentId: 1} (unique) — enforces multi-tenant isolation and one-analysis-per-document constraint.</w:t>
      </w:r>
    </w:p>
    <w:p w14:paraId="5635EBEF">
      <w:r>
        <w:rPr>
          <w:rFonts w:ascii="Calibri" w:hAnsi="Calibri"/>
          <w:b/>
          <w:i w:val="0"/>
          <w:sz w:val="22"/>
        </w:rPr>
        <w:t>Key Fields:</w:t>
      </w:r>
    </w:p>
    <w:p w14:paraId="3D0700E9">
      <w:pPr>
        <w:pStyle w:val="23"/>
      </w:pPr>
      <w:r>
        <w:rPr>
          <w:rFonts w:ascii="Calibri" w:hAnsi="Calibri"/>
          <w:b/>
          <w:sz w:val="20"/>
        </w:rPr>
        <w:t xml:space="preserve">docType: </w:t>
      </w:r>
      <w:r>
        <w:rPr>
          <w:rFonts w:ascii="Calibri" w:hAnsi="Calibri"/>
          <w:sz w:val="20"/>
        </w:rPr>
        <w:t>Detected document category (enum DocType)</w:t>
      </w:r>
    </w:p>
    <w:p w14:paraId="3F12FA7F">
      <w:pPr>
        <w:pStyle w:val="23"/>
      </w:pPr>
      <w:r>
        <w:rPr>
          <w:rFonts w:ascii="Calibri" w:hAnsi="Calibri"/>
          <w:b/>
          <w:sz w:val="20"/>
        </w:rPr>
        <w:t xml:space="preserve">status: </w:t>
      </w:r>
      <w:r>
        <w:rPr>
          <w:rFonts w:ascii="Calibri" w:hAnsi="Calibri"/>
          <w:sz w:val="20"/>
        </w:rPr>
        <w:t>Pipeline lifecycle: PENDING → ANALYSING → COMPLETED / FAILED</w:t>
      </w:r>
    </w:p>
    <w:p w14:paraId="1692D5E5">
      <w:pPr>
        <w:pStyle w:val="23"/>
      </w:pPr>
      <w:r>
        <w:rPr>
          <w:rFonts w:ascii="Calibri" w:hAnsi="Calibri"/>
          <w:b/>
          <w:sz w:val="20"/>
        </w:rPr>
        <w:t xml:space="preserve">compositeRiskScore: </w:t>
      </w:r>
      <w:r>
        <w:rPr>
          <w:rFonts w:ascii="Calibri" w:hAnsi="Calibri"/>
          <w:sz w:val="20"/>
        </w:rPr>
        <w:t>Normalised 0–100 risk score</w:t>
      </w:r>
    </w:p>
    <w:p w14:paraId="47D0055F">
      <w:pPr>
        <w:pStyle w:val="23"/>
      </w:pPr>
      <w:r>
        <w:rPr>
          <w:rFonts w:ascii="Calibri" w:hAnsi="Calibri"/>
          <w:b/>
          <w:sz w:val="20"/>
        </w:rPr>
        <w:t xml:space="preserve">totalClausesDetected / totalRisksFound: </w:t>
      </w:r>
      <w:r>
        <w:rPr>
          <w:rFonts w:ascii="Calibri" w:hAnsi="Calibri"/>
          <w:sz w:val="20"/>
        </w:rPr>
        <w:t>Summary counts</w:t>
      </w:r>
    </w:p>
    <w:p w14:paraId="7409FC09">
      <w:pPr>
        <w:pStyle w:val="23"/>
      </w:pPr>
      <w:r>
        <w:rPr>
          <w:rFonts w:ascii="Calibri" w:hAnsi="Calibri"/>
          <w:b/>
          <w:sz w:val="20"/>
        </w:rPr>
        <w:t xml:space="preserve">riskSummary: </w:t>
      </w:r>
      <w:r>
        <w:rPr>
          <w:rFonts w:ascii="Calibri" w:hAnsi="Calibri"/>
          <w:sz w:val="20"/>
        </w:rPr>
        <w:t>Human-readable executive summary</w:t>
      </w:r>
    </w:p>
    <w:p w14:paraId="7A630E84">
      <w:pPr>
        <w:pStyle w:val="23"/>
      </w:pPr>
      <w:r>
        <w:rPr>
          <w:rFonts w:ascii="Calibri" w:hAnsi="Calibri"/>
          <w:b/>
          <w:sz w:val="20"/>
        </w:rPr>
        <w:t xml:space="preserve">startedAt / completedAt: </w:t>
      </w:r>
      <w:r>
        <w:rPr>
          <w:rFonts w:ascii="Calibri" w:hAnsi="Calibri"/>
          <w:sz w:val="20"/>
        </w:rPr>
        <w:t>Pipeline execution timestamps</w:t>
      </w:r>
    </w:p>
    <w:p w14:paraId="1B2BCDD0">
      <w:pPr>
        <w:pStyle w:val="4"/>
      </w:pPr>
      <w:r>
        <w:t>4.1.2 Clause.java — Contractual Clause Entity</w:t>
      </w:r>
    </w:p>
    <w:p w14:paraId="28FB29CC">
      <w:r>
        <w:rPr>
          <w:rFonts w:ascii="Calibri" w:hAnsi="Calibri"/>
          <w:b w:val="0"/>
          <w:i w:val="0"/>
          <w:sz w:val="22"/>
        </w:rPr>
        <w:t>MongoDB Collection: clauses</w:t>
      </w:r>
    </w:p>
    <w:p w14:paraId="2BA483B2">
      <w:r>
        <w:rPr>
          <w:rFonts w:ascii="Calibri" w:hAnsi="Calibri"/>
          <w:b/>
          <w:i w:val="0"/>
          <w:sz w:val="22"/>
        </w:rPr>
        <w:t>Key Fields:</w:t>
      </w:r>
    </w:p>
    <w:p w14:paraId="7D6C8322">
      <w:pPr>
        <w:pStyle w:val="23"/>
      </w:pPr>
      <w:r>
        <w:rPr>
          <w:rFonts w:ascii="Calibri" w:hAnsi="Calibri"/>
          <w:b/>
          <w:sz w:val="20"/>
        </w:rPr>
        <w:t xml:space="preserve">analysisId: </w:t>
      </w:r>
      <w:r>
        <w:rPr>
          <w:rFonts w:ascii="Calibri" w:hAnsi="Calibri"/>
          <w:sz w:val="20"/>
        </w:rPr>
        <w:t>Parent analysis reference (indexed)</w:t>
      </w:r>
    </w:p>
    <w:p w14:paraId="5AB0C522">
      <w:pPr>
        <w:pStyle w:val="23"/>
      </w:pPr>
      <w:r>
        <w:rPr>
          <w:rFonts w:ascii="Calibri" w:hAnsi="Calibri"/>
          <w:b/>
          <w:sz w:val="20"/>
        </w:rPr>
        <w:t xml:space="preserve">clauseType: </w:t>
      </w:r>
      <w:r>
        <w:rPr>
          <w:rFonts w:ascii="Calibri" w:hAnsi="Calibri"/>
          <w:sz w:val="20"/>
        </w:rPr>
        <w:t>Classification label (e.g., CONFIDENTIALITY, INDEMNIFICATION, TERMINATION)</w:t>
      </w:r>
    </w:p>
    <w:p w14:paraId="40110F8F">
      <w:pPr>
        <w:pStyle w:val="23"/>
      </w:pPr>
      <w:r>
        <w:rPr>
          <w:rFonts w:ascii="Calibri" w:hAnsi="Calibri"/>
          <w:b/>
          <w:sz w:val="20"/>
        </w:rPr>
        <w:t xml:space="preserve">rawText: </w:t>
      </w:r>
      <w:r>
        <w:rPr>
          <w:rFonts w:ascii="Calibri" w:hAnsi="Calibri"/>
          <w:sz w:val="20"/>
        </w:rPr>
        <w:t>Extracted text segment (max 2000 chars)</w:t>
      </w:r>
    </w:p>
    <w:p w14:paraId="3B37B848">
      <w:pPr>
        <w:pStyle w:val="23"/>
      </w:pPr>
      <w:r>
        <w:rPr>
          <w:rFonts w:ascii="Calibri" w:hAnsi="Calibri"/>
          <w:b/>
          <w:sz w:val="20"/>
        </w:rPr>
        <w:t xml:space="preserve">clauseIndex: </w:t>
      </w:r>
      <w:r>
        <w:rPr>
          <w:rFonts w:ascii="Calibri" w:hAnsi="Calibri"/>
          <w:sz w:val="20"/>
        </w:rPr>
        <w:t>Sequential position (1-indexed)</w:t>
      </w:r>
    </w:p>
    <w:p w14:paraId="6EC16B8C">
      <w:pPr>
        <w:pStyle w:val="23"/>
      </w:pPr>
      <w:r>
        <w:rPr>
          <w:rFonts w:ascii="Calibri" w:hAnsi="Calibri"/>
          <w:b/>
          <w:sz w:val="20"/>
        </w:rPr>
        <w:t xml:space="preserve">hasRisk: </w:t>
      </w:r>
      <w:r>
        <w:rPr>
          <w:rFonts w:ascii="Calibri" w:hAnsi="Calibri"/>
          <w:sz w:val="20"/>
        </w:rPr>
        <w:t>Boolean flag indicating if any risk was detected</w:t>
      </w:r>
    </w:p>
    <w:p w14:paraId="7F7991A7">
      <w:pPr>
        <w:pStyle w:val="4"/>
      </w:pPr>
      <w:r>
        <w:t>4.1.3 Risk.java — Risk Flag Entity</w:t>
      </w:r>
    </w:p>
    <w:p w14:paraId="13B1BF1B">
      <w:r>
        <w:rPr>
          <w:rFonts w:ascii="Calibri" w:hAnsi="Calibri"/>
          <w:b w:val="0"/>
          <w:i w:val="0"/>
          <w:sz w:val="22"/>
        </w:rPr>
        <w:t>MongoDB Collection: risks</w:t>
      </w:r>
    </w:p>
    <w:p w14:paraId="3EC8476A">
      <w:r>
        <w:rPr>
          <w:rFonts w:ascii="Calibri" w:hAnsi="Calibri"/>
          <w:b/>
          <w:i w:val="0"/>
          <w:sz w:val="22"/>
        </w:rPr>
        <w:t>Key Fields:</w:t>
      </w:r>
    </w:p>
    <w:p w14:paraId="727A7254">
      <w:pPr>
        <w:pStyle w:val="23"/>
      </w:pPr>
      <w:r>
        <w:rPr>
          <w:rFonts w:ascii="Calibri" w:hAnsi="Calibri"/>
          <w:b/>
          <w:sz w:val="20"/>
        </w:rPr>
        <w:t xml:space="preserve">clauseId / analysisId: </w:t>
      </w:r>
      <w:r>
        <w:rPr>
          <w:rFonts w:ascii="Calibri" w:hAnsi="Calibri"/>
          <w:sz w:val="20"/>
        </w:rPr>
        <w:t>Parent references (indexed, denormalised for query efficiency)</w:t>
      </w:r>
    </w:p>
    <w:p w14:paraId="5CAB39A4">
      <w:pPr>
        <w:pStyle w:val="23"/>
      </w:pPr>
      <w:r>
        <w:rPr>
          <w:rFonts w:ascii="Calibri" w:hAnsi="Calibri"/>
          <w:b/>
          <w:sz w:val="20"/>
        </w:rPr>
        <w:t xml:space="preserve">ruleCode: </w:t>
      </w:r>
      <w:r>
        <w:rPr>
          <w:rFonts w:ascii="Calibri" w:hAnsi="Calibri"/>
          <w:sz w:val="20"/>
        </w:rPr>
        <w:t>Identifier for the detection heuristic (e.g., UNLIMITED_LIABILITY)</w:t>
      </w:r>
    </w:p>
    <w:p w14:paraId="0BE86B81">
      <w:pPr>
        <w:pStyle w:val="23"/>
      </w:pPr>
      <w:r>
        <w:rPr>
          <w:rFonts w:ascii="Calibri" w:hAnsi="Calibri"/>
          <w:b/>
          <w:sz w:val="20"/>
        </w:rPr>
        <w:t xml:space="preserve">riskTitle: </w:t>
      </w:r>
      <w:r>
        <w:rPr>
          <w:rFonts w:ascii="Calibri" w:hAnsi="Calibri"/>
          <w:sz w:val="20"/>
        </w:rPr>
        <w:t>Human-readable risk title</w:t>
      </w:r>
    </w:p>
    <w:p w14:paraId="172D2D2D">
      <w:pPr>
        <w:pStyle w:val="23"/>
      </w:pPr>
      <w:r>
        <w:rPr>
          <w:rFonts w:ascii="Calibri" w:hAnsi="Calibri"/>
          <w:b/>
          <w:sz w:val="20"/>
        </w:rPr>
        <w:t xml:space="preserve">severity: </w:t>
      </w:r>
      <w:r>
        <w:rPr>
          <w:rFonts w:ascii="Calibri" w:hAnsi="Calibri"/>
          <w:sz w:val="20"/>
        </w:rPr>
        <w:t>Enum: LOW(5), MEDIUM(15), HIGH(30), CRITICAL(50) with numeric weights</w:t>
      </w:r>
    </w:p>
    <w:p w14:paraId="76A00FA9">
      <w:pPr>
        <w:pStyle w:val="23"/>
      </w:pPr>
      <w:r>
        <w:rPr>
          <w:rFonts w:ascii="Calibri" w:hAnsi="Calibri"/>
          <w:b/>
          <w:sz w:val="20"/>
        </w:rPr>
        <w:t xml:space="preserve">citedText: </w:t>
      </w:r>
      <w:r>
        <w:rPr>
          <w:rFonts w:ascii="Calibri" w:hAnsi="Calibri"/>
          <w:sz w:val="20"/>
        </w:rPr>
        <w:t>The specific text excerpt that triggered the flag</w:t>
      </w:r>
    </w:p>
    <w:p w14:paraId="27B6783C">
      <w:pPr>
        <w:pStyle w:val="23"/>
      </w:pPr>
      <w:r>
        <w:rPr>
          <w:rFonts w:ascii="Calibri" w:hAnsi="Calibri"/>
          <w:b/>
          <w:sz w:val="20"/>
        </w:rPr>
        <w:t xml:space="preserve">explanation: </w:t>
      </w:r>
      <w:r>
        <w:rPr>
          <w:rFonts w:ascii="Calibri" w:hAnsi="Calibri"/>
          <w:sz w:val="20"/>
        </w:rPr>
        <w:t>Plain-language why this is risky (understandable to non-lawyers)</w:t>
      </w:r>
    </w:p>
    <w:p w14:paraId="10EBE9CB">
      <w:pPr>
        <w:pStyle w:val="23"/>
      </w:pPr>
      <w:r>
        <w:rPr>
          <w:rFonts w:ascii="Calibri" w:hAnsi="Calibri"/>
          <w:b/>
          <w:sz w:val="20"/>
        </w:rPr>
        <w:t xml:space="preserve">suggestion: </w:t>
      </w:r>
      <w:r>
        <w:rPr>
          <w:rFonts w:ascii="Calibri" w:hAnsi="Calibri"/>
          <w:sz w:val="20"/>
        </w:rPr>
        <w:t>Actionable negotiation recommendation</w:t>
      </w:r>
    </w:p>
    <w:p w14:paraId="78A5E0CB">
      <w:pPr>
        <w:pStyle w:val="3"/>
      </w:pPr>
      <w:r>
        <w:t>4.2 Enum Definitions</w:t>
      </w:r>
    </w:p>
    <w:p w14:paraId="50105512">
      <w:pPr>
        <w:pStyle w:val="4"/>
      </w:pPr>
      <w:r>
        <w:t>4.2.1 DocType — Document Classification Categories (10 types)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192"/>
      </w:tblGrid>
      <w:tr w14:paraId="3160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B3A6B"/>
          </w:tcPr>
          <w:p w14:paraId="096E450A">
            <w:pPr>
              <w:jc w:val="center"/>
            </w:pPr>
            <w:r>
              <w:rPr>
                <w:rFonts w:ascii="Calibri" w:hAnsi="Calibri"/>
                <w:b/>
                <w:color w:val="FFFFFF"/>
                <w:sz w:val="20"/>
              </w:rPr>
              <w:t>Enum Value</w:t>
            </w:r>
          </w:p>
        </w:tc>
        <w:tc>
          <w:tcPr>
            <w:tcW w:w="6192" w:type="dxa"/>
            <w:shd w:val="clear" w:color="auto" w:fill="1B3A6B"/>
          </w:tcPr>
          <w:p w14:paraId="0221AC39">
            <w:pPr>
              <w:jc w:val="center"/>
            </w:pPr>
            <w:r>
              <w:rPr>
                <w:rFonts w:ascii="Calibri" w:hAnsi="Calibri"/>
                <w:b/>
                <w:color w:val="FFFFFF"/>
                <w:sz w:val="20"/>
              </w:rPr>
              <w:t>Description</w:t>
            </w:r>
          </w:p>
        </w:tc>
      </w:tr>
      <w:tr w14:paraId="10BF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BF0F7"/>
          </w:tcPr>
          <w:p w14:paraId="5927BE5E">
            <w:r>
              <w:rPr>
                <w:rFonts w:ascii="Calibri" w:hAnsi="Calibri"/>
                <w:sz w:val="20"/>
              </w:rPr>
              <w:t>NDA</w:t>
            </w:r>
          </w:p>
        </w:tc>
        <w:tc>
          <w:tcPr>
            <w:tcW w:w="6192" w:type="dxa"/>
            <w:shd w:val="clear" w:color="auto" w:fill="EBF0F7"/>
          </w:tcPr>
          <w:p w14:paraId="3F5EB082">
            <w:r>
              <w:rPr>
                <w:rFonts w:ascii="Calibri" w:hAnsi="Calibri"/>
                <w:sz w:val="20"/>
              </w:rPr>
              <w:t>Non-Disclosure / Confidentiality Agreement</w:t>
            </w:r>
          </w:p>
        </w:tc>
      </w:tr>
      <w:tr w14:paraId="5486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308D0FF">
            <w:r>
              <w:rPr>
                <w:rFonts w:ascii="Calibri" w:hAnsi="Calibri"/>
                <w:sz w:val="20"/>
              </w:rPr>
              <w:t>EMPLOYMENT</w:t>
            </w:r>
          </w:p>
        </w:tc>
        <w:tc>
          <w:tcPr>
            <w:tcW w:w="6192" w:type="dxa"/>
          </w:tcPr>
          <w:p w14:paraId="32448512">
            <w:r>
              <w:rPr>
                <w:rFonts w:ascii="Calibri" w:hAnsi="Calibri"/>
                <w:sz w:val="20"/>
              </w:rPr>
              <w:t>Employment / Appointment Contract</w:t>
            </w:r>
          </w:p>
        </w:tc>
      </w:tr>
      <w:tr w14:paraId="39DD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BF0F7"/>
          </w:tcPr>
          <w:p w14:paraId="557FFEF4">
            <w:r>
              <w:rPr>
                <w:rFonts w:ascii="Calibri" w:hAnsi="Calibri"/>
                <w:sz w:val="20"/>
              </w:rPr>
              <w:t>RENTAL</w:t>
            </w:r>
          </w:p>
        </w:tc>
        <w:tc>
          <w:tcPr>
            <w:tcW w:w="6192" w:type="dxa"/>
            <w:shd w:val="clear" w:color="auto" w:fill="EBF0F7"/>
          </w:tcPr>
          <w:p w14:paraId="26B5CC67">
            <w:r>
              <w:rPr>
                <w:rFonts w:ascii="Calibri" w:hAnsi="Calibri"/>
                <w:sz w:val="20"/>
              </w:rPr>
              <w:t>Rental / Lease Agreement</w:t>
            </w:r>
          </w:p>
        </w:tc>
      </w:tr>
      <w:tr w14:paraId="7F47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C16D034">
            <w:r>
              <w:rPr>
                <w:rFonts w:ascii="Calibri" w:hAnsi="Calibri"/>
                <w:sz w:val="20"/>
              </w:rPr>
              <w:t>LOAN</w:t>
            </w:r>
          </w:p>
        </w:tc>
        <w:tc>
          <w:tcPr>
            <w:tcW w:w="6192" w:type="dxa"/>
          </w:tcPr>
          <w:p w14:paraId="7B25475B">
            <w:r>
              <w:rPr>
                <w:rFonts w:ascii="Calibri" w:hAnsi="Calibri"/>
                <w:sz w:val="20"/>
              </w:rPr>
              <w:t>Loan / Credit Agreement</w:t>
            </w:r>
          </w:p>
        </w:tc>
      </w:tr>
      <w:tr w14:paraId="19E3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BF0F7"/>
          </w:tcPr>
          <w:p w14:paraId="3F77CE9A">
            <w:r>
              <w:rPr>
                <w:rFonts w:ascii="Calibri" w:hAnsi="Calibri"/>
                <w:sz w:val="20"/>
              </w:rPr>
              <w:t>SERVICE_AGREEMENT</w:t>
            </w:r>
          </w:p>
        </w:tc>
        <w:tc>
          <w:tcPr>
            <w:tcW w:w="6192" w:type="dxa"/>
            <w:shd w:val="clear" w:color="auto" w:fill="EBF0F7"/>
          </w:tcPr>
          <w:p w14:paraId="34777D0D">
            <w:r>
              <w:rPr>
                <w:rFonts w:ascii="Calibri" w:hAnsi="Calibri"/>
                <w:sz w:val="20"/>
              </w:rPr>
              <w:t>Service Level / Professional Services</w:t>
            </w:r>
          </w:p>
        </w:tc>
      </w:tr>
      <w:tr w14:paraId="3363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205FE72">
            <w:r>
              <w:rPr>
                <w:rFonts w:ascii="Calibri" w:hAnsi="Calibri"/>
                <w:sz w:val="20"/>
              </w:rPr>
              <w:t>PARTNERSHIP</w:t>
            </w:r>
          </w:p>
        </w:tc>
        <w:tc>
          <w:tcPr>
            <w:tcW w:w="6192" w:type="dxa"/>
          </w:tcPr>
          <w:p w14:paraId="12060A15">
            <w:r>
              <w:rPr>
                <w:rFonts w:ascii="Calibri" w:hAnsi="Calibri"/>
                <w:sz w:val="20"/>
              </w:rPr>
              <w:t>Partnership / Joint Venture Agreement</w:t>
            </w:r>
          </w:p>
        </w:tc>
      </w:tr>
      <w:tr w14:paraId="6713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BF0F7"/>
          </w:tcPr>
          <w:p w14:paraId="633F1E12">
            <w:r>
              <w:rPr>
                <w:rFonts w:ascii="Calibri" w:hAnsi="Calibri"/>
                <w:sz w:val="20"/>
              </w:rPr>
              <w:t>SAAS</w:t>
            </w:r>
          </w:p>
        </w:tc>
        <w:tc>
          <w:tcPr>
            <w:tcW w:w="6192" w:type="dxa"/>
            <w:shd w:val="clear" w:color="auto" w:fill="EBF0F7"/>
          </w:tcPr>
          <w:p w14:paraId="636C47A9">
            <w:r>
              <w:rPr>
                <w:rFonts w:ascii="Calibri" w:hAnsi="Calibri"/>
                <w:sz w:val="20"/>
              </w:rPr>
              <w:t>Software / SaaS Subscription Agreement</w:t>
            </w:r>
          </w:p>
        </w:tc>
      </w:tr>
      <w:tr w14:paraId="0B8A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383AD54">
            <w:r>
              <w:rPr>
                <w:rFonts w:ascii="Calibri" w:hAnsi="Calibri"/>
                <w:sz w:val="20"/>
              </w:rPr>
              <w:t>PURCHASE</w:t>
            </w:r>
          </w:p>
        </w:tc>
        <w:tc>
          <w:tcPr>
            <w:tcW w:w="6192" w:type="dxa"/>
          </w:tcPr>
          <w:p w14:paraId="13FD7AFC">
            <w:r>
              <w:rPr>
                <w:rFonts w:ascii="Calibri" w:hAnsi="Calibri"/>
                <w:sz w:val="20"/>
              </w:rPr>
              <w:t>General Purchase / Sale Agreement</w:t>
            </w:r>
          </w:p>
        </w:tc>
      </w:tr>
      <w:tr w14:paraId="03D3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BF0F7"/>
          </w:tcPr>
          <w:p w14:paraId="5ADD4414">
            <w:r>
              <w:rPr>
                <w:rFonts w:ascii="Calibri" w:hAnsi="Calibri"/>
                <w:sz w:val="20"/>
              </w:rPr>
              <w:t>SETTLEMENT</w:t>
            </w:r>
          </w:p>
        </w:tc>
        <w:tc>
          <w:tcPr>
            <w:tcW w:w="6192" w:type="dxa"/>
            <w:shd w:val="clear" w:color="auto" w:fill="EBF0F7"/>
          </w:tcPr>
          <w:p w14:paraId="00C39405">
            <w:r>
              <w:rPr>
                <w:rFonts w:ascii="Calibri" w:hAnsi="Calibri"/>
                <w:sz w:val="20"/>
              </w:rPr>
              <w:t>Settlement / Release Agreement</w:t>
            </w:r>
          </w:p>
        </w:tc>
      </w:tr>
      <w:tr w14:paraId="72FB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B055E99">
            <w:r>
              <w:rPr>
                <w:rFonts w:ascii="Calibri" w:hAnsi="Calibri"/>
                <w:sz w:val="20"/>
              </w:rPr>
              <w:t>GENERAL</w:t>
            </w:r>
          </w:p>
        </w:tc>
        <w:tc>
          <w:tcPr>
            <w:tcW w:w="6192" w:type="dxa"/>
          </w:tcPr>
          <w:p w14:paraId="4186AF5F">
            <w:r>
              <w:rPr>
                <w:rFonts w:ascii="Calibri" w:hAnsi="Calibri"/>
                <w:sz w:val="20"/>
              </w:rPr>
              <w:t>General / Unknown (fallback)</w:t>
            </w:r>
          </w:p>
        </w:tc>
      </w:tr>
    </w:tbl>
    <w:p w14:paraId="1442A661"/>
    <w:p w14:paraId="16121E85">
      <w:pPr>
        <w:pStyle w:val="4"/>
      </w:pPr>
      <w:r>
        <w:t>4.2.2 Severity — Risk Severity Levels with Weighted Scoring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152"/>
        <w:gridCol w:w="6480"/>
      </w:tblGrid>
      <w:tr w14:paraId="6DE4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B3A6B"/>
          </w:tcPr>
          <w:p w14:paraId="6EAE6036">
            <w:pPr>
              <w:jc w:val="center"/>
            </w:pPr>
            <w:r>
              <w:rPr>
                <w:rFonts w:ascii="Calibri" w:hAnsi="Calibri"/>
                <w:b/>
                <w:color w:val="FFFFFF"/>
                <w:sz w:val="20"/>
              </w:rPr>
              <w:t>Level</w:t>
            </w:r>
          </w:p>
        </w:tc>
        <w:tc>
          <w:tcPr>
            <w:tcW w:w="1152" w:type="dxa"/>
            <w:shd w:val="clear" w:color="auto" w:fill="1B3A6B"/>
          </w:tcPr>
          <w:p w14:paraId="33F5275F">
            <w:pPr>
              <w:jc w:val="center"/>
            </w:pPr>
            <w:r>
              <w:rPr>
                <w:rFonts w:ascii="Calibri" w:hAnsi="Calibri"/>
                <w:b/>
                <w:color w:val="FFFFFF"/>
                <w:sz w:val="20"/>
              </w:rPr>
              <w:t>Weight</w:t>
            </w:r>
          </w:p>
        </w:tc>
        <w:tc>
          <w:tcPr>
            <w:tcW w:w="6480" w:type="dxa"/>
            <w:shd w:val="clear" w:color="auto" w:fill="1B3A6B"/>
          </w:tcPr>
          <w:p w14:paraId="721F579E">
            <w:pPr>
              <w:jc w:val="center"/>
            </w:pPr>
            <w:r>
              <w:rPr>
                <w:rFonts w:ascii="Calibri" w:hAnsi="Calibri"/>
                <w:b/>
                <w:color w:val="FFFFFF"/>
                <w:sz w:val="20"/>
              </w:rPr>
              <w:t>Description</w:t>
            </w:r>
          </w:p>
        </w:tc>
      </w:tr>
      <w:tr w14:paraId="79C5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48E0B974">
            <w:r>
              <w:rPr>
                <w:rFonts w:ascii="Calibri" w:hAnsi="Calibri"/>
                <w:sz w:val="20"/>
              </w:rPr>
              <w:t>LOW</w:t>
            </w:r>
          </w:p>
        </w:tc>
        <w:tc>
          <w:tcPr>
            <w:tcW w:w="1152" w:type="dxa"/>
            <w:shd w:val="clear" w:color="auto" w:fill="EBF0F7"/>
          </w:tcPr>
          <w:p w14:paraId="7B4E762D">
            <w:r>
              <w:rPr>
                <w:rFonts w:ascii="Calibri" w:hAnsi="Calibri"/>
                <w:sz w:val="20"/>
              </w:rPr>
              <w:t>5</w:t>
            </w:r>
          </w:p>
        </w:tc>
        <w:tc>
          <w:tcPr>
            <w:tcW w:w="6480" w:type="dxa"/>
            <w:shd w:val="clear" w:color="auto" w:fill="EBF0F7"/>
          </w:tcPr>
          <w:p w14:paraId="61829BBD">
            <w:r>
              <w:rPr>
                <w:rFonts w:ascii="Calibri" w:hAnsi="Calibri"/>
                <w:sz w:val="20"/>
              </w:rPr>
              <w:t>Informational; standard boilerplate clause</w:t>
            </w:r>
          </w:p>
        </w:tc>
      </w:tr>
      <w:tr w14:paraId="6CD1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80B6B4A">
            <w:r>
              <w:rPr>
                <w:rFonts w:ascii="Calibri" w:hAnsi="Calibri"/>
                <w:sz w:val="20"/>
              </w:rPr>
              <w:t>MEDIUM</w:t>
            </w:r>
          </w:p>
        </w:tc>
        <w:tc>
          <w:tcPr>
            <w:tcW w:w="1152" w:type="dxa"/>
          </w:tcPr>
          <w:p w14:paraId="60330A94">
            <w:r>
              <w:rPr>
                <w:rFonts w:ascii="Calibri" w:hAnsi="Calibri"/>
                <w:sz w:val="20"/>
              </w:rPr>
              <w:t>15</w:t>
            </w:r>
          </w:p>
        </w:tc>
        <w:tc>
          <w:tcPr>
            <w:tcW w:w="6480" w:type="dxa"/>
          </w:tcPr>
          <w:p w14:paraId="6606A7F9">
            <w:r>
              <w:rPr>
                <w:rFonts w:ascii="Calibri" w:hAnsi="Calibri"/>
                <w:sz w:val="20"/>
              </w:rPr>
              <w:t>Ambiguous timeline, non-standard notice period</w:t>
            </w:r>
          </w:p>
        </w:tc>
      </w:tr>
      <w:tr w14:paraId="4E75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713B1199">
            <w:r>
              <w:rPr>
                <w:rFonts w:ascii="Calibri" w:hAnsi="Calibri"/>
                <w:sz w:val="20"/>
              </w:rPr>
              <w:t>HIGH</w:t>
            </w:r>
          </w:p>
        </w:tc>
        <w:tc>
          <w:tcPr>
            <w:tcW w:w="1152" w:type="dxa"/>
            <w:shd w:val="clear" w:color="auto" w:fill="EBF0F7"/>
          </w:tcPr>
          <w:p w14:paraId="67D6B36A">
            <w:r>
              <w:rPr>
                <w:rFonts w:ascii="Calibri" w:hAnsi="Calibri"/>
                <w:sz w:val="20"/>
              </w:rPr>
              <w:t>30</w:t>
            </w:r>
          </w:p>
        </w:tc>
        <w:tc>
          <w:tcPr>
            <w:tcW w:w="6480" w:type="dxa"/>
            <w:shd w:val="clear" w:color="auto" w:fill="EBF0F7"/>
          </w:tcPr>
          <w:p w14:paraId="49920856">
            <w:r>
              <w:rPr>
                <w:rFonts w:ascii="Calibri" w:hAnsi="Calibri"/>
                <w:sz w:val="20"/>
              </w:rPr>
              <w:t>One-sided indemnification, broad non-compete scope</w:t>
            </w:r>
          </w:p>
        </w:tc>
      </w:tr>
      <w:tr w14:paraId="4CEA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31379DD">
            <w:r>
              <w:rPr>
                <w:rFonts w:ascii="Calibri" w:hAnsi="Calibri"/>
                <w:sz w:val="20"/>
              </w:rPr>
              <w:t>CRITICAL</w:t>
            </w:r>
          </w:p>
        </w:tc>
        <w:tc>
          <w:tcPr>
            <w:tcW w:w="1152" w:type="dxa"/>
          </w:tcPr>
          <w:p w14:paraId="057B96CC">
            <w:r>
              <w:rPr>
                <w:rFonts w:ascii="Calibri" w:hAnsi="Calibri"/>
                <w:sz w:val="20"/>
              </w:rPr>
              <w:t>50</w:t>
            </w:r>
          </w:p>
        </w:tc>
        <w:tc>
          <w:tcPr>
            <w:tcW w:w="6480" w:type="dxa"/>
          </w:tcPr>
          <w:p w14:paraId="67505CF4">
            <w:r>
              <w:rPr>
                <w:rFonts w:ascii="Calibri" w:hAnsi="Calibri"/>
                <w:sz w:val="20"/>
              </w:rPr>
              <w:t>Unlimited liability, unilateral termination, rights waiver</w:t>
            </w:r>
          </w:p>
        </w:tc>
      </w:tr>
    </w:tbl>
    <w:p w14:paraId="549E4DE9"/>
    <w:p w14:paraId="632203A1">
      <w:pPr>
        <w:pStyle w:val="4"/>
      </w:pPr>
      <w:r>
        <w:t>4.2.3 AnalysisStatus — Pipeline Lifecycle States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200"/>
      </w:tblGrid>
      <w:tr w14:paraId="314C0FCE">
        <w:trPr>
          <w:jc w:val="center"/>
        </w:trPr>
        <w:tc>
          <w:tcPr>
            <w:tcW w:w="2160" w:type="dxa"/>
            <w:shd w:val="clear" w:color="auto" w:fill="1B3A6B"/>
          </w:tcPr>
          <w:p w14:paraId="192E57CF">
            <w:pPr>
              <w:jc w:val="center"/>
            </w:pPr>
            <w:r>
              <w:rPr>
                <w:rFonts w:ascii="Calibri" w:hAnsi="Calibri"/>
                <w:b/>
                <w:color w:val="FFFFFF"/>
                <w:sz w:val="20"/>
              </w:rPr>
              <w:t>State</w:t>
            </w:r>
          </w:p>
        </w:tc>
        <w:tc>
          <w:tcPr>
            <w:tcW w:w="7200" w:type="dxa"/>
            <w:shd w:val="clear" w:color="auto" w:fill="1B3A6B"/>
          </w:tcPr>
          <w:p w14:paraId="333BF822">
            <w:pPr>
              <w:jc w:val="center"/>
            </w:pPr>
            <w:r>
              <w:rPr>
                <w:rFonts w:ascii="Calibri" w:hAnsi="Calibri"/>
                <w:b/>
                <w:color w:val="FFFFFF"/>
                <w:sz w:val="20"/>
              </w:rPr>
              <w:t>Description</w:t>
            </w:r>
          </w:p>
        </w:tc>
      </w:tr>
      <w:tr w14:paraId="7CA3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0F7"/>
          </w:tcPr>
          <w:p w14:paraId="7425B584">
            <w:r>
              <w:rPr>
                <w:rFonts w:ascii="Calibri" w:hAnsi="Calibri"/>
                <w:sz w:val="20"/>
              </w:rPr>
              <w:t>PENDING</w:t>
            </w:r>
          </w:p>
        </w:tc>
        <w:tc>
          <w:tcPr>
            <w:tcW w:w="7200" w:type="dxa"/>
            <w:shd w:val="clear" w:color="auto" w:fill="EBF0F7"/>
          </w:tcPr>
          <w:p w14:paraId="3838E18B">
            <w:r>
              <w:rPr>
                <w:rFonts w:ascii="Calibri" w:hAnsi="Calibri"/>
                <w:sz w:val="20"/>
              </w:rPr>
              <w:t>Analysis job accepted, waiting to be processed</w:t>
            </w:r>
          </w:p>
        </w:tc>
      </w:tr>
      <w:tr w14:paraId="233C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2C1BB3E">
            <w:r>
              <w:rPr>
                <w:rFonts w:ascii="Calibri" w:hAnsi="Calibri"/>
                <w:sz w:val="20"/>
              </w:rPr>
              <w:t>ANALYSING</w:t>
            </w:r>
          </w:p>
        </w:tc>
        <w:tc>
          <w:tcPr>
            <w:tcW w:w="7200" w:type="dxa"/>
          </w:tcPr>
          <w:p w14:paraId="347D396E">
            <w:r>
              <w:rPr>
                <w:rFonts w:ascii="Calibri" w:hAnsi="Calibri"/>
                <w:sz w:val="20"/>
              </w:rPr>
              <w:t>Clause segmentation and risk scoring actively running</w:t>
            </w:r>
          </w:p>
        </w:tc>
      </w:tr>
      <w:tr w14:paraId="2F97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BF0F7"/>
          </w:tcPr>
          <w:p w14:paraId="6C298758">
            <w:r>
              <w:rPr>
                <w:rFonts w:ascii="Calibri" w:hAnsi="Calibri"/>
                <w:sz w:val="20"/>
              </w:rPr>
              <w:t>COMPLETED</w:t>
            </w:r>
          </w:p>
        </w:tc>
        <w:tc>
          <w:tcPr>
            <w:tcW w:w="7200" w:type="dxa"/>
            <w:shd w:val="clear" w:color="auto" w:fill="EBF0F7"/>
          </w:tcPr>
          <w:p w14:paraId="5F4261CE">
            <w:r>
              <w:rPr>
                <w:rFonts w:ascii="Calibri" w:hAnsi="Calibri"/>
                <w:sz w:val="20"/>
              </w:rPr>
              <w:t>All clauses detected, risk flags computed, score persisted</w:t>
            </w:r>
          </w:p>
        </w:tc>
      </w:tr>
      <w:tr w14:paraId="1AAB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7BF0D65">
            <w:r>
              <w:rPr>
                <w:rFonts w:ascii="Calibri" w:hAnsi="Calibri"/>
                <w:sz w:val="20"/>
              </w:rPr>
              <w:t>FAILED</w:t>
            </w:r>
          </w:p>
        </w:tc>
        <w:tc>
          <w:tcPr>
            <w:tcW w:w="7200" w:type="dxa"/>
          </w:tcPr>
          <w:p w14:paraId="00D07547">
            <w:r>
              <w:rPr>
                <w:rFonts w:ascii="Calibri" w:hAnsi="Calibri"/>
                <w:sz w:val="20"/>
              </w:rPr>
              <w:t>Pipeline terminated abnormally; see errorMessage</w:t>
            </w:r>
          </w:p>
        </w:tc>
      </w:tr>
    </w:tbl>
    <w:p w14:paraId="57D90372"/>
    <w:p w14:paraId="20B21044">
      <w:pPr>
        <w:pStyle w:val="3"/>
      </w:pPr>
      <w:r>
        <w:t>4.3 Service Layer — Business Logic</w:t>
      </w:r>
    </w:p>
    <w:p w14:paraId="693C3493">
      <w:pPr>
        <w:pStyle w:val="4"/>
      </w:pPr>
      <w:r>
        <w:t>4.3.1 ClassificationService.java — Document Type Classification</w:t>
      </w:r>
    </w:p>
    <w:p w14:paraId="294348A5">
      <w:r>
        <w:rPr>
          <w:rFonts w:ascii="Calibri" w:hAnsi="Calibri"/>
          <w:b w:val="0"/>
          <w:i w:val="0"/>
          <w:sz w:val="22"/>
        </w:rPr>
        <w:t>Strategy: Regex keyword heuristic matching against 9 compiled Pattern objects.</w:t>
      </w:r>
    </w:p>
    <w:p w14:paraId="02AEE035">
      <w:r>
        <w:rPr>
          <w:rFonts w:ascii="Calibri" w:hAnsi="Calibri"/>
          <w:b/>
          <w:i w:val="0"/>
          <w:sz w:val="22"/>
        </w:rPr>
        <w:t>Algorithm:</w:t>
      </w:r>
    </w:p>
    <w:p w14:paraId="17041A58">
      <w:pPr>
        <w:pStyle w:val="29"/>
      </w:pPr>
      <w:r>
        <w:rPr>
          <w:rFonts w:ascii="Calibri" w:hAnsi="Calibri"/>
          <w:sz w:val="20"/>
        </w:rPr>
        <w:t>Lowercase the entire document text.</w:t>
      </w:r>
    </w:p>
    <w:p w14:paraId="3BBA903A">
      <w:pPr>
        <w:pStyle w:val="29"/>
      </w:pPr>
      <w:r>
        <w:rPr>
          <w:rFonts w:ascii="Calibri" w:hAnsi="Calibri"/>
          <w:sz w:val="20"/>
        </w:rPr>
        <w:t>Match against each DocType's discriminating keyword pattern.</w:t>
      </w:r>
    </w:p>
    <w:p w14:paraId="2A805992">
      <w:pPr>
        <w:pStyle w:val="29"/>
      </w:pPr>
      <w:r>
        <w:rPr>
          <w:rFonts w:ascii="Calibri" w:hAnsi="Calibri"/>
          <w:sz w:val="20"/>
        </w:rPr>
        <w:t>Count the number of matches per pattern.</w:t>
      </w:r>
    </w:p>
    <w:p w14:paraId="7B078930">
      <w:pPr>
        <w:pStyle w:val="29"/>
      </w:pPr>
      <w:r>
        <w:rPr>
          <w:rFonts w:ascii="Calibri" w:hAnsi="Calibri"/>
          <w:sz w:val="20"/>
        </w:rPr>
        <w:t>The DocType with the highest match count wins; ties default to GENERAL.</w:t>
      </w:r>
    </w:p>
    <w:p w14:paraId="3FAFB166">
      <w:r>
        <w:rPr>
          <w:rFonts w:ascii="Calibri" w:hAnsi="Calibri"/>
          <w:b/>
          <w:i w:val="0"/>
          <w:sz w:val="22"/>
        </w:rPr>
        <w:t>Example Patterns:</w:t>
      </w:r>
    </w:p>
    <w:p w14:paraId="1C3E18BD">
      <w:pPr>
        <w:pStyle w:val="23"/>
      </w:pPr>
      <w:r>
        <w:rPr>
          <w:rFonts w:ascii="Calibri" w:hAnsi="Calibri"/>
          <w:sz w:val="20"/>
        </w:rPr>
        <w:t>NDA → non-disclosure | confidentiality agreement | nda | trade secret | proprietary information</w:t>
      </w:r>
    </w:p>
    <w:p w14:paraId="55007CF8">
      <w:pPr>
        <w:pStyle w:val="23"/>
      </w:pPr>
      <w:r>
        <w:rPr>
          <w:rFonts w:ascii="Calibri" w:hAnsi="Calibri"/>
          <w:sz w:val="20"/>
        </w:rPr>
        <w:t>EMPLOYMENT → employment agreement | salary | wages | job title | probationary period</w:t>
      </w:r>
    </w:p>
    <w:p w14:paraId="4A8139E4">
      <w:pPr>
        <w:pStyle w:val="23"/>
      </w:pPr>
      <w:r>
        <w:rPr>
          <w:rFonts w:ascii="Calibri" w:hAnsi="Calibri"/>
          <w:sz w:val="20"/>
        </w:rPr>
        <w:t>RENTAL → rental agreement | lease agreement | landlord | tenant | rent | security deposit</w:t>
      </w:r>
    </w:p>
    <w:p w14:paraId="26134591">
      <w:pPr>
        <w:pStyle w:val="4"/>
      </w:pPr>
      <w:r>
        <w:t>4.3.2 RiskService.java — 13-Rule Risk Detection Engine</w:t>
      </w:r>
    </w:p>
    <w:p w14:paraId="1232E9F1">
      <w:r>
        <w:rPr>
          <w:rFonts w:ascii="Calibri" w:hAnsi="Calibri"/>
          <w:b w:val="0"/>
          <w:i w:val="0"/>
          <w:sz w:val="22"/>
        </w:rPr>
        <w:t>The heart of the module. Contains 13 deterministic regex-based risk detection rules organised into 4 severity tiers: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
        <w:gridCol w:w="3312"/>
        <w:gridCol w:w="1440"/>
        <w:gridCol w:w="4320"/>
      </w:tblGrid>
      <w:tr w14:paraId="5AB9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1B3A6B"/>
          </w:tcPr>
          <w:p w14:paraId="4ED39F4E">
            <w:pPr>
              <w:jc w:val="center"/>
            </w:pPr>
            <w:r>
              <w:rPr>
                <w:rFonts w:ascii="Calibri" w:hAnsi="Calibri"/>
                <w:b/>
                <w:color w:val="FFFFFF"/>
                <w:sz w:val="20"/>
              </w:rPr>
              <w:t>#</w:t>
            </w:r>
          </w:p>
        </w:tc>
        <w:tc>
          <w:tcPr>
            <w:tcW w:w="3312" w:type="dxa"/>
            <w:shd w:val="clear" w:color="auto" w:fill="1B3A6B"/>
          </w:tcPr>
          <w:p w14:paraId="04C68E03">
            <w:pPr>
              <w:jc w:val="center"/>
            </w:pPr>
            <w:r>
              <w:rPr>
                <w:rFonts w:ascii="Calibri" w:hAnsi="Calibri"/>
                <w:b/>
                <w:color w:val="FFFFFF"/>
                <w:sz w:val="20"/>
              </w:rPr>
              <w:t>Rule Code</w:t>
            </w:r>
          </w:p>
        </w:tc>
        <w:tc>
          <w:tcPr>
            <w:tcW w:w="1440" w:type="dxa"/>
            <w:shd w:val="clear" w:color="auto" w:fill="1B3A6B"/>
          </w:tcPr>
          <w:p w14:paraId="71304310">
            <w:pPr>
              <w:jc w:val="center"/>
            </w:pPr>
            <w:r>
              <w:rPr>
                <w:rFonts w:ascii="Calibri" w:hAnsi="Calibri"/>
                <w:b/>
                <w:color w:val="FFFFFF"/>
                <w:sz w:val="20"/>
              </w:rPr>
              <w:t>Severity</w:t>
            </w:r>
          </w:p>
        </w:tc>
        <w:tc>
          <w:tcPr>
            <w:tcW w:w="4320" w:type="dxa"/>
            <w:shd w:val="clear" w:color="auto" w:fill="1B3A6B"/>
          </w:tcPr>
          <w:p w14:paraId="6E4A23FD">
            <w:pPr>
              <w:jc w:val="center"/>
            </w:pPr>
            <w:r>
              <w:rPr>
                <w:rFonts w:ascii="Calibri" w:hAnsi="Calibri"/>
                <w:b/>
                <w:color w:val="FFFFFF"/>
                <w:sz w:val="20"/>
              </w:rPr>
              <w:t>Detects</w:t>
            </w:r>
          </w:p>
        </w:tc>
      </w:tr>
      <w:tr w14:paraId="2FFD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0F7"/>
          </w:tcPr>
          <w:p w14:paraId="7A8FD398">
            <w:r>
              <w:rPr>
                <w:rFonts w:ascii="Calibri" w:hAnsi="Calibri"/>
                <w:sz w:val="20"/>
              </w:rPr>
              <w:t>1</w:t>
            </w:r>
          </w:p>
        </w:tc>
        <w:tc>
          <w:tcPr>
            <w:tcW w:w="3312" w:type="dxa"/>
            <w:shd w:val="clear" w:color="auto" w:fill="EBF0F7"/>
          </w:tcPr>
          <w:p w14:paraId="6BE6303B">
            <w:r>
              <w:rPr>
                <w:rFonts w:ascii="Calibri" w:hAnsi="Calibri"/>
                <w:sz w:val="20"/>
              </w:rPr>
              <w:t>UNLIMITED_LIABILITY</w:t>
            </w:r>
          </w:p>
        </w:tc>
        <w:tc>
          <w:tcPr>
            <w:tcW w:w="1440" w:type="dxa"/>
            <w:shd w:val="clear" w:color="auto" w:fill="EBF0F7"/>
          </w:tcPr>
          <w:p w14:paraId="36B716EC">
            <w:r>
              <w:rPr>
                <w:rFonts w:ascii="Calibri" w:hAnsi="Calibri"/>
                <w:sz w:val="20"/>
              </w:rPr>
              <w:t>CRITICAL</w:t>
            </w:r>
          </w:p>
        </w:tc>
        <w:tc>
          <w:tcPr>
            <w:tcW w:w="4320" w:type="dxa"/>
            <w:shd w:val="clear" w:color="auto" w:fill="EBF0F7"/>
          </w:tcPr>
          <w:p w14:paraId="2B791E9F">
            <w:r>
              <w:rPr>
                <w:rFonts w:ascii="Calibri" w:hAnsi="Calibri"/>
                <w:sz w:val="20"/>
              </w:rPr>
              <w:t>No cap on financial liability</w:t>
            </w:r>
          </w:p>
        </w:tc>
      </w:tr>
      <w:tr w14:paraId="4FDD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684AB871">
            <w:r>
              <w:rPr>
                <w:rFonts w:ascii="Calibri" w:hAnsi="Calibri"/>
                <w:sz w:val="20"/>
              </w:rPr>
              <w:t>2</w:t>
            </w:r>
          </w:p>
        </w:tc>
        <w:tc>
          <w:tcPr>
            <w:tcW w:w="3312" w:type="dxa"/>
          </w:tcPr>
          <w:p w14:paraId="605C7754">
            <w:r>
              <w:rPr>
                <w:rFonts w:ascii="Calibri" w:hAnsi="Calibri"/>
                <w:sz w:val="20"/>
              </w:rPr>
              <w:t>UNILATERAL_TERMINATION</w:t>
            </w:r>
          </w:p>
        </w:tc>
        <w:tc>
          <w:tcPr>
            <w:tcW w:w="1440" w:type="dxa"/>
          </w:tcPr>
          <w:p w14:paraId="217C5C01">
            <w:r>
              <w:rPr>
                <w:rFonts w:ascii="Calibri" w:hAnsi="Calibri"/>
                <w:sz w:val="20"/>
              </w:rPr>
              <w:t>CRITICAL</w:t>
            </w:r>
          </w:p>
        </w:tc>
        <w:tc>
          <w:tcPr>
            <w:tcW w:w="4320" w:type="dxa"/>
          </w:tcPr>
          <w:p w14:paraId="67AF4BEB">
            <w:r>
              <w:rPr>
                <w:rFonts w:ascii="Calibri" w:hAnsi="Calibri"/>
                <w:sz w:val="20"/>
              </w:rPr>
              <w:t>Termination without cause or notice</w:t>
            </w:r>
          </w:p>
        </w:tc>
      </w:tr>
      <w:tr w14:paraId="0741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0F7"/>
          </w:tcPr>
          <w:p w14:paraId="5070CB7D">
            <w:r>
              <w:rPr>
                <w:rFonts w:ascii="Calibri" w:hAnsi="Calibri"/>
                <w:sz w:val="20"/>
              </w:rPr>
              <w:t>3</w:t>
            </w:r>
          </w:p>
        </w:tc>
        <w:tc>
          <w:tcPr>
            <w:tcW w:w="3312" w:type="dxa"/>
            <w:shd w:val="clear" w:color="auto" w:fill="EBF0F7"/>
          </w:tcPr>
          <w:p w14:paraId="1A43951D">
            <w:r>
              <w:rPr>
                <w:rFonts w:ascii="Calibri" w:hAnsi="Calibri"/>
                <w:sz w:val="20"/>
              </w:rPr>
              <w:t>WAIVER_OF_RIGHTS</w:t>
            </w:r>
          </w:p>
        </w:tc>
        <w:tc>
          <w:tcPr>
            <w:tcW w:w="1440" w:type="dxa"/>
            <w:shd w:val="clear" w:color="auto" w:fill="EBF0F7"/>
          </w:tcPr>
          <w:p w14:paraId="067FA21D">
            <w:r>
              <w:rPr>
                <w:rFonts w:ascii="Calibri" w:hAnsi="Calibri"/>
                <w:sz w:val="20"/>
              </w:rPr>
              <w:t>CRITICAL</w:t>
            </w:r>
          </w:p>
        </w:tc>
        <w:tc>
          <w:tcPr>
            <w:tcW w:w="4320" w:type="dxa"/>
            <w:shd w:val="clear" w:color="auto" w:fill="EBF0F7"/>
          </w:tcPr>
          <w:p w14:paraId="15255CFE">
            <w:r>
              <w:rPr>
                <w:rFonts w:ascii="Calibri" w:hAnsi="Calibri"/>
                <w:sz w:val="20"/>
              </w:rPr>
              <w:t>Blanket waiver of legal rights</w:t>
            </w:r>
          </w:p>
        </w:tc>
      </w:tr>
      <w:tr w14:paraId="2384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5AB02077">
            <w:r>
              <w:rPr>
                <w:rFonts w:ascii="Calibri" w:hAnsi="Calibri"/>
                <w:sz w:val="20"/>
              </w:rPr>
              <w:t>4</w:t>
            </w:r>
          </w:p>
        </w:tc>
        <w:tc>
          <w:tcPr>
            <w:tcW w:w="3312" w:type="dxa"/>
          </w:tcPr>
          <w:p w14:paraId="1C9F2353">
            <w:r>
              <w:rPr>
                <w:rFonts w:ascii="Calibri" w:hAnsi="Calibri"/>
                <w:sz w:val="20"/>
              </w:rPr>
              <w:t>ONE_SIDED_INDEMNIFICATION</w:t>
            </w:r>
          </w:p>
        </w:tc>
        <w:tc>
          <w:tcPr>
            <w:tcW w:w="1440" w:type="dxa"/>
          </w:tcPr>
          <w:p w14:paraId="09A04B2C">
            <w:r>
              <w:rPr>
                <w:rFonts w:ascii="Calibri" w:hAnsi="Calibri"/>
                <w:sz w:val="20"/>
              </w:rPr>
              <w:t>HIGH</w:t>
            </w:r>
          </w:p>
        </w:tc>
        <w:tc>
          <w:tcPr>
            <w:tcW w:w="4320" w:type="dxa"/>
          </w:tcPr>
          <w:p w14:paraId="279813D3">
            <w:r>
              <w:rPr>
                <w:rFonts w:ascii="Calibri" w:hAnsi="Calibri"/>
                <w:sz w:val="20"/>
              </w:rPr>
              <w:t>One-sided indemnify-and-hold-harmless obligations</w:t>
            </w:r>
          </w:p>
        </w:tc>
      </w:tr>
      <w:tr w14:paraId="20CF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0F7"/>
          </w:tcPr>
          <w:p w14:paraId="7FB060A0">
            <w:r>
              <w:rPr>
                <w:rFonts w:ascii="Calibri" w:hAnsi="Calibri"/>
                <w:sz w:val="20"/>
              </w:rPr>
              <w:t>5</w:t>
            </w:r>
          </w:p>
        </w:tc>
        <w:tc>
          <w:tcPr>
            <w:tcW w:w="3312" w:type="dxa"/>
            <w:shd w:val="clear" w:color="auto" w:fill="EBF0F7"/>
          </w:tcPr>
          <w:p w14:paraId="33691F57">
            <w:r>
              <w:rPr>
                <w:rFonts w:ascii="Calibri" w:hAnsi="Calibri"/>
                <w:sz w:val="20"/>
              </w:rPr>
              <w:t>BROAD_NON_COMPETE</w:t>
            </w:r>
          </w:p>
        </w:tc>
        <w:tc>
          <w:tcPr>
            <w:tcW w:w="1440" w:type="dxa"/>
            <w:shd w:val="clear" w:color="auto" w:fill="EBF0F7"/>
          </w:tcPr>
          <w:p w14:paraId="2AE167A8">
            <w:r>
              <w:rPr>
                <w:rFonts w:ascii="Calibri" w:hAnsi="Calibri"/>
                <w:sz w:val="20"/>
              </w:rPr>
              <w:t>HIGH</w:t>
            </w:r>
          </w:p>
        </w:tc>
        <w:tc>
          <w:tcPr>
            <w:tcW w:w="4320" w:type="dxa"/>
            <w:shd w:val="clear" w:color="auto" w:fill="EBF0F7"/>
          </w:tcPr>
          <w:p w14:paraId="7B695FFF">
            <w:r>
              <w:rPr>
                <w:rFonts w:ascii="Calibri" w:hAnsi="Calibri"/>
                <w:sz w:val="20"/>
              </w:rPr>
              <w:t>Overly broad non-compete / non-solicitation</w:t>
            </w:r>
          </w:p>
        </w:tc>
      </w:tr>
      <w:tr w14:paraId="599F8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0B23CA0F">
            <w:r>
              <w:rPr>
                <w:rFonts w:ascii="Calibri" w:hAnsi="Calibri"/>
                <w:sz w:val="20"/>
              </w:rPr>
              <w:t>6</w:t>
            </w:r>
          </w:p>
        </w:tc>
        <w:tc>
          <w:tcPr>
            <w:tcW w:w="3312" w:type="dxa"/>
          </w:tcPr>
          <w:p w14:paraId="0D946F00">
            <w:r>
              <w:rPr>
                <w:rFonts w:ascii="Calibri" w:hAnsi="Calibri"/>
                <w:sz w:val="20"/>
              </w:rPr>
              <w:t>PERPETUAL_LICENSE</w:t>
            </w:r>
          </w:p>
        </w:tc>
        <w:tc>
          <w:tcPr>
            <w:tcW w:w="1440" w:type="dxa"/>
          </w:tcPr>
          <w:p w14:paraId="38939E0D">
            <w:r>
              <w:rPr>
                <w:rFonts w:ascii="Calibri" w:hAnsi="Calibri"/>
                <w:sz w:val="20"/>
              </w:rPr>
              <w:t>HIGH</w:t>
            </w:r>
          </w:p>
        </w:tc>
        <w:tc>
          <w:tcPr>
            <w:tcW w:w="4320" w:type="dxa"/>
          </w:tcPr>
          <w:p w14:paraId="1F92E94E">
            <w:r>
              <w:rPr>
                <w:rFonts w:ascii="Calibri" w:hAnsi="Calibri"/>
                <w:sz w:val="20"/>
              </w:rPr>
              <w:t>Permanent, irrevocable IP license grants</w:t>
            </w:r>
          </w:p>
        </w:tc>
      </w:tr>
      <w:tr w14:paraId="17C3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0F7"/>
          </w:tcPr>
          <w:p w14:paraId="0A933DE8">
            <w:r>
              <w:rPr>
                <w:rFonts w:ascii="Calibri" w:hAnsi="Calibri"/>
                <w:sz w:val="20"/>
              </w:rPr>
              <w:t>7</w:t>
            </w:r>
          </w:p>
        </w:tc>
        <w:tc>
          <w:tcPr>
            <w:tcW w:w="3312" w:type="dxa"/>
            <w:shd w:val="clear" w:color="auto" w:fill="EBF0F7"/>
          </w:tcPr>
          <w:p w14:paraId="15289619">
            <w:r>
              <w:rPr>
                <w:rFonts w:ascii="Calibri" w:hAnsi="Calibri"/>
                <w:sz w:val="20"/>
              </w:rPr>
              <w:t>AUTO_RENEWAL</w:t>
            </w:r>
          </w:p>
        </w:tc>
        <w:tc>
          <w:tcPr>
            <w:tcW w:w="1440" w:type="dxa"/>
            <w:shd w:val="clear" w:color="auto" w:fill="EBF0F7"/>
          </w:tcPr>
          <w:p w14:paraId="43BA56CF">
            <w:r>
              <w:rPr>
                <w:rFonts w:ascii="Calibri" w:hAnsi="Calibri"/>
                <w:sz w:val="20"/>
              </w:rPr>
              <w:t>HIGH</w:t>
            </w:r>
          </w:p>
        </w:tc>
        <w:tc>
          <w:tcPr>
            <w:tcW w:w="4320" w:type="dxa"/>
            <w:shd w:val="clear" w:color="auto" w:fill="EBF0F7"/>
          </w:tcPr>
          <w:p w14:paraId="438B8612">
            <w:r>
              <w:rPr>
                <w:rFonts w:ascii="Calibri" w:hAnsi="Calibri"/>
                <w:sz w:val="20"/>
              </w:rPr>
              <w:t>Automatic renewal without adequate notice</w:t>
            </w:r>
          </w:p>
        </w:tc>
      </w:tr>
      <w:tr w14:paraId="732D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060402BE">
            <w:r>
              <w:rPr>
                <w:rFonts w:ascii="Calibri" w:hAnsi="Calibri"/>
                <w:sz w:val="20"/>
              </w:rPr>
              <w:t>8</w:t>
            </w:r>
          </w:p>
        </w:tc>
        <w:tc>
          <w:tcPr>
            <w:tcW w:w="3312" w:type="dxa"/>
          </w:tcPr>
          <w:p w14:paraId="5407FB9A">
            <w:r>
              <w:rPr>
                <w:rFonts w:ascii="Calibri" w:hAnsi="Calibri"/>
                <w:sz w:val="20"/>
              </w:rPr>
              <w:t>AMBIGUOUS_NOTICE_PERIOD</w:t>
            </w:r>
          </w:p>
        </w:tc>
        <w:tc>
          <w:tcPr>
            <w:tcW w:w="1440" w:type="dxa"/>
          </w:tcPr>
          <w:p w14:paraId="007E8EEE">
            <w:r>
              <w:rPr>
                <w:rFonts w:ascii="Calibri" w:hAnsi="Calibri"/>
                <w:sz w:val="20"/>
              </w:rPr>
              <w:t>MEDIUM</w:t>
            </w:r>
          </w:p>
        </w:tc>
        <w:tc>
          <w:tcPr>
            <w:tcW w:w="4320" w:type="dxa"/>
          </w:tcPr>
          <w:p w14:paraId="5B242295">
            <w:r>
              <w:rPr>
                <w:rFonts w:ascii="Calibri" w:hAnsi="Calibri"/>
                <w:sz w:val="20"/>
              </w:rPr>
              <w:t>Vague "reasonable" or "sufficient" notice terms</w:t>
            </w:r>
          </w:p>
        </w:tc>
      </w:tr>
      <w:tr w14:paraId="72D1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0F7"/>
          </w:tcPr>
          <w:p w14:paraId="48277500">
            <w:r>
              <w:rPr>
                <w:rFonts w:ascii="Calibri" w:hAnsi="Calibri"/>
                <w:sz w:val="20"/>
              </w:rPr>
              <w:t>9</w:t>
            </w:r>
          </w:p>
        </w:tc>
        <w:tc>
          <w:tcPr>
            <w:tcW w:w="3312" w:type="dxa"/>
            <w:shd w:val="clear" w:color="auto" w:fill="EBF0F7"/>
          </w:tcPr>
          <w:p w14:paraId="35B1026A">
            <w:r>
              <w:rPr>
                <w:rFonts w:ascii="Calibri" w:hAnsi="Calibri"/>
                <w:sz w:val="20"/>
              </w:rPr>
              <w:t>DISPUTE_FOREIGN_JURISDICTION</w:t>
            </w:r>
          </w:p>
        </w:tc>
        <w:tc>
          <w:tcPr>
            <w:tcW w:w="1440" w:type="dxa"/>
            <w:shd w:val="clear" w:color="auto" w:fill="EBF0F7"/>
          </w:tcPr>
          <w:p w14:paraId="0AAA6437">
            <w:r>
              <w:rPr>
                <w:rFonts w:ascii="Calibri" w:hAnsi="Calibri"/>
                <w:sz w:val="20"/>
              </w:rPr>
              <w:t>MEDIUM</w:t>
            </w:r>
          </w:p>
        </w:tc>
        <w:tc>
          <w:tcPr>
            <w:tcW w:w="4320" w:type="dxa"/>
            <w:shd w:val="clear" w:color="auto" w:fill="EBF0F7"/>
          </w:tcPr>
          <w:p w14:paraId="3C1D8CB7">
            <w:r>
              <w:rPr>
                <w:rFonts w:ascii="Calibri" w:hAnsi="Calibri"/>
                <w:sz w:val="20"/>
              </w:rPr>
              <w:t>Governing law in unfavourable jurisdiction</w:t>
            </w:r>
          </w:p>
        </w:tc>
      </w:tr>
      <w:tr w14:paraId="2439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536B7BA6">
            <w:r>
              <w:rPr>
                <w:rFonts w:ascii="Calibri" w:hAnsi="Calibri"/>
                <w:sz w:val="20"/>
              </w:rPr>
              <w:t>10</w:t>
            </w:r>
          </w:p>
        </w:tc>
        <w:tc>
          <w:tcPr>
            <w:tcW w:w="3312" w:type="dxa"/>
          </w:tcPr>
          <w:p w14:paraId="4C39862E">
            <w:r>
              <w:rPr>
                <w:rFonts w:ascii="Calibri" w:hAnsi="Calibri"/>
                <w:sz w:val="20"/>
              </w:rPr>
              <w:t>UNILATERAL_AMENDMENT</w:t>
            </w:r>
          </w:p>
        </w:tc>
        <w:tc>
          <w:tcPr>
            <w:tcW w:w="1440" w:type="dxa"/>
          </w:tcPr>
          <w:p w14:paraId="461112A4">
            <w:r>
              <w:rPr>
                <w:rFonts w:ascii="Calibri" w:hAnsi="Calibri"/>
                <w:sz w:val="20"/>
              </w:rPr>
              <w:t>MEDIUM</w:t>
            </w:r>
          </w:p>
        </w:tc>
        <w:tc>
          <w:tcPr>
            <w:tcW w:w="4320" w:type="dxa"/>
          </w:tcPr>
          <w:p w14:paraId="3713777B">
            <w:r>
              <w:rPr>
                <w:rFonts w:ascii="Calibri" w:hAnsi="Calibri"/>
                <w:sz w:val="20"/>
              </w:rPr>
              <w:t>Right to modify terms without consent</w:t>
            </w:r>
          </w:p>
        </w:tc>
      </w:tr>
      <w:tr w14:paraId="3426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0F7"/>
          </w:tcPr>
          <w:p w14:paraId="11D14E10">
            <w:r>
              <w:rPr>
                <w:rFonts w:ascii="Calibri" w:hAnsi="Calibri"/>
                <w:sz w:val="20"/>
              </w:rPr>
              <w:t>11</w:t>
            </w:r>
          </w:p>
        </w:tc>
        <w:tc>
          <w:tcPr>
            <w:tcW w:w="3312" w:type="dxa"/>
            <w:shd w:val="clear" w:color="auto" w:fill="EBF0F7"/>
          </w:tcPr>
          <w:p w14:paraId="7BEC5283">
            <w:r>
              <w:rPr>
                <w:rFonts w:ascii="Calibri" w:hAnsi="Calibri"/>
                <w:sz w:val="20"/>
              </w:rPr>
              <w:t>LATE_PAYMENT_PENALTY</w:t>
            </w:r>
          </w:p>
        </w:tc>
        <w:tc>
          <w:tcPr>
            <w:tcW w:w="1440" w:type="dxa"/>
            <w:shd w:val="clear" w:color="auto" w:fill="EBF0F7"/>
          </w:tcPr>
          <w:p w14:paraId="7DB0133E">
            <w:r>
              <w:rPr>
                <w:rFonts w:ascii="Calibri" w:hAnsi="Calibri"/>
                <w:sz w:val="20"/>
              </w:rPr>
              <w:t>MEDIUM</w:t>
            </w:r>
          </w:p>
        </w:tc>
        <w:tc>
          <w:tcPr>
            <w:tcW w:w="4320" w:type="dxa"/>
            <w:shd w:val="clear" w:color="auto" w:fill="EBF0F7"/>
          </w:tcPr>
          <w:p w14:paraId="6F6C1A2B">
            <w:r>
              <w:rPr>
                <w:rFonts w:ascii="Calibri" w:hAnsi="Calibri"/>
                <w:sz w:val="20"/>
              </w:rPr>
              <w:t>High late payment penalties or interest</w:t>
            </w:r>
          </w:p>
        </w:tc>
      </w:tr>
      <w:tr w14:paraId="321CC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tcPr>
          <w:p w14:paraId="7CCB2F44">
            <w:r>
              <w:rPr>
                <w:rFonts w:ascii="Calibri" w:hAnsi="Calibri"/>
                <w:sz w:val="20"/>
              </w:rPr>
              <w:t>12</w:t>
            </w:r>
          </w:p>
        </w:tc>
        <w:tc>
          <w:tcPr>
            <w:tcW w:w="3312" w:type="dxa"/>
          </w:tcPr>
          <w:p w14:paraId="722D4C23">
            <w:r>
              <w:rPr>
                <w:rFonts w:ascii="Calibri" w:hAnsi="Calibri"/>
                <w:sz w:val="20"/>
              </w:rPr>
              <w:t>ENTIRE_AGREEMENT</w:t>
            </w:r>
          </w:p>
        </w:tc>
        <w:tc>
          <w:tcPr>
            <w:tcW w:w="1440" w:type="dxa"/>
          </w:tcPr>
          <w:p w14:paraId="7463D247">
            <w:r>
              <w:rPr>
                <w:rFonts w:ascii="Calibri" w:hAnsi="Calibri"/>
                <w:sz w:val="20"/>
              </w:rPr>
              <w:t>LOW</w:t>
            </w:r>
          </w:p>
        </w:tc>
        <w:tc>
          <w:tcPr>
            <w:tcW w:w="4320" w:type="dxa"/>
          </w:tcPr>
          <w:p w14:paraId="7FDC4542">
            <w:r>
              <w:rPr>
                <w:rFonts w:ascii="Calibri" w:hAnsi="Calibri"/>
                <w:sz w:val="20"/>
              </w:rPr>
              <w:t>Standard entire agreement / integration clause</w:t>
            </w:r>
          </w:p>
        </w:tc>
      </w:tr>
      <w:tr w14:paraId="3FD49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 w:type="dxa"/>
            <w:shd w:val="clear" w:color="auto" w:fill="EBF0F7"/>
          </w:tcPr>
          <w:p w14:paraId="6C30F94E">
            <w:r>
              <w:rPr>
                <w:rFonts w:ascii="Calibri" w:hAnsi="Calibri"/>
                <w:sz w:val="20"/>
              </w:rPr>
              <w:t>13</w:t>
            </w:r>
          </w:p>
        </w:tc>
        <w:tc>
          <w:tcPr>
            <w:tcW w:w="3312" w:type="dxa"/>
            <w:shd w:val="clear" w:color="auto" w:fill="EBF0F7"/>
          </w:tcPr>
          <w:p w14:paraId="14C4BBD1">
            <w:r>
              <w:rPr>
                <w:rFonts w:ascii="Calibri" w:hAnsi="Calibri"/>
                <w:sz w:val="20"/>
              </w:rPr>
              <w:t>FORCE_MAJEURE</w:t>
            </w:r>
          </w:p>
        </w:tc>
        <w:tc>
          <w:tcPr>
            <w:tcW w:w="1440" w:type="dxa"/>
            <w:shd w:val="clear" w:color="auto" w:fill="EBF0F7"/>
          </w:tcPr>
          <w:p w14:paraId="2436A499">
            <w:r>
              <w:rPr>
                <w:rFonts w:ascii="Calibri" w:hAnsi="Calibri"/>
                <w:sz w:val="20"/>
              </w:rPr>
              <w:t>LOW</w:t>
            </w:r>
          </w:p>
        </w:tc>
        <w:tc>
          <w:tcPr>
            <w:tcW w:w="4320" w:type="dxa"/>
            <w:shd w:val="clear" w:color="auto" w:fill="EBF0F7"/>
          </w:tcPr>
          <w:p w14:paraId="2F71964B">
            <w:r>
              <w:rPr>
                <w:rFonts w:ascii="Calibri" w:hAnsi="Calibri"/>
                <w:sz w:val="20"/>
              </w:rPr>
              <w:t>Standard force majeure provision</w:t>
            </w:r>
          </w:p>
        </w:tc>
      </w:tr>
    </w:tbl>
    <w:p w14:paraId="223CBC37"/>
    <w:p w14:paraId="00F35EF1">
      <w:r>
        <w:rPr>
          <w:rFonts w:ascii="Calibri" w:hAnsi="Calibri"/>
          <w:b/>
          <w:i w:val="0"/>
          <w:sz w:val="22"/>
        </w:rPr>
        <w:t>Composite Risk Score Algorithm:</w:t>
      </w:r>
    </w:p>
    <w:p w14:paraId="59C378C3">
      <w:pPr>
        <w:shd w:val="clear" w:fill="F4F4F4"/>
        <w:ind w:left="567"/>
      </w:pPr>
      <w:r>
        <w:rPr>
          <w:rFonts w:ascii="Consolas" w:hAnsi="Consolas"/>
          <w:color w:val="2D2D2D"/>
          <w:sz w:val="18"/>
        </w:rPr>
        <w:t>rawScore = Σ (severity.weight) for each detected risk</w:t>
      </w:r>
      <w:r>
        <w:rPr>
          <w:rFonts w:ascii="Consolas" w:hAnsi="Consolas"/>
          <w:color w:val="2D2D2D"/>
          <w:sz w:val="18"/>
        </w:rPr>
        <w:br w:type="textWrapping"/>
      </w:r>
      <w:r>
        <w:rPr>
          <w:rFonts w:ascii="Consolas" w:hAnsi="Consolas"/>
          <w:color w:val="2D2D2D"/>
          <w:sz w:val="18"/>
        </w:rPr>
        <w:t>compositeScore = min(100, (rawScore / 150) × 100)</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Normalisation factor: 150 (calibrated so 3 CRITICAL risks = score 100)</w:t>
      </w:r>
      <w:r>
        <w:rPr>
          <w:rFonts w:ascii="Consolas" w:hAnsi="Consolas"/>
          <w:color w:val="2D2D2D"/>
          <w:sz w:val="18"/>
        </w:rPr>
        <w:br w:type="textWrapping"/>
      </w:r>
      <w:r>
        <w:rPr>
          <w:rFonts w:ascii="Consolas" w:hAnsi="Consolas"/>
          <w:color w:val="2D2D2D"/>
          <w:sz w:val="18"/>
        </w:rPr>
        <w:t>Score is rounded to 1 decimal place.</w:t>
      </w:r>
    </w:p>
    <w:p w14:paraId="05FFD962">
      <w:r>
        <w:rPr>
          <w:rFonts w:ascii="Calibri" w:hAnsi="Calibri"/>
          <w:b/>
          <w:i w:val="0"/>
          <w:sz w:val="22"/>
        </w:rPr>
        <w:t>Risk Summary Generation:</w:t>
      </w:r>
    </w:p>
    <w:p w14:paraId="20A52E89">
      <w:r>
        <w:rPr>
          <w:rFonts w:ascii="Calibri" w:hAnsi="Calibri"/>
          <w:b w:val="0"/>
          <w:i w:val="0"/>
          <w:sz w:val="22"/>
        </w:rPr>
        <w:t>Produces a plain-language summary including the overall risk score out of 100, count of CRITICAL / HIGH / MEDIUM risks, and actionable recommendation text.</w:t>
      </w:r>
    </w:p>
    <w:p w14:paraId="601A1A4E">
      <w:pPr>
        <w:pStyle w:val="4"/>
      </w:pPr>
      <w:r>
        <w:t>4.3.3 AnalysisService.java — Pipeline Orchestrator</w:t>
      </w:r>
    </w:p>
    <w:p w14:paraId="1AD78960">
      <w:r>
        <w:rPr>
          <w:rFonts w:ascii="Calibri" w:hAnsi="Calibri"/>
          <w:b w:val="0"/>
          <w:i w:val="0"/>
          <w:sz w:val="22"/>
        </w:rPr>
        <w:t>Orchestrates the full end-to-end analysis pipeline:</w:t>
      </w:r>
    </w:p>
    <w:p w14:paraId="43C7B042">
      <w:pPr>
        <w:pStyle w:val="29"/>
      </w:pPr>
      <w:r>
        <w:rPr>
          <w:rFonts w:ascii="Calibri" w:hAnsi="Calibri"/>
          <w:sz w:val="20"/>
        </w:rPr>
        <w:t>Create an Analysis record in PENDING state (replaces existing if re-analysis).</w:t>
      </w:r>
    </w:p>
    <w:p w14:paraId="04FA92CC">
      <w:pPr>
        <w:pStyle w:val="29"/>
      </w:pPr>
      <w:r>
        <w:rPr>
          <w:rFonts w:ascii="Calibri" w:hAnsi="Calibri"/>
          <w:sz w:val="20"/>
        </w:rPr>
        <w:t>Classify the document type via ClassificationService.classify().</w:t>
      </w:r>
    </w:p>
    <w:p w14:paraId="30C39366">
      <w:pPr>
        <w:pStyle w:val="29"/>
      </w:pPr>
      <w:r>
        <w:rPr>
          <w:rFonts w:ascii="Calibri" w:hAnsi="Calibri"/>
          <w:sz w:val="20"/>
        </w:rPr>
        <w:t>Segment text using dual-strategy segmenter: blank-line splitting (\n{2,}) + numbered heading detection (Section X, 1., CLAUSE IV). Minimum clause length: 40 characters.</w:t>
      </w:r>
    </w:p>
    <w:p w14:paraId="6999FB58">
      <w:pPr>
        <w:pStyle w:val="29"/>
      </w:pPr>
      <w:r>
        <w:rPr>
          <w:rFonts w:ascii="Calibri" w:hAnsi="Calibri"/>
          <w:sz w:val="20"/>
        </w:rPr>
        <w:t>For each clause, call RiskService.evaluateClause() — run all 13 rules.</w:t>
      </w:r>
    </w:p>
    <w:p w14:paraId="7091A9D0">
      <w:pPr>
        <w:pStyle w:val="29"/>
      </w:pPr>
      <w:r>
        <w:rPr>
          <w:rFonts w:ascii="Calibri" w:hAnsi="Calibri"/>
          <w:sz w:val="20"/>
        </w:rPr>
        <w:t>Persist all Clause and Risk entities to MongoDB.</w:t>
      </w:r>
    </w:p>
    <w:p w14:paraId="22C0E273">
      <w:pPr>
        <w:pStyle w:val="29"/>
      </w:pPr>
      <w:r>
        <w:rPr>
          <w:rFonts w:ascii="Calibri" w:hAnsi="Calibri"/>
          <w:sz w:val="20"/>
        </w:rPr>
        <w:t>Compute composite risk score and generate risk summary.</w:t>
      </w:r>
    </w:p>
    <w:p w14:paraId="711133B0">
      <w:pPr>
        <w:pStyle w:val="29"/>
      </w:pPr>
      <w:r>
        <w:rPr>
          <w:rFonts w:ascii="Calibri" w:hAnsi="Calibri"/>
          <w:sz w:val="20"/>
        </w:rPr>
        <w:t>Update Analysis to COMPLETED state with final timestamps.</w:t>
      </w:r>
    </w:p>
    <w:p w14:paraId="4C707C56">
      <w:r>
        <w:rPr>
          <w:rFonts w:ascii="Calibri" w:hAnsi="Calibri"/>
          <w:b w:val="0"/>
          <w:i w:val="0"/>
          <w:sz w:val="22"/>
        </w:rPr>
        <w:t>Clause Type Inference: 12 clause type labels are inferred via keyword matching — CONFIDENTIALITY, INDEMNIFICATION, TERMINATION, NON_COMPETE, GOVERNING_LAW, PAYMENT_TERMS, AUTO_RENEWAL, LIABILITY_LIMITATION, IP_AND_LICENSE, WARRANTIES, FORCE_MAJEURE, ENTIRE_AGREEMENT, and GENERAL (default).</w:t>
      </w:r>
    </w:p>
    <w:p w14:paraId="01BEF54E">
      <w:pPr>
        <w:pStyle w:val="3"/>
      </w:pPr>
      <w:r>
        <w:t>4.4 Repository Layer — Data Access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1152"/>
        <w:gridCol w:w="5040"/>
      </w:tblGrid>
      <w:tr w14:paraId="7AEE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68" w:type="dxa"/>
            <w:shd w:val="clear" w:color="auto" w:fill="1B3A6B"/>
          </w:tcPr>
          <w:p w14:paraId="7B09A6EB">
            <w:pPr>
              <w:jc w:val="center"/>
            </w:pPr>
            <w:r>
              <w:rPr>
                <w:rFonts w:ascii="Calibri" w:hAnsi="Calibri"/>
                <w:b/>
                <w:color w:val="FFFFFF"/>
                <w:sz w:val="20"/>
              </w:rPr>
              <w:t>Repository</w:t>
            </w:r>
          </w:p>
        </w:tc>
        <w:tc>
          <w:tcPr>
            <w:tcW w:w="1152" w:type="dxa"/>
            <w:shd w:val="clear" w:color="auto" w:fill="1B3A6B"/>
          </w:tcPr>
          <w:p w14:paraId="7788E4DD">
            <w:pPr>
              <w:jc w:val="center"/>
            </w:pPr>
            <w:r>
              <w:rPr>
                <w:rFonts w:ascii="Calibri" w:hAnsi="Calibri"/>
                <w:b/>
                <w:color w:val="FFFFFF"/>
                <w:sz w:val="20"/>
              </w:rPr>
              <w:t>Entity</w:t>
            </w:r>
          </w:p>
        </w:tc>
        <w:tc>
          <w:tcPr>
            <w:tcW w:w="5040" w:type="dxa"/>
            <w:shd w:val="clear" w:color="auto" w:fill="1B3A6B"/>
          </w:tcPr>
          <w:p w14:paraId="4821E5F4">
            <w:pPr>
              <w:jc w:val="center"/>
            </w:pPr>
            <w:r>
              <w:rPr>
                <w:rFonts w:ascii="Calibri" w:hAnsi="Calibri"/>
                <w:b/>
                <w:color w:val="FFFFFF"/>
                <w:sz w:val="20"/>
              </w:rPr>
              <w:t>Key Query Methods</w:t>
            </w:r>
          </w:p>
        </w:tc>
      </w:tr>
      <w:tr w14:paraId="01C8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BF0F7"/>
          </w:tcPr>
          <w:p w14:paraId="4286421D">
            <w:r>
              <w:rPr>
                <w:rFonts w:ascii="Calibri" w:hAnsi="Calibri"/>
                <w:sz w:val="20"/>
              </w:rPr>
              <w:t>AnalysisResultRepository</w:t>
            </w:r>
          </w:p>
        </w:tc>
        <w:tc>
          <w:tcPr>
            <w:tcW w:w="1152" w:type="dxa"/>
            <w:shd w:val="clear" w:color="auto" w:fill="EBF0F7"/>
          </w:tcPr>
          <w:p w14:paraId="6552CBDE">
            <w:r>
              <w:rPr>
                <w:rFonts w:ascii="Calibri" w:hAnsi="Calibri"/>
                <w:sz w:val="20"/>
              </w:rPr>
              <w:t>Analysis</w:t>
            </w:r>
          </w:p>
        </w:tc>
        <w:tc>
          <w:tcPr>
            <w:tcW w:w="5040" w:type="dxa"/>
            <w:shd w:val="clear" w:color="auto" w:fill="EBF0F7"/>
          </w:tcPr>
          <w:p w14:paraId="4841A1AC">
            <w:r>
              <w:rPr>
                <w:rFonts w:ascii="Calibri" w:hAnsi="Calibri"/>
                <w:sz w:val="20"/>
              </w:rPr>
              <w:t>findByDocumentIdAndUserId(), findByUserIdOrderByStartedAtDesc(), findByStatus()</w:t>
            </w:r>
          </w:p>
        </w:tc>
      </w:tr>
      <w:tr w14:paraId="10D9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1A0D759">
            <w:r>
              <w:rPr>
                <w:rFonts w:ascii="Calibri" w:hAnsi="Calibri"/>
                <w:sz w:val="20"/>
              </w:rPr>
              <w:t>ClauseRepository</w:t>
            </w:r>
          </w:p>
        </w:tc>
        <w:tc>
          <w:tcPr>
            <w:tcW w:w="1152" w:type="dxa"/>
          </w:tcPr>
          <w:p w14:paraId="4755D014">
            <w:r>
              <w:rPr>
                <w:rFonts w:ascii="Calibri" w:hAnsi="Calibri"/>
                <w:sz w:val="20"/>
              </w:rPr>
              <w:t>Clause</w:t>
            </w:r>
          </w:p>
        </w:tc>
        <w:tc>
          <w:tcPr>
            <w:tcW w:w="5040" w:type="dxa"/>
          </w:tcPr>
          <w:p w14:paraId="2CC73535">
            <w:r>
              <w:rPr>
                <w:rFonts w:ascii="Calibri" w:hAnsi="Calibri"/>
                <w:sz w:val="20"/>
              </w:rPr>
              <w:t>findByAnalysisIdOrderByClauseIndexAsc(), findByAnalysisIdAndHasRiskTrue()</w:t>
            </w:r>
          </w:p>
        </w:tc>
      </w:tr>
      <w:tr w14:paraId="2EE4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BF0F7"/>
          </w:tcPr>
          <w:p w14:paraId="3150B158">
            <w:r>
              <w:rPr>
                <w:rFonts w:ascii="Calibri" w:hAnsi="Calibri"/>
                <w:sz w:val="20"/>
              </w:rPr>
              <w:t>RiskRepository</w:t>
            </w:r>
          </w:p>
        </w:tc>
        <w:tc>
          <w:tcPr>
            <w:tcW w:w="1152" w:type="dxa"/>
            <w:shd w:val="clear" w:color="auto" w:fill="EBF0F7"/>
          </w:tcPr>
          <w:p w14:paraId="42C8E367">
            <w:r>
              <w:rPr>
                <w:rFonts w:ascii="Calibri" w:hAnsi="Calibri"/>
                <w:sz w:val="20"/>
              </w:rPr>
              <w:t>Risk</w:t>
            </w:r>
          </w:p>
        </w:tc>
        <w:tc>
          <w:tcPr>
            <w:tcW w:w="5040" w:type="dxa"/>
            <w:shd w:val="clear" w:color="auto" w:fill="EBF0F7"/>
          </w:tcPr>
          <w:p w14:paraId="19732E0E">
            <w:r>
              <w:rPr>
                <w:rFonts w:ascii="Calibri" w:hAnsi="Calibri"/>
                <w:sz w:val="20"/>
              </w:rPr>
              <w:t>findByAnalysisIdOrderBySeverityDesc(), findByAnalysisIdAndSeverityIn(), countByAnalysisIdAndSeverity()</w:t>
            </w:r>
          </w:p>
        </w:tc>
      </w:tr>
    </w:tbl>
    <w:p w14:paraId="02683C2E"/>
    <w:p w14:paraId="5EBEA159">
      <w:r>
        <w:rPr>
          <w:rFonts w:ascii="Calibri" w:hAnsi="Calibri"/>
          <w:b w:val="0"/>
          <w:i w:val="0"/>
          <w:sz w:val="22"/>
        </w:rPr>
        <w:t>All repositories extend MongoRepository from Spring Data MongoDB and include cascade delete methods (deleteByAnalysisId).</w:t>
      </w:r>
    </w:p>
    <w:p w14:paraId="3A8F1B9E">
      <w:pPr>
        <w:pStyle w:val="3"/>
      </w:pPr>
      <w:r>
        <w:t>4.5 Controller Layer — REST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4032"/>
        <w:gridCol w:w="4032"/>
      </w:tblGrid>
      <w:tr w14:paraId="7C46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B3A6B"/>
          </w:tcPr>
          <w:p w14:paraId="3F8232AD">
            <w:pPr>
              <w:jc w:val="center"/>
            </w:pPr>
            <w:r>
              <w:rPr>
                <w:rFonts w:ascii="Calibri" w:hAnsi="Calibri"/>
                <w:b/>
                <w:color w:val="FFFFFF"/>
                <w:sz w:val="20"/>
              </w:rPr>
              <w:t>HTTP Method</w:t>
            </w:r>
          </w:p>
        </w:tc>
        <w:tc>
          <w:tcPr>
            <w:tcW w:w="4032" w:type="dxa"/>
            <w:shd w:val="clear" w:color="auto" w:fill="1B3A6B"/>
          </w:tcPr>
          <w:p w14:paraId="10DA4EF0">
            <w:pPr>
              <w:jc w:val="center"/>
            </w:pPr>
            <w:r>
              <w:rPr>
                <w:rFonts w:ascii="Calibri" w:hAnsi="Calibri"/>
                <w:b/>
                <w:color w:val="FFFFFF"/>
                <w:sz w:val="20"/>
              </w:rPr>
              <w:t>Endpoint</w:t>
            </w:r>
          </w:p>
        </w:tc>
        <w:tc>
          <w:tcPr>
            <w:tcW w:w="4032" w:type="dxa"/>
            <w:shd w:val="clear" w:color="auto" w:fill="1B3A6B"/>
          </w:tcPr>
          <w:p w14:paraId="72D65AFF">
            <w:pPr>
              <w:jc w:val="center"/>
            </w:pPr>
            <w:r>
              <w:rPr>
                <w:rFonts w:ascii="Calibri" w:hAnsi="Calibri"/>
                <w:b/>
                <w:color w:val="FFFFFF"/>
                <w:sz w:val="20"/>
              </w:rPr>
              <w:t>Description</w:t>
            </w:r>
          </w:p>
        </w:tc>
      </w:tr>
      <w:tr w14:paraId="443B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BF0F7"/>
          </w:tcPr>
          <w:p w14:paraId="6182317A">
            <w:r>
              <w:rPr>
                <w:rFonts w:ascii="Calibri" w:hAnsi="Calibri"/>
                <w:sz w:val="20"/>
              </w:rPr>
              <w:t>POST</w:t>
            </w:r>
          </w:p>
        </w:tc>
        <w:tc>
          <w:tcPr>
            <w:tcW w:w="4032" w:type="dxa"/>
            <w:shd w:val="clear" w:color="auto" w:fill="EBF0F7"/>
          </w:tcPr>
          <w:p w14:paraId="767B0DDC">
            <w:r>
              <w:rPr>
                <w:rFonts w:ascii="Calibri" w:hAnsi="Calibri"/>
                <w:sz w:val="20"/>
              </w:rPr>
              <w:t>/api/analysis/{documentId}</w:t>
            </w:r>
          </w:p>
        </w:tc>
        <w:tc>
          <w:tcPr>
            <w:tcW w:w="4032" w:type="dxa"/>
            <w:shd w:val="clear" w:color="auto" w:fill="EBF0F7"/>
          </w:tcPr>
          <w:p w14:paraId="5896004B">
            <w:r>
              <w:rPr>
                <w:rFonts w:ascii="Calibri" w:hAnsi="Calibri"/>
                <w:sz w:val="20"/>
              </w:rPr>
              <w:t>Execute full legal analysis pipeline on a document</w:t>
            </w:r>
          </w:p>
        </w:tc>
      </w:tr>
      <w:tr w14:paraId="4A0D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BE5717A">
            <w:r>
              <w:rPr>
                <w:rFonts w:ascii="Calibri" w:hAnsi="Calibri"/>
                <w:sz w:val="20"/>
              </w:rPr>
              <w:t>GET</w:t>
            </w:r>
          </w:p>
        </w:tc>
        <w:tc>
          <w:tcPr>
            <w:tcW w:w="4032" w:type="dxa"/>
          </w:tcPr>
          <w:p w14:paraId="790C2652">
            <w:r>
              <w:rPr>
                <w:rFonts w:ascii="Calibri" w:hAnsi="Calibri"/>
                <w:sz w:val="20"/>
              </w:rPr>
              <w:t>/api/analysis/{documentId}</w:t>
            </w:r>
          </w:p>
        </w:tc>
        <w:tc>
          <w:tcPr>
            <w:tcW w:w="4032" w:type="dxa"/>
          </w:tcPr>
          <w:p w14:paraId="1519C257">
            <w:r>
              <w:rPr>
                <w:rFonts w:ascii="Calibri" w:hAnsi="Calibri"/>
                <w:sz w:val="20"/>
              </w:rPr>
              <w:t>Retrieve complete analysis report with clauses &amp; risks</w:t>
            </w:r>
          </w:p>
        </w:tc>
      </w:tr>
      <w:tr w14:paraId="6F7D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BF0F7"/>
          </w:tcPr>
          <w:p w14:paraId="6C471DCC">
            <w:r>
              <w:rPr>
                <w:rFonts w:ascii="Calibri" w:hAnsi="Calibri"/>
                <w:sz w:val="20"/>
              </w:rPr>
              <w:t>GET</w:t>
            </w:r>
          </w:p>
        </w:tc>
        <w:tc>
          <w:tcPr>
            <w:tcW w:w="4032" w:type="dxa"/>
            <w:shd w:val="clear" w:color="auto" w:fill="EBF0F7"/>
          </w:tcPr>
          <w:p w14:paraId="7FCE0D0C">
            <w:r>
              <w:rPr>
                <w:rFonts w:ascii="Calibri" w:hAnsi="Calibri"/>
                <w:sz w:val="20"/>
              </w:rPr>
              <w:t>/api/analysis/{documentId}/risks</w:t>
            </w:r>
          </w:p>
        </w:tc>
        <w:tc>
          <w:tcPr>
            <w:tcW w:w="4032" w:type="dxa"/>
            <w:shd w:val="clear" w:color="auto" w:fill="EBF0F7"/>
          </w:tcPr>
          <w:p w14:paraId="69E0F36B">
            <w:r>
              <w:rPr>
                <w:rFonts w:ascii="Calibri" w:hAnsi="Calibri"/>
                <w:sz w:val="20"/>
              </w:rPr>
              <w:t>Get only HIGH &amp; CRITICAL risk highlights</w:t>
            </w:r>
          </w:p>
        </w:tc>
      </w:tr>
      <w:tr w14:paraId="11BF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1B05971">
            <w:r>
              <w:rPr>
                <w:rFonts w:ascii="Calibri" w:hAnsi="Calibri"/>
                <w:sz w:val="20"/>
              </w:rPr>
              <w:t>GET</w:t>
            </w:r>
          </w:p>
        </w:tc>
        <w:tc>
          <w:tcPr>
            <w:tcW w:w="4032" w:type="dxa"/>
          </w:tcPr>
          <w:p w14:paraId="3DA8283E">
            <w:r>
              <w:rPr>
                <w:rFonts w:ascii="Calibri" w:hAnsi="Calibri"/>
                <w:sz w:val="20"/>
              </w:rPr>
              <w:t>/api/analysis</w:t>
            </w:r>
          </w:p>
        </w:tc>
        <w:tc>
          <w:tcPr>
            <w:tcW w:w="4032" w:type="dxa"/>
          </w:tcPr>
          <w:p w14:paraId="60F09531">
            <w:r>
              <w:rPr>
                <w:rFonts w:ascii="Calibri" w:hAnsi="Calibri"/>
                <w:sz w:val="20"/>
              </w:rPr>
              <w:t>List all analyses for the authenticated user</w:t>
            </w:r>
          </w:p>
        </w:tc>
      </w:tr>
      <w:tr w14:paraId="3AF2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EBF0F7"/>
          </w:tcPr>
          <w:p w14:paraId="45AB82D1">
            <w:r>
              <w:rPr>
                <w:rFonts w:ascii="Calibri" w:hAnsi="Calibri"/>
                <w:sz w:val="20"/>
              </w:rPr>
              <w:t>DELETE</w:t>
            </w:r>
          </w:p>
        </w:tc>
        <w:tc>
          <w:tcPr>
            <w:tcW w:w="4032" w:type="dxa"/>
            <w:shd w:val="clear" w:color="auto" w:fill="EBF0F7"/>
          </w:tcPr>
          <w:p w14:paraId="01673C9D">
            <w:r>
              <w:rPr>
                <w:rFonts w:ascii="Calibri" w:hAnsi="Calibri"/>
                <w:sz w:val="20"/>
              </w:rPr>
              <w:t>/api/analysis/{documentId}</w:t>
            </w:r>
          </w:p>
        </w:tc>
        <w:tc>
          <w:tcPr>
            <w:tcW w:w="4032" w:type="dxa"/>
            <w:shd w:val="clear" w:color="auto" w:fill="EBF0F7"/>
          </w:tcPr>
          <w:p w14:paraId="0A16FCE5">
            <w:r>
              <w:rPr>
                <w:rFonts w:ascii="Calibri" w:hAnsi="Calibri"/>
                <w:sz w:val="20"/>
              </w:rPr>
              <w:t>Delete analysis and all associated clauses/risks</w:t>
            </w:r>
          </w:p>
        </w:tc>
      </w:tr>
      <w:tr w14:paraId="07A78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99E2DD6">
            <w:r>
              <w:rPr>
                <w:rFonts w:ascii="Calibri" w:hAnsi="Calibri"/>
                <w:sz w:val="20"/>
              </w:rPr>
              <w:t>GET</w:t>
            </w:r>
          </w:p>
        </w:tc>
        <w:tc>
          <w:tcPr>
            <w:tcW w:w="4032" w:type="dxa"/>
          </w:tcPr>
          <w:p w14:paraId="78E9F329">
            <w:r>
              <w:rPr>
                <w:rFonts w:ascii="Calibri" w:hAnsi="Calibri"/>
                <w:sz w:val="20"/>
              </w:rPr>
              <w:t>/api/analysis/health</w:t>
            </w:r>
          </w:p>
        </w:tc>
        <w:tc>
          <w:tcPr>
            <w:tcW w:w="4032" w:type="dxa"/>
          </w:tcPr>
          <w:p w14:paraId="44902BAB">
            <w:r>
              <w:rPr>
                <w:rFonts w:ascii="Calibri" w:hAnsi="Calibri"/>
                <w:sz w:val="20"/>
              </w:rPr>
              <w:t>Module health-check endpoint</w:t>
            </w:r>
          </w:p>
        </w:tc>
      </w:tr>
    </w:tbl>
    <w:p w14:paraId="21989593"/>
    <w:p w14:paraId="1A15FA8F">
      <w:r>
        <w:rPr>
          <w:rFonts w:ascii="Calibri" w:hAnsi="Calibri"/>
          <w:b w:val="0"/>
          <w:i w:val="0"/>
          <w:sz w:val="22"/>
        </w:rPr>
        <w:t>Security: All endpoints are secured behind Spring Security JWT authentication. The controller resolves userId from SecurityContextHolder for multi-tenant data scoping.</w:t>
      </w:r>
    </w:p>
    <w:p w14:paraId="16BE38B3">
      <w:pPr>
        <w:pStyle w:val="3"/>
      </w:pPr>
      <w:r>
        <w:t>4.6 DTO Layer — Data Transfer Objects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760"/>
      </w:tblGrid>
      <w:tr w14:paraId="40D0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B3A6B"/>
          </w:tcPr>
          <w:p w14:paraId="39B64C49">
            <w:pPr>
              <w:jc w:val="center"/>
            </w:pPr>
            <w:r>
              <w:rPr>
                <w:rFonts w:ascii="Calibri" w:hAnsi="Calibri"/>
                <w:b/>
                <w:color w:val="FFFFFF"/>
                <w:sz w:val="20"/>
              </w:rPr>
              <w:t>DTO</w:t>
            </w:r>
          </w:p>
        </w:tc>
        <w:tc>
          <w:tcPr>
            <w:tcW w:w="5760" w:type="dxa"/>
            <w:shd w:val="clear" w:color="auto" w:fill="1B3A6B"/>
          </w:tcPr>
          <w:p w14:paraId="289AF569">
            <w:pPr>
              <w:jc w:val="center"/>
            </w:pPr>
            <w:r>
              <w:rPr>
                <w:rFonts w:ascii="Calibri" w:hAnsi="Calibri"/>
                <w:b/>
                <w:color w:val="FFFFFF"/>
                <w:sz w:val="20"/>
              </w:rPr>
              <w:t>Purpose</w:t>
            </w:r>
          </w:p>
        </w:tc>
      </w:tr>
      <w:tr w14:paraId="3B6B4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0F7"/>
          </w:tcPr>
          <w:p w14:paraId="033AB14C">
            <w:r>
              <w:rPr>
                <w:rFonts w:ascii="Calibri" w:hAnsi="Calibri"/>
                <w:sz w:val="20"/>
              </w:rPr>
              <w:t>AnalysisReportResponse</w:t>
            </w:r>
          </w:p>
        </w:tc>
        <w:tc>
          <w:tcPr>
            <w:tcW w:w="5760" w:type="dxa"/>
            <w:shd w:val="clear" w:color="auto" w:fill="EBF0F7"/>
          </w:tcPr>
          <w:p w14:paraId="4A38C343">
            <w:r>
              <w:rPr>
                <w:rFonts w:ascii="Calibri" w:hAnsi="Calibri"/>
                <w:sz w:val="20"/>
              </w:rPr>
              <w:t>Complete report: score, summary, severity breakdown, clause list, high-priority risks</w:t>
            </w:r>
          </w:p>
        </w:tc>
      </w:tr>
      <w:tr w14:paraId="3BFFC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51F8CAF5">
            <w:r>
              <w:rPr>
                <w:rFonts w:ascii="Calibri" w:hAnsi="Calibri"/>
                <w:sz w:val="20"/>
              </w:rPr>
              <w:t>ClauseDto</w:t>
            </w:r>
          </w:p>
        </w:tc>
        <w:tc>
          <w:tcPr>
            <w:tcW w:w="5760" w:type="dxa"/>
          </w:tcPr>
          <w:p w14:paraId="4758BD07">
            <w:r>
              <w:rPr>
                <w:rFonts w:ascii="Calibri" w:hAnsi="Calibri"/>
                <w:sz w:val="20"/>
              </w:rPr>
              <w:t>Clause data with embedded list of risk DTOs</w:t>
            </w:r>
          </w:p>
        </w:tc>
      </w:tr>
      <w:tr w14:paraId="0A52F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0F7"/>
          </w:tcPr>
          <w:p w14:paraId="3528960B">
            <w:r>
              <w:rPr>
                <w:rFonts w:ascii="Calibri" w:hAnsi="Calibri"/>
                <w:sz w:val="20"/>
              </w:rPr>
              <w:t>RiskDto</w:t>
            </w:r>
          </w:p>
        </w:tc>
        <w:tc>
          <w:tcPr>
            <w:tcW w:w="5760" w:type="dxa"/>
            <w:shd w:val="clear" w:color="auto" w:fill="EBF0F7"/>
          </w:tcPr>
          <w:p w14:paraId="195ED4EF">
            <w:r>
              <w:rPr>
                <w:rFonts w:ascii="Calibri" w:hAnsi="Calibri"/>
                <w:sz w:val="20"/>
              </w:rPr>
              <w:t>Individual risk flag: rule code, severity, explanation, suggestion, cited text</w:t>
            </w:r>
          </w:p>
        </w:tc>
      </w:tr>
    </w:tbl>
    <w:p w14:paraId="6C28B6DB"/>
    <w:p w14:paraId="6AF1AE41">
      <w:pPr>
        <w:pStyle w:val="2"/>
      </w:pPr>
      <w:r>
        <w:t>5. Files Contributed</w:t>
      </w:r>
    </w:p>
    <w:p w14:paraId="44B9E1FF">
      <w:pPr>
        <w:pStyle w:val="3"/>
      </w:pPr>
      <w:r>
        <w:t>5.1 Complete File Inventory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4320"/>
        <w:gridCol w:w="1872"/>
      </w:tblGrid>
      <w:tr w14:paraId="037C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B3A6B"/>
          </w:tcPr>
          <w:p w14:paraId="5D63E355">
            <w:pPr>
              <w:jc w:val="center"/>
            </w:pPr>
            <w:r>
              <w:rPr>
                <w:rFonts w:ascii="Calibri" w:hAnsi="Calibri"/>
                <w:b/>
                <w:color w:val="FFFFFF"/>
                <w:sz w:val="20"/>
              </w:rPr>
              <w:t>Layer</w:t>
            </w:r>
          </w:p>
        </w:tc>
        <w:tc>
          <w:tcPr>
            <w:tcW w:w="4320" w:type="dxa"/>
            <w:shd w:val="clear" w:color="auto" w:fill="1B3A6B"/>
          </w:tcPr>
          <w:p w14:paraId="42D864F5">
            <w:pPr>
              <w:jc w:val="center"/>
            </w:pPr>
            <w:r>
              <w:rPr>
                <w:rFonts w:ascii="Calibri" w:hAnsi="Calibri"/>
                <w:b/>
                <w:color w:val="FFFFFF"/>
                <w:sz w:val="20"/>
              </w:rPr>
              <w:t>File</w:t>
            </w:r>
          </w:p>
        </w:tc>
        <w:tc>
          <w:tcPr>
            <w:tcW w:w="1872" w:type="dxa"/>
            <w:shd w:val="clear" w:color="auto" w:fill="1B3A6B"/>
          </w:tcPr>
          <w:p w14:paraId="24A3F0F7">
            <w:pPr>
              <w:jc w:val="center"/>
            </w:pPr>
            <w:r>
              <w:rPr>
                <w:rFonts w:ascii="Calibri" w:hAnsi="Calibri"/>
                <w:b/>
                <w:color w:val="FFFFFF"/>
                <w:sz w:val="20"/>
              </w:rPr>
              <w:t>Lines of Code</w:t>
            </w:r>
          </w:p>
        </w:tc>
      </w:tr>
      <w:tr w14:paraId="5722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55F26AEA">
            <w:r>
              <w:rPr>
                <w:rFonts w:ascii="Calibri" w:hAnsi="Calibri"/>
                <w:sz w:val="20"/>
              </w:rPr>
              <w:t>Model</w:t>
            </w:r>
          </w:p>
        </w:tc>
        <w:tc>
          <w:tcPr>
            <w:tcW w:w="4320" w:type="dxa"/>
            <w:shd w:val="clear" w:color="auto" w:fill="EBF0F7"/>
          </w:tcPr>
          <w:p w14:paraId="6B73BE78">
            <w:r>
              <w:rPr>
                <w:rFonts w:ascii="Calibri" w:hAnsi="Calibri"/>
                <w:sz w:val="20"/>
              </w:rPr>
              <w:t>Analysis.java</w:t>
            </w:r>
          </w:p>
        </w:tc>
        <w:tc>
          <w:tcPr>
            <w:tcW w:w="1872" w:type="dxa"/>
            <w:shd w:val="clear" w:color="auto" w:fill="EBF0F7"/>
          </w:tcPr>
          <w:p w14:paraId="76A9D0BF">
            <w:r>
              <w:rPr>
                <w:rFonts w:ascii="Calibri" w:hAnsi="Calibri"/>
                <w:sz w:val="20"/>
              </w:rPr>
              <w:t>127</w:t>
            </w:r>
          </w:p>
        </w:tc>
      </w:tr>
      <w:tr w14:paraId="74C3F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B9CE614">
            <w:r>
              <w:rPr>
                <w:rFonts w:ascii="Calibri" w:hAnsi="Calibri"/>
                <w:sz w:val="20"/>
              </w:rPr>
              <w:t>Model</w:t>
            </w:r>
          </w:p>
        </w:tc>
        <w:tc>
          <w:tcPr>
            <w:tcW w:w="4320" w:type="dxa"/>
          </w:tcPr>
          <w:p w14:paraId="2AC35EDB">
            <w:r>
              <w:rPr>
                <w:rFonts w:ascii="Calibri" w:hAnsi="Calibri"/>
                <w:sz w:val="20"/>
              </w:rPr>
              <w:t>Clause.java</w:t>
            </w:r>
          </w:p>
        </w:tc>
        <w:tc>
          <w:tcPr>
            <w:tcW w:w="1872" w:type="dxa"/>
          </w:tcPr>
          <w:p w14:paraId="25356A58">
            <w:r>
              <w:rPr>
                <w:rFonts w:ascii="Calibri" w:hAnsi="Calibri"/>
                <w:sz w:val="20"/>
              </w:rPr>
              <w:t>92</w:t>
            </w:r>
          </w:p>
        </w:tc>
      </w:tr>
      <w:tr w14:paraId="3759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3F940395">
            <w:r>
              <w:rPr>
                <w:rFonts w:ascii="Calibri" w:hAnsi="Calibri"/>
                <w:sz w:val="20"/>
              </w:rPr>
              <w:t>Model</w:t>
            </w:r>
          </w:p>
        </w:tc>
        <w:tc>
          <w:tcPr>
            <w:tcW w:w="4320" w:type="dxa"/>
            <w:shd w:val="clear" w:color="auto" w:fill="EBF0F7"/>
          </w:tcPr>
          <w:p w14:paraId="10AB4576">
            <w:r>
              <w:rPr>
                <w:rFonts w:ascii="Calibri" w:hAnsi="Calibri"/>
                <w:sz w:val="20"/>
              </w:rPr>
              <w:t>Risk.java</w:t>
            </w:r>
          </w:p>
        </w:tc>
        <w:tc>
          <w:tcPr>
            <w:tcW w:w="1872" w:type="dxa"/>
            <w:shd w:val="clear" w:color="auto" w:fill="EBF0F7"/>
          </w:tcPr>
          <w:p w14:paraId="3DABEA50">
            <w:r>
              <w:rPr>
                <w:rFonts w:ascii="Calibri" w:hAnsi="Calibri"/>
                <w:sz w:val="20"/>
              </w:rPr>
              <w:t>117</w:t>
            </w:r>
          </w:p>
        </w:tc>
      </w:tr>
      <w:tr w14:paraId="18DE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7A3476A">
            <w:r>
              <w:rPr>
                <w:rFonts w:ascii="Calibri" w:hAnsi="Calibri"/>
                <w:sz w:val="20"/>
              </w:rPr>
              <w:t>Enum</w:t>
            </w:r>
          </w:p>
        </w:tc>
        <w:tc>
          <w:tcPr>
            <w:tcW w:w="4320" w:type="dxa"/>
          </w:tcPr>
          <w:p w14:paraId="2FEF7CAE">
            <w:r>
              <w:rPr>
                <w:rFonts w:ascii="Calibri" w:hAnsi="Calibri"/>
                <w:sz w:val="20"/>
              </w:rPr>
              <w:t>DocType.java</w:t>
            </w:r>
          </w:p>
        </w:tc>
        <w:tc>
          <w:tcPr>
            <w:tcW w:w="1872" w:type="dxa"/>
          </w:tcPr>
          <w:p w14:paraId="3E30FFAD">
            <w:r>
              <w:rPr>
                <w:rFonts w:ascii="Calibri" w:hAnsi="Calibri"/>
                <w:sz w:val="20"/>
              </w:rPr>
              <w:t>41</w:t>
            </w:r>
          </w:p>
        </w:tc>
      </w:tr>
      <w:tr w14:paraId="78A67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3ACE7584">
            <w:r>
              <w:rPr>
                <w:rFonts w:ascii="Calibri" w:hAnsi="Calibri"/>
                <w:sz w:val="20"/>
              </w:rPr>
              <w:t>Enum</w:t>
            </w:r>
          </w:p>
        </w:tc>
        <w:tc>
          <w:tcPr>
            <w:tcW w:w="4320" w:type="dxa"/>
            <w:shd w:val="clear" w:color="auto" w:fill="EBF0F7"/>
          </w:tcPr>
          <w:p w14:paraId="2ECEB77D">
            <w:r>
              <w:rPr>
                <w:rFonts w:ascii="Calibri" w:hAnsi="Calibri"/>
                <w:sz w:val="20"/>
              </w:rPr>
              <w:t>Severity.java</w:t>
            </w:r>
          </w:p>
        </w:tc>
        <w:tc>
          <w:tcPr>
            <w:tcW w:w="1872" w:type="dxa"/>
            <w:shd w:val="clear" w:color="auto" w:fill="EBF0F7"/>
          </w:tcPr>
          <w:p w14:paraId="4E15AFC5">
            <w:r>
              <w:rPr>
                <w:rFonts w:ascii="Calibri" w:hAnsi="Calibri"/>
                <w:sz w:val="20"/>
              </w:rPr>
              <w:t>47</w:t>
            </w:r>
          </w:p>
        </w:tc>
      </w:tr>
      <w:tr w14:paraId="4CA0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225AC5F">
            <w:r>
              <w:rPr>
                <w:rFonts w:ascii="Calibri" w:hAnsi="Calibri"/>
                <w:sz w:val="20"/>
              </w:rPr>
              <w:t>Enum</w:t>
            </w:r>
          </w:p>
        </w:tc>
        <w:tc>
          <w:tcPr>
            <w:tcW w:w="4320" w:type="dxa"/>
          </w:tcPr>
          <w:p w14:paraId="5F95E1F0">
            <w:r>
              <w:rPr>
                <w:rFonts w:ascii="Calibri" w:hAnsi="Calibri"/>
                <w:sz w:val="20"/>
              </w:rPr>
              <w:t>AnalysisStatus.java</w:t>
            </w:r>
          </w:p>
        </w:tc>
        <w:tc>
          <w:tcPr>
            <w:tcW w:w="1872" w:type="dxa"/>
          </w:tcPr>
          <w:p w14:paraId="4061A2F9">
            <w:r>
              <w:rPr>
                <w:rFonts w:ascii="Calibri" w:hAnsi="Calibri"/>
                <w:sz w:val="20"/>
              </w:rPr>
              <w:t>21</w:t>
            </w:r>
          </w:p>
        </w:tc>
      </w:tr>
      <w:tr w14:paraId="177C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37647ABF">
            <w:r>
              <w:rPr>
                <w:rFonts w:ascii="Calibri" w:hAnsi="Calibri"/>
                <w:sz w:val="20"/>
              </w:rPr>
              <w:t>Service</w:t>
            </w:r>
          </w:p>
        </w:tc>
        <w:tc>
          <w:tcPr>
            <w:tcW w:w="4320" w:type="dxa"/>
            <w:shd w:val="clear" w:color="auto" w:fill="EBF0F7"/>
          </w:tcPr>
          <w:p w14:paraId="542B7CC4">
            <w:r>
              <w:rPr>
                <w:rFonts w:ascii="Calibri" w:hAnsi="Calibri"/>
                <w:sz w:val="20"/>
              </w:rPr>
              <w:t>AnalysisService.java</w:t>
            </w:r>
          </w:p>
        </w:tc>
        <w:tc>
          <w:tcPr>
            <w:tcW w:w="1872" w:type="dxa"/>
            <w:shd w:val="clear" w:color="auto" w:fill="EBF0F7"/>
          </w:tcPr>
          <w:p w14:paraId="0CA13CA2">
            <w:r>
              <w:rPr>
                <w:rFonts w:ascii="Calibri" w:hAnsi="Calibri"/>
                <w:sz w:val="20"/>
              </w:rPr>
              <w:t>461</w:t>
            </w:r>
          </w:p>
        </w:tc>
      </w:tr>
      <w:tr w14:paraId="32A9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D897EC8">
            <w:r>
              <w:rPr>
                <w:rFonts w:ascii="Calibri" w:hAnsi="Calibri"/>
                <w:sz w:val="20"/>
              </w:rPr>
              <w:t>Service</w:t>
            </w:r>
          </w:p>
        </w:tc>
        <w:tc>
          <w:tcPr>
            <w:tcW w:w="4320" w:type="dxa"/>
          </w:tcPr>
          <w:p w14:paraId="21B21D66">
            <w:r>
              <w:rPr>
                <w:rFonts w:ascii="Calibri" w:hAnsi="Calibri"/>
                <w:sz w:val="20"/>
              </w:rPr>
              <w:t>ClassificationService.java</w:t>
            </w:r>
          </w:p>
        </w:tc>
        <w:tc>
          <w:tcPr>
            <w:tcW w:w="1872" w:type="dxa"/>
          </w:tcPr>
          <w:p w14:paraId="781E3685">
            <w:r>
              <w:rPr>
                <w:rFonts w:ascii="Calibri" w:hAnsi="Calibri"/>
                <w:sz w:val="20"/>
              </w:rPr>
              <w:t>109</w:t>
            </w:r>
          </w:p>
        </w:tc>
      </w:tr>
      <w:tr w14:paraId="406C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46A0934A">
            <w:r>
              <w:rPr>
                <w:rFonts w:ascii="Calibri" w:hAnsi="Calibri"/>
                <w:sz w:val="20"/>
              </w:rPr>
              <w:t>Service</w:t>
            </w:r>
          </w:p>
        </w:tc>
        <w:tc>
          <w:tcPr>
            <w:tcW w:w="4320" w:type="dxa"/>
            <w:shd w:val="clear" w:color="auto" w:fill="EBF0F7"/>
          </w:tcPr>
          <w:p w14:paraId="697EFEAB">
            <w:r>
              <w:rPr>
                <w:rFonts w:ascii="Calibri" w:hAnsi="Calibri"/>
                <w:sz w:val="20"/>
              </w:rPr>
              <w:t>RiskService.java</w:t>
            </w:r>
          </w:p>
        </w:tc>
        <w:tc>
          <w:tcPr>
            <w:tcW w:w="1872" w:type="dxa"/>
            <w:shd w:val="clear" w:color="auto" w:fill="EBF0F7"/>
          </w:tcPr>
          <w:p w14:paraId="66DB0E89">
            <w:r>
              <w:rPr>
                <w:rFonts w:ascii="Calibri" w:hAnsi="Calibri"/>
                <w:sz w:val="20"/>
              </w:rPr>
              <w:t>394</w:t>
            </w:r>
          </w:p>
        </w:tc>
      </w:tr>
      <w:tr w14:paraId="3EB2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4DB6524">
            <w:r>
              <w:rPr>
                <w:rFonts w:ascii="Calibri" w:hAnsi="Calibri"/>
                <w:sz w:val="20"/>
              </w:rPr>
              <w:t>Repository</w:t>
            </w:r>
          </w:p>
        </w:tc>
        <w:tc>
          <w:tcPr>
            <w:tcW w:w="4320" w:type="dxa"/>
          </w:tcPr>
          <w:p w14:paraId="59E80AEA">
            <w:r>
              <w:rPr>
                <w:rFonts w:ascii="Calibri" w:hAnsi="Calibri"/>
                <w:sz w:val="20"/>
              </w:rPr>
              <w:t>AnalysisResultRepository.java</w:t>
            </w:r>
          </w:p>
        </w:tc>
        <w:tc>
          <w:tcPr>
            <w:tcW w:w="1872" w:type="dxa"/>
          </w:tcPr>
          <w:p w14:paraId="5080C727">
            <w:r>
              <w:rPr>
                <w:rFonts w:ascii="Calibri" w:hAnsi="Calibri"/>
                <w:sz w:val="20"/>
              </w:rPr>
              <w:t>36</w:t>
            </w:r>
          </w:p>
        </w:tc>
      </w:tr>
      <w:tr w14:paraId="1E32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5C74A8AD">
            <w:r>
              <w:rPr>
                <w:rFonts w:ascii="Calibri" w:hAnsi="Calibri"/>
                <w:sz w:val="20"/>
              </w:rPr>
              <w:t>Repository</w:t>
            </w:r>
          </w:p>
        </w:tc>
        <w:tc>
          <w:tcPr>
            <w:tcW w:w="4320" w:type="dxa"/>
            <w:shd w:val="clear" w:color="auto" w:fill="EBF0F7"/>
          </w:tcPr>
          <w:p w14:paraId="08EE8BE1">
            <w:r>
              <w:rPr>
                <w:rFonts w:ascii="Calibri" w:hAnsi="Calibri"/>
                <w:sz w:val="20"/>
              </w:rPr>
              <w:t>ClauseRepository.java</w:t>
            </w:r>
          </w:p>
        </w:tc>
        <w:tc>
          <w:tcPr>
            <w:tcW w:w="1872" w:type="dxa"/>
            <w:shd w:val="clear" w:color="auto" w:fill="EBF0F7"/>
          </w:tcPr>
          <w:p w14:paraId="4CD333C4">
            <w:r>
              <w:rPr>
                <w:rFonts w:ascii="Calibri" w:hAnsi="Calibri"/>
                <w:sz w:val="20"/>
              </w:rPr>
              <w:t>28</w:t>
            </w:r>
          </w:p>
        </w:tc>
      </w:tr>
      <w:tr w14:paraId="31159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923CE89">
            <w:r>
              <w:rPr>
                <w:rFonts w:ascii="Calibri" w:hAnsi="Calibri"/>
                <w:sz w:val="20"/>
              </w:rPr>
              <w:t>Repository</w:t>
            </w:r>
          </w:p>
        </w:tc>
        <w:tc>
          <w:tcPr>
            <w:tcW w:w="4320" w:type="dxa"/>
          </w:tcPr>
          <w:p w14:paraId="2BDEF4AB">
            <w:r>
              <w:rPr>
                <w:rFonts w:ascii="Calibri" w:hAnsi="Calibri"/>
                <w:sz w:val="20"/>
              </w:rPr>
              <w:t>RiskRepository.java</w:t>
            </w:r>
          </w:p>
        </w:tc>
        <w:tc>
          <w:tcPr>
            <w:tcW w:w="1872" w:type="dxa"/>
          </w:tcPr>
          <w:p w14:paraId="14531D7E">
            <w:r>
              <w:rPr>
                <w:rFonts w:ascii="Calibri" w:hAnsi="Calibri"/>
                <w:sz w:val="20"/>
              </w:rPr>
              <w:t>35</w:t>
            </w:r>
          </w:p>
        </w:tc>
      </w:tr>
      <w:tr w14:paraId="5649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682470BC">
            <w:r>
              <w:rPr>
                <w:rFonts w:ascii="Calibri" w:hAnsi="Calibri"/>
                <w:sz w:val="20"/>
              </w:rPr>
              <w:t>Controller</w:t>
            </w:r>
          </w:p>
        </w:tc>
        <w:tc>
          <w:tcPr>
            <w:tcW w:w="4320" w:type="dxa"/>
            <w:shd w:val="clear" w:color="auto" w:fill="EBF0F7"/>
          </w:tcPr>
          <w:p w14:paraId="22A0CD61">
            <w:r>
              <w:rPr>
                <w:rFonts w:ascii="Calibri" w:hAnsi="Calibri"/>
                <w:sz w:val="20"/>
              </w:rPr>
              <w:t>AnalysisController.java</w:t>
            </w:r>
          </w:p>
        </w:tc>
        <w:tc>
          <w:tcPr>
            <w:tcW w:w="1872" w:type="dxa"/>
            <w:shd w:val="clear" w:color="auto" w:fill="EBF0F7"/>
          </w:tcPr>
          <w:p w14:paraId="77F5D1D2">
            <w:r>
              <w:rPr>
                <w:rFonts w:ascii="Calibri" w:hAnsi="Calibri"/>
                <w:sz w:val="20"/>
              </w:rPr>
              <w:t>192</w:t>
            </w:r>
          </w:p>
        </w:tc>
      </w:tr>
      <w:tr w14:paraId="53B8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8800300">
            <w:r>
              <w:rPr>
                <w:rFonts w:ascii="Calibri" w:hAnsi="Calibri"/>
                <w:sz w:val="20"/>
              </w:rPr>
              <w:t>DTO</w:t>
            </w:r>
          </w:p>
        </w:tc>
        <w:tc>
          <w:tcPr>
            <w:tcW w:w="4320" w:type="dxa"/>
          </w:tcPr>
          <w:p w14:paraId="2EB8B427">
            <w:r>
              <w:rPr>
                <w:rFonts w:ascii="Calibri" w:hAnsi="Calibri"/>
                <w:sz w:val="20"/>
              </w:rPr>
              <w:t>AnalysisReportResponse.java</w:t>
            </w:r>
          </w:p>
        </w:tc>
        <w:tc>
          <w:tcPr>
            <w:tcW w:w="1872" w:type="dxa"/>
          </w:tcPr>
          <w:p w14:paraId="660ACF7E">
            <w:r>
              <w:rPr>
                <w:rFonts w:ascii="Calibri" w:hAnsi="Calibri"/>
                <w:sz w:val="20"/>
              </w:rPr>
              <w:t>134</w:t>
            </w:r>
          </w:p>
        </w:tc>
      </w:tr>
      <w:tr w14:paraId="0345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11BA08CB">
            <w:r>
              <w:rPr>
                <w:rFonts w:ascii="Calibri" w:hAnsi="Calibri"/>
                <w:sz w:val="20"/>
              </w:rPr>
              <w:t>DTO</w:t>
            </w:r>
          </w:p>
        </w:tc>
        <w:tc>
          <w:tcPr>
            <w:tcW w:w="4320" w:type="dxa"/>
            <w:shd w:val="clear" w:color="auto" w:fill="EBF0F7"/>
          </w:tcPr>
          <w:p w14:paraId="10724F34">
            <w:r>
              <w:rPr>
                <w:rFonts w:ascii="Calibri" w:hAnsi="Calibri"/>
                <w:sz w:val="20"/>
              </w:rPr>
              <w:t>ClauseDto.java</w:t>
            </w:r>
          </w:p>
        </w:tc>
        <w:tc>
          <w:tcPr>
            <w:tcW w:w="1872" w:type="dxa"/>
            <w:shd w:val="clear" w:color="auto" w:fill="EBF0F7"/>
          </w:tcPr>
          <w:p w14:paraId="32E45F2F">
            <w:r>
              <w:rPr>
                <w:rFonts w:ascii="Calibri" w:hAnsi="Calibri"/>
                <w:sz w:val="20"/>
              </w:rPr>
              <w:t>42</w:t>
            </w:r>
          </w:p>
        </w:tc>
      </w:tr>
      <w:tr w14:paraId="4064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3280365">
            <w:r>
              <w:rPr>
                <w:rFonts w:ascii="Calibri" w:hAnsi="Calibri"/>
                <w:sz w:val="20"/>
              </w:rPr>
              <w:t>DTO</w:t>
            </w:r>
          </w:p>
        </w:tc>
        <w:tc>
          <w:tcPr>
            <w:tcW w:w="4320" w:type="dxa"/>
          </w:tcPr>
          <w:p w14:paraId="42A3E167">
            <w:r>
              <w:rPr>
                <w:rFonts w:ascii="Calibri" w:hAnsi="Calibri"/>
                <w:sz w:val="20"/>
              </w:rPr>
              <w:t>RiskDto.java</w:t>
            </w:r>
          </w:p>
        </w:tc>
        <w:tc>
          <w:tcPr>
            <w:tcW w:w="1872" w:type="dxa"/>
          </w:tcPr>
          <w:p w14:paraId="1821377E">
            <w:r>
              <w:rPr>
                <w:rFonts w:ascii="Calibri" w:hAnsi="Calibri"/>
                <w:sz w:val="20"/>
              </w:rPr>
              <w:t>46</w:t>
            </w:r>
          </w:p>
        </w:tc>
      </w:tr>
      <w:tr w14:paraId="0A64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12FBE6C5">
            <w:r>
              <w:rPr>
                <w:rFonts w:ascii="Calibri" w:hAnsi="Calibri"/>
                <w:sz w:val="20"/>
              </w:rPr>
              <w:t>Test</w:t>
            </w:r>
          </w:p>
        </w:tc>
        <w:tc>
          <w:tcPr>
            <w:tcW w:w="4320" w:type="dxa"/>
            <w:shd w:val="clear" w:color="auto" w:fill="EBF0F7"/>
          </w:tcPr>
          <w:p w14:paraId="2B181A00">
            <w:r>
              <w:rPr>
                <w:rFonts w:ascii="Calibri" w:hAnsi="Calibri"/>
                <w:sz w:val="20"/>
              </w:rPr>
              <w:t>AnalysisServiceTest.java</w:t>
            </w:r>
          </w:p>
        </w:tc>
        <w:tc>
          <w:tcPr>
            <w:tcW w:w="1872" w:type="dxa"/>
            <w:shd w:val="clear" w:color="auto" w:fill="EBF0F7"/>
          </w:tcPr>
          <w:p w14:paraId="3DCAC3AC">
            <w:r>
              <w:rPr>
                <w:rFonts w:ascii="Calibri" w:hAnsi="Calibri"/>
                <w:sz w:val="20"/>
              </w:rPr>
              <w:t>280</w:t>
            </w:r>
          </w:p>
        </w:tc>
      </w:tr>
      <w:tr w14:paraId="247E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BBB526B">
            <w:r>
              <w:rPr>
                <w:rFonts w:ascii="Calibri" w:hAnsi="Calibri"/>
                <w:sz w:val="20"/>
              </w:rPr>
              <w:t>Test</w:t>
            </w:r>
          </w:p>
        </w:tc>
        <w:tc>
          <w:tcPr>
            <w:tcW w:w="4320" w:type="dxa"/>
          </w:tcPr>
          <w:p w14:paraId="789B2872">
            <w:r>
              <w:rPr>
                <w:rFonts w:ascii="Calibri" w:hAnsi="Calibri"/>
                <w:sz w:val="20"/>
              </w:rPr>
              <w:t>ClassificationServiceTest.java</w:t>
            </w:r>
          </w:p>
        </w:tc>
        <w:tc>
          <w:tcPr>
            <w:tcW w:w="1872" w:type="dxa"/>
          </w:tcPr>
          <w:p w14:paraId="2BD538A7">
            <w:r>
              <w:rPr>
                <w:rFonts w:ascii="Calibri" w:hAnsi="Calibri"/>
                <w:sz w:val="20"/>
              </w:rPr>
              <w:t>133</w:t>
            </w:r>
          </w:p>
        </w:tc>
      </w:tr>
      <w:tr w14:paraId="62664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5A2224D5">
            <w:r>
              <w:rPr>
                <w:rFonts w:ascii="Calibri" w:hAnsi="Calibri"/>
                <w:sz w:val="20"/>
              </w:rPr>
              <w:t>Test</w:t>
            </w:r>
          </w:p>
        </w:tc>
        <w:tc>
          <w:tcPr>
            <w:tcW w:w="4320" w:type="dxa"/>
            <w:shd w:val="clear" w:color="auto" w:fill="EBF0F7"/>
          </w:tcPr>
          <w:p w14:paraId="10A7C7D4">
            <w:r>
              <w:rPr>
                <w:rFonts w:ascii="Calibri" w:hAnsi="Calibri"/>
                <w:sz w:val="20"/>
              </w:rPr>
              <w:t>RiskServiceTest.java</w:t>
            </w:r>
          </w:p>
        </w:tc>
        <w:tc>
          <w:tcPr>
            <w:tcW w:w="1872" w:type="dxa"/>
            <w:shd w:val="clear" w:color="auto" w:fill="EBF0F7"/>
          </w:tcPr>
          <w:p w14:paraId="65CCAC34">
            <w:r>
              <w:rPr>
                <w:rFonts w:ascii="Calibri" w:hAnsi="Calibri"/>
                <w:sz w:val="20"/>
              </w:rPr>
              <w:t>283</w:t>
            </w:r>
          </w:p>
        </w:tc>
      </w:tr>
      <w:tr w14:paraId="5207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FC32160">
            <w:r>
              <w:rPr>
                <w:rFonts w:ascii="Calibri" w:hAnsi="Calibri"/>
                <w:sz w:val="20"/>
              </w:rPr>
              <w:t>Docs</w:t>
            </w:r>
          </w:p>
        </w:tc>
        <w:tc>
          <w:tcPr>
            <w:tcW w:w="4320" w:type="dxa"/>
          </w:tcPr>
          <w:p w14:paraId="56A3EA00">
            <w:r>
              <w:rPr>
                <w:rFonts w:ascii="Calibri" w:hAnsi="Calibri"/>
                <w:sz w:val="20"/>
              </w:rPr>
              <w:t>README.md (module section)</w:t>
            </w:r>
          </w:p>
        </w:tc>
        <w:tc>
          <w:tcPr>
            <w:tcW w:w="1872" w:type="dxa"/>
          </w:tcPr>
          <w:p w14:paraId="2A6D3C31">
            <w:r>
              <w:rPr>
                <w:rFonts w:ascii="Calibri" w:hAnsi="Calibri"/>
                <w:sz w:val="20"/>
              </w:rPr>
              <w:t>172+</w:t>
            </w:r>
          </w:p>
        </w:tc>
      </w:tr>
      <w:tr w14:paraId="2B49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7A4C20A8">
            <w:r>
              <w:rPr>
                <w:rFonts w:ascii="Calibri" w:hAnsi="Calibri"/>
                <w:sz w:val="20"/>
              </w:rPr>
              <w:t>Docs</w:t>
            </w:r>
          </w:p>
        </w:tc>
        <w:tc>
          <w:tcPr>
            <w:tcW w:w="4320" w:type="dxa"/>
            <w:shd w:val="clear" w:color="auto" w:fill="EBF0F7"/>
          </w:tcPr>
          <w:p w14:paraId="68E36B17">
            <w:r>
              <w:rPr>
                <w:rFonts w:ascii="Calibri" w:hAnsi="Calibri"/>
                <w:sz w:val="20"/>
              </w:rPr>
              <w:t>Software_Requirements_Specification.md</w:t>
            </w:r>
          </w:p>
        </w:tc>
        <w:tc>
          <w:tcPr>
            <w:tcW w:w="1872" w:type="dxa"/>
            <w:shd w:val="clear" w:color="auto" w:fill="EBF0F7"/>
          </w:tcPr>
          <w:p w14:paraId="1770F972">
            <w:r>
              <w:rPr>
                <w:rFonts w:ascii="Calibri" w:hAnsi="Calibri"/>
                <w:sz w:val="20"/>
              </w:rPr>
              <w:t>328</w:t>
            </w:r>
          </w:p>
        </w:tc>
      </w:tr>
      <w:tr w14:paraId="1643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B05E080">
            <w:r>
              <w:rPr>
                <w:rFonts w:ascii="Calibri" w:hAnsi="Calibri"/>
                <w:sz w:val="20"/>
              </w:rPr>
              <w:t>Docs</w:t>
            </w:r>
          </w:p>
        </w:tc>
        <w:tc>
          <w:tcPr>
            <w:tcW w:w="4320" w:type="dxa"/>
          </w:tcPr>
          <w:p w14:paraId="679873E7">
            <w:r>
              <w:rPr>
                <w:rFonts w:ascii="Calibri" w:hAnsi="Calibri"/>
                <w:sz w:val="20"/>
              </w:rPr>
              <w:t>SRS.pdf</w:t>
            </w:r>
          </w:p>
        </w:tc>
        <w:tc>
          <w:tcPr>
            <w:tcW w:w="1872" w:type="dxa"/>
          </w:tcPr>
          <w:p w14:paraId="1585067C">
            <w:r>
              <w:rPr>
                <w:rFonts w:ascii="Calibri" w:hAnsi="Calibri"/>
                <w:sz w:val="20"/>
              </w:rPr>
              <w:t>Generated</w:t>
            </w:r>
          </w:p>
        </w:tc>
      </w:tr>
      <w:tr w14:paraId="23C3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6C88D978">
            <w:r>
              <w:rPr>
                <w:rFonts w:ascii="Calibri" w:hAnsi="Calibri"/>
                <w:sz w:val="20"/>
              </w:rPr>
              <w:t>Scripts</w:t>
            </w:r>
          </w:p>
        </w:tc>
        <w:tc>
          <w:tcPr>
            <w:tcW w:w="4320" w:type="dxa"/>
            <w:shd w:val="clear" w:color="auto" w:fill="EBF0F7"/>
          </w:tcPr>
          <w:p w14:paraId="696BBF18">
            <w:r>
              <w:rPr>
                <w:rFonts w:ascii="Calibri" w:hAnsi="Calibri"/>
                <w:sz w:val="20"/>
              </w:rPr>
              <w:t>generate_srs.py</w:t>
            </w:r>
          </w:p>
        </w:tc>
        <w:tc>
          <w:tcPr>
            <w:tcW w:w="1872" w:type="dxa"/>
            <w:shd w:val="clear" w:color="auto" w:fill="EBF0F7"/>
          </w:tcPr>
          <w:p w14:paraId="5407E33D">
            <w:r>
              <w:rPr>
                <w:rFonts w:ascii="Calibri" w:hAnsi="Calibri"/>
                <w:sz w:val="20"/>
              </w:rPr>
              <w:t>602</w:t>
            </w:r>
          </w:p>
        </w:tc>
      </w:tr>
      <w:tr w14:paraId="2AC9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621C672"/>
        </w:tc>
        <w:tc>
          <w:tcPr>
            <w:tcW w:w="4320" w:type="dxa"/>
          </w:tcPr>
          <w:p w14:paraId="0801D8C9"/>
        </w:tc>
        <w:tc>
          <w:tcPr>
            <w:tcW w:w="1872" w:type="dxa"/>
          </w:tcPr>
          <w:p w14:paraId="21A84B30"/>
        </w:tc>
      </w:tr>
      <w:tr w14:paraId="6455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27C3443C">
            <w:r>
              <w:rPr>
                <w:rFonts w:ascii="Calibri" w:hAnsi="Calibri"/>
                <w:sz w:val="20"/>
              </w:rPr>
              <w:t>TOTAL</w:t>
            </w:r>
          </w:p>
        </w:tc>
        <w:tc>
          <w:tcPr>
            <w:tcW w:w="4320" w:type="dxa"/>
            <w:shd w:val="clear" w:color="auto" w:fill="EBF0F7"/>
          </w:tcPr>
          <w:p w14:paraId="1D1670BC"/>
        </w:tc>
        <w:tc>
          <w:tcPr>
            <w:tcW w:w="1872" w:type="dxa"/>
            <w:shd w:val="clear" w:color="auto" w:fill="EBF0F7"/>
          </w:tcPr>
          <w:p w14:paraId="56EA45C7">
            <w:r>
              <w:rPr>
                <w:rFonts w:ascii="Calibri" w:hAnsi="Calibri"/>
                <w:sz w:val="20"/>
              </w:rPr>
              <w:t>~3,700+</w:t>
            </w:r>
          </w:p>
        </w:tc>
      </w:tr>
    </w:tbl>
    <w:p w14:paraId="0AE1A08F"/>
    <w:p w14:paraId="758012C9">
      <w:pPr>
        <w:pStyle w:val="3"/>
      </w:pPr>
      <w:r>
        <w:t>5.2 Git Commit History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6192"/>
      </w:tblGrid>
      <w:tr w14:paraId="709D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B3A6B"/>
          </w:tcPr>
          <w:p w14:paraId="445A9876">
            <w:pPr>
              <w:jc w:val="center"/>
            </w:pPr>
            <w:r>
              <w:rPr>
                <w:rFonts w:ascii="Calibri" w:hAnsi="Calibri"/>
                <w:b/>
                <w:color w:val="FFFFFF"/>
                <w:sz w:val="20"/>
              </w:rPr>
              <w:t>Date</w:t>
            </w:r>
          </w:p>
        </w:tc>
        <w:tc>
          <w:tcPr>
            <w:tcW w:w="1440" w:type="dxa"/>
            <w:shd w:val="clear" w:color="auto" w:fill="1B3A6B"/>
          </w:tcPr>
          <w:p w14:paraId="658FD83E">
            <w:pPr>
              <w:jc w:val="center"/>
            </w:pPr>
            <w:r>
              <w:rPr>
                <w:rFonts w:ascii="Calibri" w:hAnsi="Calibri"/>
                <w:b/>
                <w:color w:val="FFFFFF"/>
                <w:sz w:val="20"/>
              </w:rPr>
              <w:t>Commit Hash</w:t>
            </w:r>
          </w:p>
        </w:tc>
        <w:tc>
          <w:tcPr>
            <w:tcW w:w="6192" w:type="dxa"/>
            <w:shd w:val="clear" w:color="auto" w:fill="1B3A6B"/>
          </w:tcPr>
          <w:p w14:paraId="17D25F9F">
            <w:pPr>
              <w:jc w:val="center"/>
            </w:pPr>
            <w:r>
              <w:rPr>
                <w:rFonts w:ascii="Calibri" w:hAnsi="Calibri"/>
                <w:b/>
                <w:color w:val="FFFFFF"/>
                <w:sz w:val="20"/>
              </w:rPr>
              <w:t>Message</w:t>
            </w:r>
          </w:p>
        </w:tc>
      </w:tr>
      <w:tr w14:paraId="2C33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BF0F7"/>
          </w:tcPr>
          <w:p w14:paraId="6233A138">
            <w:r>
              <w:rPr>
                <w:rFonts w:ascii="Calibri" w:hAnsi="Calibri"/>
                <w:sz w:val="20"/>
              </w:rPr>
              <w:t>2026-10-06</w:t>
            </w:r>
          </w:p>
        </w:tc>
        <w:tc>
          <w:tcPr>
            <w:tcW w:w="1440" w:type="dxa"/>
            <w:shd w:val="clear" w:color="auto" w:fill="EBF0F7"/>
          </w:tcPr>
          <w:p w14:paraId="41158D9D">
            <w:r>
              <w:rPr>
                <w:rFonts w:ascii="Calibri" w:hAnsi="Calibri"/>
                <w:sz w:val="20"/>
              </w:rPr>
              <w:t>ca73684</w:t>
            </w:r>
          </w:p>
        </w:tc>
        <w:tc>
          <w:tcPr>
            <w:tcW w:w="6192" w:type="dxa"/>
            <w:shd w:val="clear" w:color="auto" w:fill="EBF0F7"/>
          </w:tcPr>
          <w:p w14:paraId="645635A3">
            <w:r>
              <w:rPr>
                <w:rFonts w:ascii="Calibri" w:hAnsi="Calibri"/>
                <w:sz w:val="20"/>
              </w:rPr>
              <w:t>docs: add official Software Requirements Specification (SRS) and configure dilip feature branch README</w:t>
            </w:r>
          </w:p>
        </w:tc>
      </w:tr>
      <w:tr w14:paraId="0270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7D80D22">
            <w:r>
              <w:rPr>
                <w:rFonts w:ascii="Calibri" w:hAnsi="Calibri"/>
                <w:sz w:val="20"/>
              </w:rPr>
              <w:t>2026-10-07</w:t>
            </w:r>
          </w:p>
        </w:tc>
        <w:tc>
          <w:tcPr>
            <w:tcW w:w="1440" w:type="dxa"/>
          </w:tcPr>
          <w:p w14:paraId="4569E8F8">
            <w:r>
              <w:rPr>
                <w:rFonts w:ascii="Calibri" w:hAnsi="Calibri"/>
                <w:sz w:val="20"/>
              </w:rPr>
              <w:t>c4b3dfd</w:t>
            </w:r>
          </w:p>
        </w:tc>
        <w:tc>
          <w:tcPr>
            <w:tcW w:w="6192" w:type="dxa"/>
          </w:tcPr>
          <w:p w14:paraId="17409C45">
            <w:r>
              <w:rPr>
                <w:rFonts w:ascii="Calibri" w:hAnsi="Calibri"/>
                <w:sz w:val="20"/>
              </w:rPr>
              <w:t>feat(analysis): implement Dilip's Legal Analysis and Risk Detection module</w:t>
            </w:r>
          </w:p>
        </w:tc>
      </w:tr>
    </w:tbl>
    <w:p w14:paraId="75A2EF44"/>
    <w:p w14:paraId="6C75AEB0">
      <w:pPr>
        <w:pStyle w:val="2"/>
      </w:pPr>
      <w:r>
        <w:t>6. Integration Points with Other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5616"/>
      </w:tblGrid>
      <w:tr w14:paraId="113C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shd w:val="clear" w:color="auto" w:fill="1B3A6B"/>
          </w:tcPr>
          <w:p w14:paraId="05C3E092">
            <w:pPr>
              <w:jc w:val="center"/>
            </w:pPr>
            <w:r>
              <w:rPr>
                <w:rFonts w:ascii="Calibri" w:hAnsi="Calibri"/>
                <w:b/>
                <w:color w:val="FFFFFF"/>
                <w:sz w:val="20"/>
              </w:rPr>
              <w:t>Integration Point</w:t>
            </w:r>
          </w:p>
        </w:tc>
        <w:tc>
          <w:tcPr>
            <w:tcW w:w="1872" w:type="dxa"/>
            <w:shd w:val="clear" w:color="auto" w:fill="1B3A6B"/>
          </w:tcPr>
          <w:p w14:paraId="38417ADB">
            <w:pPr>
              <w:jc w:val="center"/>
            </w:pPr>
            <w:r>
              <w:rPr>
                <w:rFonts w:ascii="Calibri" w:hAnsi="Calibri"/>
                <w:b/>
                <w:color w:val="FFFFFF"/>
                <w:sz w:val="20"/>
              </w:rPr>
              <w:t>Module Owner</w:t>
            </w:r>
          </w:p>
        </w:tc>
        <w:tc>
          <w:tcPr>
            <w:tcW w:w="5616" w:type="dxa"/>
            <w:shd w:val="clear" w:color="auto" w:fill="1B3A6B"/>
          </w:tcPr>
          <w:p w14:paraId="650349B5">
            <w:pPr>
              <w:jc w:val="center"/>
            </w:pPr>
            <w:r>
              <w:rPr>
                <w:rFonts w:ascii="Calibri" w:hAnsi="Calibri"/>
                <w:b/>
                <w:color w:val="FFFFFF"/>
                <w:sz w:val="20"/>
              </w:rPr>
              <w:t>Description</w:t>
            </w:r>
          </w:p>
        </w:tc>
      </w:tr>
      <w:tr w14:paraId="214F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0F7"/>
          </w:tcPr>
          <w:p w14:paraId="7E2720FD">
            <w:r>
              <w:rPr>
                <w:rFonts w:ascii="Calibri" w:hAnsi="Calibri"/>
                <w:sz w:val="20"/>
              </w:rPr>
              <w:t>Input</w:t>
            </w:r>
          </w:p>
        </w:tc>
        <w:tc>
          <w:tcPr>
            <w:tcW w:w="1872" w:type="dxa"/>
            <w:shd w:val="clear" w:color="auto" w:fill="EBF0F7"/>
          </w:tcPr>
          <w:p w14:paraId="3D71A23A">
            <w:r>
              <w:rPr>
                <w:rFonts w:ascii="Calibri" w:hAnsi="Calibri"/>
                <w:sz w:val="20"/>
              </w:rPr>
              <w:t>Gourav Nagori</w:t>
            </w:r>
          </w:p>
        </w:tc>
        <w:tc>
          <w:tcPr>
            <w:tcW w:w="5616" w:type="dxa"/>
            <w:shd w:val="clear" w:color="auto" w:fill="EBF0F7"/>
          </w:tcPr>
          <w:p w14:paraId="7CE713FE">
            <w:r>
              <w:rPr>
                <w:rFonts w:ascii="Calibri" w:hAnsi="Calibri"/>
                <w:sz w:val="20"/>
              </w:rPr>
              <w:t>Receives extracted document text via DocumentService.getDocumentContent()</w:t>
            </w:r>
          </w:p>
        </w:tc>
      </w:tr>
      <w:tr w14:paraId="0DBE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6C45D3E">
            <w:r>
              <w:rPr>
                <w:rFonts w:ascii="Calibri" w:hAnsi="Calibri"/>
                <w:sz w:val="20"/>
              </w:rPr>
              <w:t>Output</w:t>
            </w:r>
          </w:p>
        </w:tc>
        <w:tc>
          <w:tcPr>
            <w:tcW w:w="1872" w:type="dxa"/>
          </w:tcPr>
          <w:p w14:paraId="169D3974">
            <w:r>
              <w:rPr>
                <w:rFonts w:ascii="Calibri" w:hAnsi="Calibri"/>
                <w:sz w:val="20"/>
              </w:rPr>
              <w:t>Gourav Nagori</w:t>
            </w:r>
          </w:p>
        </w:tc>
        <w:tc>
          <w:tcPr>
            <w:tcW w:w="5616" w:type="dxa"/>
          </w:tcPr>
          <w:p w14:paraId="349C7E83">
            <w:r>
              <w:rPr>
                <w:rFonts w:ascii="Calibri" w:hAnsi="Calibri"/>
                <w:sz w:val="20"/>
              </w:rPr>
              <w:t>Analysis reports consumed by Reporting module and Admin Panel</w:t>
            </w:r>
          </w:p>
        </w:tc>
      </w:tr>
      <w:tr w14:paraId="743B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0F7"/>
          </w:tcPr>
          <w:p w14:paraId="129131FE">
            <w:r>
              <w:rPr>
                <w:rFonts w:ascii="Calibri" w:hAnsi="Calibri"/>
                <w:sz w:val="20"/>
              </w:rPr>
              <w:t>Output</w:t>
            </w:r>
          </w:p>
        </w:tc>
        <w:tc>
          <w:tcPr>
            <w:tcW w:w="1872" w:type="dxa"/>
            <w:shd w:val="clear" w:color="auto" w:fill="EBF0F7"/>
          </w:tcPr>
          <w:p w14:paraId="612A91ED">
            <w:r>
              <w:rPr>
                <w:rFonts w:ascii="Calibri" w:hAnsi="Calibri"/>
                <w:sz w:val="20"/>
              </w:rPr>
              <w:t>Team (Advisory)</w:t>
            </w:r>
          </w:p>
        </w:tc>
        <w:tc>
          <w:tcPr>
            <w:tcW w:w="5616" w:type="dxa"/>
            <w:shd w:val="clear" w:color="auto" w:fill="EBF0F7"/>
          </w:tcPr>
          <w:p w14:paraId="27EB3CD3">
            <w:r>
              <w:rPr>
                <w:rFonts w:ascii="Calibri" w:hAnsi="Calibri"/>
                <w:sz w:val="20"/>
              </w:rPr>
              <w:t>Risk data feeds into LegalAdvisoryService for bilingual explanations</w:t>
            </w:r>
          </w:p>
        </w:tc>
      </w:tr>
      <w:tr w14:paraId="7D839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41CE798">
            <w:r>
              <w:rPr>
                <w:rFonts w:ascii="Calibri" w:hAnsi="Calibri"/>
                <w:sz w:val="20"/>
              </w:rPr>
              <w:t>Security</w:t>
            </w:r>
          </w:p>
        </w:tc>
        <w:tc>
          <w:tcPr>
            <w:tcW w:w="1872" w:type="dxa"/>
          </w:tcPr>
          <w:p w14:paraId="1E5707BC">
            <w:r>
              <w:rPr>
                <w:rFonts w:ascii="Calibri" w:hAnsi="Calibri"/>
                <w:sz w:val="20"/>
              </w:rPr>
              <w:t>Team (Auth)</w:t>
            </w:r>
          </w:p>
        </w:tc>
        <w:tc>
          <w:tcPr>
            <w:tcW w:w="5616" w:type="dxa"/>
          </w:tcPr>
          <w:p w14:paraId="7BF68C20">
            <w:r>
              <w:rPr>
                <w:rFonts w:ascii="Calibri" w:hAnsi="Calibri"/>
                <w:sz w:val="20"/>
              </w:rPr>
              <w:t>JWT authentication via Spring Security; userId from SecurityContextHolder</w:t>
            </w:r>
          </w:p>
        </w:tc>
      </w:tr>
      <w:tr w14:paraId="391E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BF0F7"/>
          </w:tcPr>
          <w:p w14:paraId="0F6924C4">
            <w:r>
              <w:rPr>
                <w:rFonts w:ascii="Calibri" w:hAnsi="Calibri"/>
                <w:sz w:val="20"/>
              </w:rPr>
              <w:t>Database</w:t>
            </w:r>
          </w:p>
        </w:tc>
        <w:tc>
          <w:tcPr>
            <w:tcW w:w="1872" w:type="dxa"/>
            <w:shd w:val="clear" w:color="auto" w:fill="EBF0F7"/>
          </w:tcPr>
          <w:p w14:paraId="62C3A8AB">
            <w:r>
              <w:rPr>
                <w:rFonts w:ascii="Calibri" w:hAnsi="Calibri"/>
                <w:sz w:val="20"/>
              </w:rPr>
              <w:t>Shared</w:t>
            </w:r>
          </w:p>
        </w:tc>
        <w:tc>
          <w:tcPr>
            <w:tcW w:w="5616" w:type="dxa"/>
            <w:shd w:val="clear" w:color="auto" w:fill="EBF0F7"/>
          </w:tcPr>
          <w:p w14:paraId="4FBEFDBB">
            <w:r>
              <w:rPr>
                <w:rFonts w:ascii="Calibri" w:hAnsi="Calibri"/>
                <w:sz w:val="20"/>
              </w:rPr>
              <w:t>MongoDB — Dedicated collections: analyses, clauses, risks</w:t>
            </w:r>
          </w:p>
        </w:tc>
      </w:tr>
    </w:tbl>
    <w:p w14:paraId="5808E6EE"/>
    <w:p w14:paraId="3BFBA7F7">
      <w:pPr>
        <w:pStyle w:val="2"/>
      </w:pPr>
      <w:r>
        <w:t>7. Testing</w:t>
      </w:r>
    </w:p>
    <w:p w14:paraId="624F4E25">
      <w:pPr>
        <w:pStyle w:val="3"/>
      </w:pPr>
      <w:r>
        <w:t>7.1 Unit Test Coverage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4320"/>
        <w:gridCol w:w="1440"/>
      </w:tblGrid>
      <w:tr w14:paraId="3719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B3A6B"/>
          </w:tcPr>
          <w:p w14:paraId="2586AE78">
            <w:pPr>
              <w:jc w:val="center"/>
            </w:pPr>
            <w:r>
              <w:rPr>
                <w:rFonts w:ascii="Calibri" w:hAnsi="Calibri"/>
                <w:b/>
                <w:color w:val="FFFFFF"/>
                <w:sz w:val="20"/>
              </w:rPr>
              <w:t>Test Class</w:t>
            </w:r>
          </w:p>
        </w:tc>
        <w:tc>
          <w:tcPr>
            <w:tcW w:w="4320" w:type="dxa"/>
            <w:shd w:val="clear" w:color="auto" w:fill="1B3A6B"/>
          </w:tcPr>
          <w:p w14:paraId="0D4AB1EB">
            <w:pPr>
              <w:jc w:val="center"/>
            </w:pPr>
            <w:r>
              <w:rPr>
                <w:rFonts w:ascii="Calibri" w:hAnsi="Calibri"/>
                <w:b/>
                <w:color w:val="FFFFFF"/>
                <w:sz w:val="20"/>
              </w:rPr>
              <w:t>Coverage Area</w:t>
            </w:r>
          </w:p>
        </w:tc>
        <w:tc>
          <w:tcPr>
            <w:tcW w:w="1440" w:type="dxa"/>
            <w:shd w:val="clear" w:color="auto" w:fill="1B3A6B"/>
          </w:tcPr>
          <w:p w14:paraId="0AA29D49">
            <w:pPr>
              <w:jc w:val="center"/>
            </w:pPr>
            <w:r>
              <w:rPr>
                <w:rFonts w:ascii="Calibri" w:hAnsi="Calibri"/>
                <w:b/>
                <w:color w:val="FFFFFF"/>
                <w:sz w:val="20"/>
              </w:rPr>
              <w:t>Test Cases</w:t>
            </w:r>
          </w:p>
        </w:tc>
      </w:tr>
      <w:tr w14:paraId="6870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0F7"/>
          </w:tcPr>
          <w:p w14:paraId="49067C26">
            <w:r>
              <w:rPr>
                <w:rFonts w:ascii="Calibri" w:hAnsi="Calibri"/>
                <w:sz w:val="20"/>
              </w:rPr>
              <w:t>ClassificationServiceTest.java</w:t>
            </w:r>
          </w:p>
        </w:tc>
        <w:tc>
          <w:tcPr>
            <w:tcW w:w="4320" w:type="dxa"/>
            <w:shd w:val="clear" w:color="auto" w:fill="EBF0F7"/>
          </w:tcPr>
          <w:p w14:paraId="070260DE">
            <w:r>
              <w:rPr>
                <w:rFonts w:ascii="Calibri" w:hAnsi="Calibri"/>
                <w:sz w:val="20"/>
              </w:rPr>
              <w:t>Document type classification for all 10 DocTypes</w:t>
            </w:r>
          </w:p>
        </w:tc>
        <w:tc>
          <w:tcPr>
            <w:tcW w:w="1440" w:type="dxa"/>
            <w:shd w:val="clear" w:color="auto" w:fill="EBF0F7"/>
          </w:tcPr>
          <w:p w14:paraId="78AF1C3D">
            <w:r>
              <w:rPr>
                <w:rFonts w:ascii="Calibri" w:hAnsi="Calibri"/>
                <w:sz w:val="20"/>
              </w:rPr>
              <w:t>~10+</w:t>
            </w:r>
          </w:p>
        </w:tc>
      </w:tr>
      <w:tr w14:paraId="5312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496524FE">
            <w:r>
              <w:rPr>
                <w:rFonts w:ascii="Calibri" w:hAnsi="Calibri"/>
                <w:sz w:val="20"/>
              </w:rPr>
              <w:t>RiskServiceTest.java</w:t>
            </w:r>
          </w:p>
        </w:tc>
        <w:tc>
          <w:tcPr>
            <w:tcW w:w="4320" w:type="dxa"/>
          </w:tcPr>
          <w:p w14:paraId="45AA06CE">
            <w:r>
              <w:rPr>
                <w:rFonts w:ascii="Calibri" w:hAnsi="Calibri"/>
                <w:sz w:val="20"/>
              </w:rPr>
              <w:t>All 13 risk detection rules, composite scoring, summary generation</w:t>
            </w:r>
          </w:p>
        </w:tc>
        <w:tc>
          <w:tcPr>
            <w:tcW w:w="1440" w:type="dxa"/>
          </w:tcPr>
          <w:p w14:paraId="69954A4D">
            <w:r>
              <w:rPr>
                <w:rFonts w:ascii="Calibri" w:hAnsi="Calibri"/>
                <w:sz w:val="20"/>
              </w:rPr>
              <w:t>~15+</w:t>
            </w:r>
          </w:p>
        </w:tc>
      </w:tr>
      <w:tr w14:paraId="3EA7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BF0F7"/>
          </w:tcPr>
          <w:p w14:paraId="73778888">
            <w:r>
              <w:rPr>
                <w:rFonts w:ascii="Calibri" w:hAnsi="Calibri"/>
                <w:sz w:val="20"/>
              </w:rPr>
              <w:t>AnalysisServiceTest.java</w:t>
            </w:r>
          </w:p>
        </w:tc>
        <w:tc>
          <w:tcPr>
            <w:tcW w:w="4320" w:type="dxa"/>
            <w:shd w:val="clear" w:color="auto" w:fill="EBF0F7"/>
          </w:tcPr>
          <w:p w14:paraId="43D944A5">
            <w:r>
              <w:rPr>
                <w:rFonts w:ascii="Calibri" w:hAnsi="Calibri"/>
                <w:sz w:val="20"/>
              </w:rPr>
              <w:t>Full pipeline orchestration, clause segmentation, error handling</w:t>
            </w:r>
          </w:p>
        </w:tc>
        <w:tc>
          <w:tcPr>
            <w:tcW w:w="1440" w:type="dxa"/>
            <w:shd w:val="clear" w:color="auto" w:fill="EBF0F7"/>
          </w:tcPr>
          <w:p w14:paraId="7DAAEB9D">
            <w:r>
              <w:rPr>
                <w:rFonts w:ascii="Calibri" w:hAnsi="Calibri"/>
                <w:sz w:val="20"/>
              </w:rPr>
              <w:t>~12+</w:t>
            </w:r>
          </w:p>
        </w:tc>
      </w:tr>
    </w:tbl>
    <w:p w14:paraId="56714CB8"/>
    <w:p w14:paraId="4D6AECA8">
      <w:pPr>
        <w:pStyle w:val="3"/>
      </w:pPr>
      <w:r>
        <w:t>7.2 Testing Framework</w:t>
      </w:r>
    </w:p>
    <w:p w14:paraId="3EE4D3C3">
      <w:pPr>
        <w:pStyle w:val="23"/>
      </w:pPr>
      <w:r>
        <w:rPr>
          <w:rFonts w:ascii="Calibri" w:hAnsi="Calibri"/>
          <w:b/>
          <w:sz w:val="20"/>
        </w:rPr>
        <w:t xml:space="preserve">JUnit 5 — </w:t>
      </w:r>
      <w:r>
        <w:rPr>
          <w:rFonts w:ascii="Calibri" w:hAnsi="Calibri"/>
          <w:sz w:val="20"/>
        </w:rPr>
        <w:t>Test runner and assertions</w:t>
      </w:r>
    </w:p>
    <w:p w14:paraId="53AA5F0E">
      <w:pPr>
        <w:pStyle w:val="23"/>
      </w:pPr>
      <w:r>
        <w:rPr>
          <w:rFonts w:ascii="Calibri" w:hAnsi="Calibri"/>
          <w:b/>
          <w:sz w:val="20"/>
        </w:rPr>
        <w:t xml:space="preserve">Mockito — </w:t>
      </w:r>
      <w:r>
        <w:rPr>
          <w:rFonts w:ascii="Calibri" w:hAnsi="Calibri"/>
          <w:sz w:val="20"/>
        </w:rPr>
        <w:t>Dependency mocking for repository and service layers</w:t>
      </w:r>
    </w:p>
    <w:p w14:paraId="318C8B9C">
      <w:pPr>
        <w:pStyle w:val="2"/>
      </w:pPr>
      <w:r>
        <w:t>8. Key Design Decisions &amp; Rationale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5328"/>
      </w:tblGrid>
      <w:tr w14:paraId="67B1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1B3A6B"/>
          </w:tcPr>
          <w:p w14:paraId="3EC06BD1">
            <w:pPr>
              <w:jc w:val="center"/>
            </w:pPr>
            <w:r>
              <w:rPr>
                <w:rFonts w:ascii="Calibri" w:hAnsi="Calibri"/>
                <w:b/>
                <w:color w:val="FFFFFF"/>
                <w:sz w:val="20"/>
              </w:rPr>
              <w:t>Decision</w:t>
            </w:r>
          </w:p>
        </w:tc>
        <w:tc>
          <w:tcPr>
            <w:tcW w:w="5328" w:type="dxa"/>
            <w:shd w:val="clear" w:color="auto" w:fill="1B3A6B"/>
          </w:tcPr>
          <w:p w14:paraId="70759036">
            <w:pPr>
              <w:jc w:val="center"/>
            </w:pPr>
            <w:r>
              <w:rPr>
                <w:rFonts w:ascii="Calibri" w:hAnsi="Calibri"/>
                <w:b/>
                <w:color w:val="FFFFFF"/>
                <w:sz w:val="20"/>
              </w:rPr>
              <w:t>Rationale</w:t>
            </w:r>
          </w:p>
        </w:tc>
      </w:tr>
      <w:tr w14:paraId="4B93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EBF0F7"/>
          </w:tcPr>
          <w:p w14:paraId="6A00D1E1">
            <w:r>
              <w:rPr>
                <w:rFonts w:ascii="Calibri" w:hAnsi="Calibri"/>
                <w:sz w:val="20"/>
              </w:rPr>
              <w:t>Regex-based classification (not ML/AI)</w:t>
            </w:r>
          </w:p>
        </w:tc>
        <w:tc>
          <w:tcPr>
            <w:tcW w:w="5328" w:type="dxa"/>
            <w:shd w:val="clear" w:color="auto" w:fill="EBF0F7"/>
          </w:tcPr>
          <w:p w14:paraId="4C55239D">
            <w:r>
              <w:rPr>
                <w:rFonts w:ascii="Calibri" w:hAnsi="Calibri"/>
                <w:sz w:val="20"/>
              </w:rPr>
              <w:t>Deterministic, explainable, zero-latency, no external API dependency; appropriate for known legal keyword domains</w:t>
            </w:r>
          </w:p>
        </w:tc>
      </w:tr>
      <w:tr w14:paraId="7A3F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518D3989">
            <w:r>
              <w:rPr>
                <w:rFonts w:ascii="Calibri" w:hAnsi="Calibri"/>
                <w:sz w:val="20"/>
              </w:rPr>
              <w:t>Rule-based risk detection (not LLM)</w:t>
            </w:r>
          </w:p>
        </w:tc>
        <w:tc>
          <w:tcPr>
            <w:tcW w:w="5328" w:type="dxa"/>
          </w:tcPr>
          <w:p w14:paraId="7554271D">
            <w:r>
              <w:rPr>
                <w:rFonts w:ascii="Calibri" w:hAnsi="Calibri"/>
                <w:sz w:val="20"/>
              </w:rPr>
              <w:t>Full transparency and auditability — every risk flag traces to a named rule code; critical for legal compliance reporting</w:t>
            </w:r>
          </w:p>
        </w:tc>
      </w:tr>
      <w:tr w14:paraId="4D1C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EBF0F7"/>
          </w:tcPr>
          <w:p w14:paraId="026C617E">
            <w:r>
              <w:rPr>
                <w:rFonts w:ascii="Calibri" w:hAnsi="Calibri"/>
                <w:sz w:val="20"/>
              </w:rPr>
              <w:t>Weighted severity scoring</w:t>
            </w:r>
          </w:p>
        </w:tc>
        <w:tc>
          <w:tcPr>
            <w:tcW w:w="5328" w:type="dxa"/>
            <w:shd w:val="clear" w:color="auto" w:fill="EBF0F7"/>
          </w:tcPr>
          <w:p w14:paraId="7CF97AD7">
            <w:r>
              <w:rPr>
                <w:rFonts w:ascii="Calibri" w:hAnsi="Calibri"/>
                <w:sz w:val="20"/>
              </w:rPr>
              <w:t>Enables quantified comparison across documents; calibrated normalisation ensures actionable thresholds</w:t>
            </w:r>
          </w:p>
        </w:tc>
      </w:tr>
      <w:tr w14:paraId="2287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6BAC559D">
            <w:r>
              <w:rPr>
                <w:rFonts w:ascii="Calibri" w:hAnsi="Calibri"/>
                <w:sz w:val="20"/>
              </w:rPr>
              <w:t>Denormalised analysisId on Risk entity</w:t>
            </w:r>
          </w:p>
        </w:tc>
        <w:tc>
          <w:tcPr>
            <w:tcW w:w="5328" w:type="dxa"/>
          </w:tcPr>
          <w:p w14:paraId="135BD181">
            <w:r>
              <w:rPr>
                <w:rFonts w:ascii="Calibri" w:hAnsi="Calibri"/>
                <w:sz w:val="20"/>
              </w:rPr>
              <w:t>Avoids expensive joins in MongoDB; enables efficient indexed queries for dashboard summary cards</w:t>
            </w:r>
          </w:p>
        </w:tc>
      </w:tr>
      <w:tr w14:paraId="0A83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EBF0F7"/>
          </w:tcPr>
          <w:p w14:paraId="5B8B7585">
            <w:r>
              <w:rPr>
                <w:rFonts w:ascii="Calibri" w:hAnsi="Calibri"/>
                <w:sz w:val="20"/>
              </w:rPr>
              <w:t>Compound index on {userId, documentId}</w:t>
            </w:r>
          </w:p>
        </w:tc>
        <w:tc>
          <w:tcPr>
            <w:tcW w:w="5328" w:type="dxa"/>
            <w:shd w:val="clear" w:color="auto" w:fill="EBF0F7"/>
          </w:tcPr>
          <w:p w14:paraId="07596B7D">
            <w:r>
              <w:rPr>
                <w:rFonts w:ascii="Calibri" w:hAnsi="Calibri"/>
                <w:sz w:val="20"/>
              </w:rPr>
              <w:t>Enforces one-analysis-per-document-per-user uniqueness constraint at the database level</w:t>
            </w:r>
          </w:p>
        </w:tc>
      </w:tr>
      <w:tr w14:paraId="4F5D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543C7236">
            <w:r>
              <w:rPr>
                <w:rFonts w:ascii="Calibri" w:hAnsi="Calibri"/>
                <w:sz w:val="20"/>
              </w:rPr>
              <w:t>Clause type inference via keywords</w:t>
            </w:r>
          </w:p>
        </w:tc>
        <w:tc>
          <w:tcPr>
            <w:tcW w:w="5328" w:type="dxa"/>
          </w:tcPr>
          <w:p w14:paraId="1A0840D8">
            <w:r>
              <w:rPr>
                <w:rFonts w:ascii="Calibri" w:hAnsi="Calibri"/>
                <w:sz w:val="20"/>
              </w:rPr>
              <w:t>Lightweight, serverless approach that runs in-process with millisecond latency</w:t>
            </w:r>
          </w:p>
        </w:tc>
      </w:tr>
      <w:tr w14:paraId="4BC9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EBF0F7"/>
          </w:tcPr>
          <w:p w14:paraId="61D0EEDA">
            <w:r>
              <w:rPr>
                <w:rFonts w:ascii="Calibri" w:hAnsi="Calibri"/>
                <w:sz w:val="20"/>
              </w:rPr>
              <w:t>Re-analysis support (delete-and-recreate)</w:t>
            </w:r>
          </w:p>
        </w:tc>
        <w:tc>
          <w:tcPr>
            <w:tcW w:w="5328" w:type="dxa"/>
            <w:shd w:val="clear" w:color="auto" w:fill="EBF0F7"/>
          </w:tcPr>
          <w:p w14:paraId="31887528">
            <w:r>
              <w:rPr>
                <w:rFonts w:ascii="Calibri" w:hAnsi="Calibri"/>
                <w:sz w:val="20"/>
              </w:rPr>
              <w:t>Gracefully handles re-upload or re-analysis requests without data duplication</w:t>
            </w:r>
          </w:p>
        </w:tc>
      </w:tr>
    </w:tbl>
    <w:p w14:paraId="182D443E"/>
    <w:p w14:paraId="7506F638">
      <w:pPr>
        <w:pStyle w:val="2"/>
      </w:pPr>
      <w:r>
        <w:t>9. Challenges Faced &amp; Solutions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040"/>
      </w:tblGrid>
      <w:tr w14:paraId="37E3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B3A6B"/>
          </w:tcPr>
          <w:p w14:paraId="499A07F7">
            <w:pPr>
              <w:jc w:val="center"/>
            </w:pPr>
            <w:r>
              <w:rPr>
                <w:rFonts w:ascii="Calibri" w:hAnsi="Calibri"/>
                <w:b/>
                <w:color w:val="FFFFFF"/>
                <w:sz w:val="20"/>
              </w:rPr>
              <w:t>Challenge</w:t>
            </w:r>
          </w:p>
        </w:tc>
        <w:tc>
          <w:tcPr>
            <w:tcW w:w="5040" w:type="dxa"/>
            <w:shd w:val="clear" w:color="auto" w:fill="1B3A6B"/>
          </w:tcPr>
          <w:p w14:paraId="371BD00E">
            <w:pPr>
              <w:jc w:val="center"/>
            </w:pPr>
            <w:r>
              <w:rPr>
                <w:rFonts w:ascii="Calibri" w:hAnsi="Calibri"/>
                <w:b/>
                <w:color w:val="FFFFFF"/>
                <w:sz w:val="20"/>
              </w:rPr>
              <w:t>Solution Implemented</w:t>
            </w:r>
          </w:p>
        </w:tc>
      </w:tr>
      <w:tr w14:paraId="0695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0F7"/>
          </w:tcPr>
          <w:p w14:paraId="6D772FF2">
            <w:r>
              <w:rPr>
                <w:rFonts w:ascii="Calibri" w:hAnsi="Calibri"/>
                <w:sz w:val="20"/>
              </w:rPr>
              <w:t>Clause boundary detection in unstructured legal text</w:t>
            </w:r>
          </w:p>
        </w:tc>
        <w:tc>
          <w:tcPr>
            <w:tcW w:w="5040" w:type="dxa"/>
            <w:shd w:val="clear" w:color="auto" w:fill="EBF0F7"/>
          </w:tcPr>
          <w:p w14:paraId="06437403">
            <w:r>
              <w:rPr>
                <w:rFonts w:ascii="Calibri" w:hAnsi="Calibri"/>
                <w:sz w:val="20"/>
              </w:rPr>
              <w:t>Dual-strategy segmenter: blank-line splitting + numbered heading detection with configurable minimum length</w:t>
            </w:r>
          </w:p>
        </w:tc>
      </w:tr>
      <w:tr w14:paraId="4AA6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6DCAE85">
            <w:r>
              <w:rPr>
                <w:rFonts w:ascii="Calibri" w:hAnsi="Calibri"/>
                <w:sz w:val="20"/>
              </w:rPr>
              <w:t>Balancing risk sensitivity vs. false positives</w:t>
            </w:r>
          </w:p>
        </w:tc>
        <w:tc>
          <w:tcPr>
            <w:tcW w:w="5040" w:type="dxa"/>
          </w:tcPr>
          <w:p w14:paraId="190358DB">
            <w:r>
              <w:rPr>
                <w:rFonts w:ascii="Calibri" w:hAnsi="Calibri"/>
                <w:sz w:val="20"/>
              </w:rPr>
              <w:t>Curated 13-rule catalogue with carefully scoped regex patterns targeting high-signal legal phrases</w:t>
            </w:r>
          </w:p>
        </w:tc>
      </w:tr>
      <w:tr w14:paraId="67DF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EBF0F7"/>
          </w:tcPr>
          <w:p w14:paraId="15F0A92C">
            <w:r>
              <w:rPr>
                <w:rFonts w:ascii="Calibri" w:hAnsi="Calibri"/>
                <w:sz w:val="20"/>
              </w:rPr>
              <w:t>Merge conflicts during team integration</w:t>
            </w:r>
          </w:p>
        </w:tc>
        <w:tc>
          <w:tcPr>
            <w:tcW w:w="5040" w:type="dxa"/>
            <w:shd w:val="clear" w:color="auto" w:fill="EBF0F7"/>
          </w:tcPr>
          <w:p w14:paraId="12467B60">
            <w:r>
              <w:rPr>
                <w:rFonts w:ascii="Calibri" w:hAnsi="Calibri"/>
                <w:sz w:val="20"/>
              </w:rPr>
              <w:t>Resolved merge conflicts between dilip branch and main branch while preserving both module functionalities</w:t>
            </w:r>
          </w:p>
        </w:tc>
      </w:tr>
      <w:tr w14:paraId="355C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721DBF1">
            <w:r>
              <w:rPr>
                <w:rFonts w:ascii="Calibri" w:hAnsi="Calibri"/>
                <w:sz w:val="20"/>
              </w:rPr>
              <w:t>Multi-tenant data isolation</w:t>
            </w:r>
          </w:p>
        </w:tc>
        <w:tc>
          <w:tcPr>
            <w:tcW w:w="5040" w:type="dxa"/>
          </w:tcPr>
          <w:p w14:paraId="015B5A99">
            <w:r>
              <w:rPr>
                <w:rFonts w:ascii="Calibri" w:hAnsi="Calibri"/>
                <w:sz w:val="20"/>
              </w:rPr>
              <w:t>All queries scoped by userId; compound unique index prevents cross-tenant data leakage</w:t>
            </w:r>
          </w:p>
        </w:tc>
      </w:tr>
    </w:tbl>
    <w:p w14:paraId="784EF73B"/>
    <w:p w14:paraId="3751C924">
      <w:pPr>
        <w:pStyle w:val="2"/>
      </w:pPr>
      <w:r>
        <w:t>10. Sample API Request &amp; Response</w:t>
      </w:r>
    </w:p>
    <w:p w14:paraId="3FD1262D">
      <w:r>
        <w:rPr>
          <w:rFonts w:ascii="Calibri" w:hAnsi="Calibri"/>
          <w:b/>
          <w:i w:val="0"/>
          <w:sz w:val="24"/>
        </w:rPr>
        <w:t>POST /api/analysis/{documentId}</w:t>
      </w:r>
    </w:p>
    <w:p w14:paraId="5743C82D">
      <w:r>
        <w:rPr>
          <w:rFonts w:ascii="Calibri" w:hAnsi="Calibri"/>
          <w:b/>
          <w:i w:val="0"/>
          <w:sz w:val="22"/>
        </w:rPr>
        <w:t>Response (HTTP 201):</w:t>
      </w:r>
    </w:p>
    <w:p w14:paraId="0E001DAC">
      <w:pPr>
        <w:shd w:val="clear" w:fill="F4F4F4"/>
        <w:ind w:left="567"/>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"success": true,</w:t>
      </w:r>
      <w:r>
        <w:rPr>
          <w:rFonts w:ascii="Consolas" w:hAnsi="Consolas"/>
          <w:color w:val="2D2D2D"/>
          <w:sz w:val="18"/>
        </w:rPr>
        <w:br w:type="textWrapping"/>
      </w:r>
      <w:r>
        <w:rPr>
          <w:rFonts w:ascii="Consolas" w:hAnsi="Consolas"/>
          <w:color w:val="2D2D2D"/>
          <w:sz w:val="18"/>
        </w:rPr>
        <w:t xml:space="preserve">  "message": "Legal analysis completed successfully.",</w:t>
      </w:r>
      <w:r>
        <w:rPr>
          <w:rFonts w:ascii="Consolas" w:hAnsi="Consolas"/>
          <w:color w:val="2D2D2D"/>
          <w:sz w:val="18"/>
        </w:rPr>
        <w:br w:type="textWrapping"/>
      </w:r>
      <w:r>
        <w:rPr>
          <w:rFonts w:ascii="Consolas" w:hAnsi="Consolas"/>
          <w:color w:val="2D2D2D"/>
          <w:sz w:val="18"/>
        </w:rPr>
        <w:t xml:space="preserve">  "data": {</w:t>
      </w:r>
      <w:r>
        <w:rPr>
          <w:rFonts w:ascii="Consolas" w:hAnsi="Consolas"/>
          <w:color w:val="2D2D2D"/>
          <w:sz w:val="18"/>
        </w:rPr>
        <w:br w:type="textWrapping"/>
      </w:r>
      <w:r>
        <w:rPr>
          <w:rFonts w:ascii="Consolas" w:hAnsi="Consolas"/>
          <w:color w:val="2D2D2D"/>
          <w:sz w:val="18"/>
        </w:rPr>
        <w:t xml:space="preserve">    "analysisId": "6543abc...",</w:t>
      </w:r>
      <w:r>
        <w:rPr>
          <w:rFonts w:ascii="Consolas" w:hAnsi="Consolas"/>
          <w:color w:val="2D2D2D"/>
          <w:sz w:val="18"/>
        </w:rPr>
        <w:br w:type="textWrapping"/>
      </w:r>
      <w:r>
        <w:rPr>
          <w:rFonts w:ascii="Consolas" w:hAnsi="Consolas"/>
          <w:color w:val="2D2D2D"/>
          <w:sz w:val="18"/>
        </w:rPr>
        <w:t xml:space="preserve">    "documentId": "doc-001",</w:t>
      </w:r>
      <w:r>
        <w:rPr>
          <w:rFonts w:ascii="Consolas" w:hAnsi="Consolas"/>
          <w:color w:val="2D2D2D"/>
          <w:sz w:val="18"/>
        </w:rPr>
        <w:br w:type="textWrapping"/>
      </w:r>
      <w:r>
        <w:rPr>
          <w:rFonts w:ascii="Consolas" w:hAnsi="Consolas"/>
          <w:color w:val="2D2D2D"/>
          <w:sz w:val="18"/>
        </w:rPr>
        <w:t xml:space="preserve">    "docType": "NDA",</w:t>
      </w:r>
      <w:r>
        <w:rPr>
          <w:rFonts w:ascii="Consolas" w:hAnsi="Consolas"/>
          <w:color w:val="2D2D2D"/>
          <w:sz w:val="18"/>
        </w:rPr>
        <w:br w:type="textWrapping"/>
      </w:r>
      <w:r>
        <w:rPr>
          <w:rFonts w:ascii="Consolas" w:hAnsi="Consolas"/>
          <w:color w:val="2D2D2D"/>
          <w:sz w:val="18"/>
        </w:rPr>
        <w:t xml:space="preserve">    "status": "COMPLETED",</w:t>
      </w:r>
      <w:r>
        <w:rPr>
          <w:rFonts w:ascii="Consolas" w:hAnsi="Consolas"/>
          <w:color w:val="2D2D2D"/>
          <w:sz w:val="18"/>
        </w:rPr>
        <w:br w:type="textWrapping"/>
      </w:r>
      <w:r>
        <w:rPr>
          <w:rFonts w:ascii="Consolas" w:hAnsi="Consolas"/>
          <w:color w:val="2D2D2D"/>
          <w:sz w:val="18"/>
        </w:rPr>
        <w:t xml:space="preserve">    "compositeRiskScore": 43.3,</w:t>
      </w:r>
      <w:r>
        <w:rPr>
          <w:rFonts w:ascii="Consolas" w:hAnsi="Consolas"/>
          <w:color w:val="2D2D2D"/>
          <w:sz w:val="18"/>
        </w:rPr>
        <w:br w:type="textWrapping"/>
      </w:r>
      <w:r>
        <w:rPr>
          <w:rFonts w:ascii="Consolas" w:hAnsi="Consolas"/>
          <w:color w:val="2D2D2D"/>
          <w:sz w:val="18"/>
        </w:rPr>
        <w:t xml:space="preserve">    "riskSummary": "Overall Risk Score: 43.3 / 100. 1 high-severity</w:t>
      </w:r>
      <w:r>
        <w:rPr>
          <w:rFonts w:ascii="Consolas" w:hAnsi="Consolas"/>
          <w:color w:val="2D2D2D"/>
          <w:sz w:val="18"/>
        </w:rPr>
        <w:br w:type="textWrapping"/>
      </w:r>
      <w:r>
        <w:rPr>
          <w:rFonts w:ascii="Consolas" w:hAnsi="Consolas"/>
          <w:color w:val="2D2D2D"/>
          <w:sz w:val="18"/>
        </w:rPr>
        <w:t xml:space="preserve">      clause(s) require negotiation before signing. 2 medium-severity</w:t>
      </w:r>
      <w:r>
        <w:rPr>
          <w:rFonts w:ascii="Consolas" w:hAnsi="Consolas"/>
          <w:color w:val="2D2D2D"/>
          <w:sz w:val="18"/>
        </w:rPr>
        <w:br w:type="textWrapping"/>
      </w:r>
      <w:r>
        <w:rPr>
          <w:rFonts w:ascii="Consolas" w:hAnsi="Consolas"/>
          <w:color w:val="2D2D2D"/>
          <w:sz w:val="18"/>
        </w:rPr>
        <w:t xml:space="preserve">      issue(s) present...",</w:t>
      </w:r>
      <w:r>
        <w:rPr>
          <w:rFonts w:ascii="Consolas" w:hAnsi="Consolas"/>
          <w:color w:val="2D2D2D"/>
          <w:sz w:val="18"/>
        </w:rPr>
        <w:br w:type="textWrapping"/>
      </w:r>
      <w:r>
        <w:rPr>
          <w:rFonts w:ascii="Consolas" w:hAnsi="Consolas"/>
          <w:color w:val="2D2D2D"/>
          <w:sz w:val="18"/>
        </w:rPr>
        <w:t xml:space="preserve">    "totalClausesDetected": 12,</w:t>
      </w:r>
      <w:r>
        <w:rPr>
          <w:rFonts w:ascii="Consolas" w:hAnsi="Consolas"/>
          <w:color w:val="2D2D2D"/>
          <w:sz w:val="18"/>
        </w:rPr>
        <w:br w:type="textWrapping"/>
      </w:r>
      <w:r>
        <w:rPr>
          <w:rFonts w:ascii="Consolas" w:hAnsi="Consolas"/>
          <w:color w:val="2D2D2D"/>
          <w:sz w:val="18"/>
        </w:rPr>
        <w:t xml:space="preserve">    "totalRisksFound": 5,</w:t>
      </w:r>
      <w:r>
        <w:rPr>
          <w:rFonts w:ascii="Consolas" w:hAnsi="Consolas"/>
          <w:color w:val="2D2D2D"/>
          <w:sz w:val="18"/>
        </w:rPr>
        <w:br w:type="textWrapping"/>
      </w:r>
      <w:r>
        <w:rPr>
          <w:rFonts w:ascii="Consolas" w:hAnsi="Consolas"/>
          <w:color w:val="2D2D2D"/>
          <w:sz w:val="18"/>
        </w:rPr>
        <w:t xml:space="preserve">    "criticalCount": 0,</w:t>
      </w:r>
      <w:r>
        <w:rPr>
          <w:rFonts w:ascii="Consolas" w:hAnsi="Consolas"/>
          <w:color w:val="2D2D2D"/>
          <w:sz w:val="18"/>
        </w:rPr>
        <w:br w:type="textWrapping"/>
      </w:r>
      <w:r>
        <w:rPr>
          <w:rFonts w:ascii="Consolas" w:hAnsi="Consolas"/>
          <w:color w:val="2D2D2D"/>
          <w:sz w:val="18"/>
        </w:rPr>
        <w:t xml:space="preserve">    "highCount": 1,</w:t>
      </w:r>
      <w:r>
        <w:rPr>
          <w:rFonts w:ascii="Consolas" w:hAnsi="Consolas"/>
          <w:color w:val="2D2D2D"/>
          <w:sz w:val="18"/>
        </w:rPr>
        <w:br w:type="textWrapping"/>
      </w:r>
      <w:r>
        <w:rPr>
          <w:rFonts w:ascii="Consolas" w:hAnsi="Consolas"/>
          <w:color w:val="2D2D2D"/>
          <w:sz w:val="18"/>
        </w:rPr>
        <w:t xml:space="preserve">    "mediumCount": 2,</w:t>
      </w:r>
      <w:r>
        <w:rPr>
          <w:rFonts w:ascii="Consolas" w:hAnsi="Consolas"/>
          <w:color w:val="2D2D2D"/>
          <w:sz w:val="18"/>
        </w:rPr>
        <w:br w:type="textWrapping"/>
      </w:r>
      <w:r>
        <w:rPr>
          <w:rFonts w:ascii="Consolas" w:hAnsi="Consolas"/>
          <w:color w:val="2D2D2D"/>
          <w:sz w:val="18"/>
        </w:rPr>
        <w:t xml:space="preserve">    "lowCount": 2,</w:t>
      </w:r>
      <w:r>
        <w:rPr>
          <w:rFonts w:ascii="Consolas" w:hAnsi="Consolas"/>
          <w:color w:val="2D2D2D"/>
          <w:sz w:val="18"/>
        </w:rPr>
        <w:br w:type="textWrapping"/>
      </w:r>
      <w:r>
        <w:rPr>
          <w:rFonts w:ascii="Consolas" w:hAnsi="Consolas"/>
          <w:color w:val="2D2D2D"/>
          <w:sz w:val="18"/>
        </w:rPr>
        <w:t xml:space="preserve">    "clauses":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"clauseType": "CONFIDENTIALITY",</w:t>
      </w:r>
      <w:r>
        <w:rPr>
          <w:rFonts w:ascii="Consolas" w:hAnsi="Consolas"/>
          <w:color w:val="2D2D2D"/>
          <w:sz w:val="18"/>
        </w:rPr>
        <w:br w:type="textWrapping"/>
      </w:r>
      <w:r>
        <w:rPr>
          <w:rFonts w:ascii="Consolas" w:hAnsi="Consolas"/>
          <w:color w:val="2D2D2D"/>
          <w:sz w:val="18"/>
        </w:rPr>
        <w:t xml:space="preserve">        "rawText": "The Receiving Party shall keep all...",</w:t>
      </w:r>
      <w:r>
        <w:rPr>
          <w:rFonts w:ascii="Consolas" w:hAnsi="Consolas"/>
          <w:color w:val="2D2D2D"/>
          <w:sz w:val="18"/>
        </w:rPr>
        <w:br w:type="textWrapping"/>
      </w:r>
      <w:r>
        <w:rPr>
          <w:rFonts w:ascii="Consolas" w:hAnsi="Consolas"/>
          <w:color w:val="2D2D2D"/>
          <w:sz w:val="18"/>
        </w:rPr>
        <w:t xml:space="preserve">        "clauseIndex": 1,</w:t>
      </w:r>
      <w:r>
        <w:rPr>
          <w:rFonts w:ascii="Consolas" w:hAnsi="Consolas"/>
          <w:color w:val="2D2D2D"/>
          <w:sz w:val="18"/>
        </w:rPr>
        <w:br w:type="textWrapping"/>
      </w:r>
      <w:r>
        <w:rPr>
          <w:rFonts w:ascii="Consolas" w:hAnsi="Consolas"/>
          <w:color w:val="2D2D2D"/>
          <w:sz w:val="18"/>
        </w:rPr>
        <w:t xml:space="preserve">        "hasRisk": true,</w:t>
      </w:r>
      <w:r>
        <w:rPr>
          <w:rFonts w:ascii="Consolas" w:hAnsi="Consolas"/>
          <w:color w:val="2D2D2D"/>
          <w:sz w:val="18"/>
        </w:rPr>
        <w:br w:type="textWrapping"/>
      </w:r>
      <w:r>
        <w:rPr>
          <w:rFonts w:ascii="Consolas" w:hAnsi="Consolas"/>
          <w:color w:val="2D2D2D"/>
          <w:sz w:val="18"/>
        </w:rPr>
        <w:t xml:space="preserve">        "risks":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"ruleCode": "CONFIDENTIALITY_STANDARD",</w:t>
      </w:r>
      <w:r>
        <w:rPr>
          <w:rFonts w:ascii="Consolas" w:hAnsi="Consolas"/>
          <w:color w:val="2D2D2D"/>
          <w:sz w:val="18"/>
        </w:rPr>
        <w:br w:type="textWrapping"/>
      </w:r>
      <w:r>
        <w:rPr>
          <w:rFonts w:ascii="Consolas" w:hAnsi="Consolas"/>
          <w:color w:val="2D2D2D"/>
          <w:sz w:val="18"/>
        </w:rPr>
        <w:t xml:space="preserve">            "riskTitle": "Standard Confidentiality Obligation",</w:t>
      </w:r>
      <w:r>
        <w:rPr>
          <w:rFonts w:ascii="Consolas" w:hAnsi="Consolas"/>
          <w:color w:val="2D2D2D"/>
          <w:sz w:val="18"/>
        </w:rPr>
        <w:br w:type="textWrapping"/>
      </w:r>
      <w:r>
        <w:rPr>
          <w:rFonts w:ascii="Consolas" w:hAnsi="Consolas"/>
          <w:color w:val="2D2D2D"/>
          <w:sz w:val="18"/>
        </w:rPr>
        <w:t xml:space="preserve">            "severity": "LOW",</w:t>
      </w:r>
      <w:r>
        <w:rPr>
          <w:rFonts w:ascii="Consolas" w:hAnsi="Consolas"/>
          <w:color w:val="2D2D2D"/>
          <w:sz w:val="18"/>
        </w:rPr>
        <w:br w:type="textWrapping"/>
      </w:r>
      <w:r>
        <w:rPr>
          <w:rFonts w:ascii="Consolas" w:hAnsi="Consolas"/>
          <w:color w:val="2D2D2D"/>
          <w:sz w:val="18"/>
        </w:rPr>
        <w:t xml:space="preserve">            "explanation": "A standard mutual confidentiality...",</w:t>
      </w:r>
      <w:r>
        <w:rPr>
          <w:rFonts w:ascii="Consolas" w:hAnsi="Consolas"/>
          <w:color w:val="2D2D2D"/>
          <w:sz w:val="18"/>
        </w:rPr>
        <w:br w:type="textWrapping"/>
      </w:r>
      <w:r>
        <w:rPr>
          <w:rFonts w:ascii="Consolas" w:hAnsi="Consolas"/>
          <w:color w:val="2D2D2D"/>
          <w:sz w:val="18"/>
        </w:rPr>
        <w:t xml:space="preserve">            "suggestion": "Verify the duration of the</w:t>
      </w:r>
      <w:r>
        <w:rPr>
          <w:rFonts w:ascii="Consolas" w:hAnsi="Consolas"/>
          <w:color w:val="2D2D2D"/>
          <w:sz w:val="18"/>
        </w:rPr>
        <w:br w:type="textWrapping"/>
      </w:r>
      <w:r>
        <w:rPr>
          <w:rFonts w:ascii="Consolas" w:hAnsi="Consolas"/>
          <w:color w:val="2D2D2D"/>
          <w:sz w:val="18"/>
        </w:rPr>
        <w:t xml:space="preserve">              confidentiality obligation..."</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"highPriorityRisks": [ ... ],</w:t>
      </w:r>
      <w:r>
        <w:rPr>
          <w:rFonts w:ascii="Consolas" w:hAnsi="Consolas"/>
          <w:color w:val="2D2D2D"/>
          <w:sz w:val="18"/>
        </w:rPr>
        <w:br w:type="textWrapping"/>
      </w:r>
      <w:r>
        <w:rPr>
          <w:rFonts w:ascii="Consolas" w:hAnsi="Consolas"/>
          <w:color w:val="2D2D2D"/>
          <w:sz w:val="18"/>
        </w:rPr>
        <w:t xml:space="preserve">    "startedAt": "2026-10-07T17:45:00",</w:t>
      </w:r>
      <w:r>
        <w:rPr>
          <w:rFonts w:ascii="Consolas" w:hAnsi="Consolas"/>
          <w:color w:val="2D2D2D"/>
          <w:sz w:val="18"/>
        </w:rPr>
        <w:br w:type="textWrapping"/>
      </w:r>
      <w:r>
        <w:rPr>
          <w:rFonts w:ascii="Consolas" w:hAnsi="Consolas"/>
          <w:color w:val="2D2D2D"/>
          <w:sz w:val="18"/>
        </w:rPr>
        <w:t xml:space="preserve">    "completedAt": "2026-10-07T17:45:02"</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p>
    <w:p w14:paraId="2E84A6C6">
      <w:pPr>
        <w:pStyle w:val="2"/>
      </w:pPr>
      <w:r>
        <w:t>11. Future Enhancements</w:t>
      </w:r>
    </w:p>
    <w:p w14:paraId="262A913C">
      <w:pPr>
        <w:pStyle w:val="29"/>
      </w:pPr>
      <w:r>
        <w:rPr>
          <w:rFonts w:ascii="Calibri" w:hAnsi="Calibri"/>
          <w:b/>
          <w:sz w:val="20"/>
        </w:rPr>
        <w:t xml:space="preserve">ML-Assisted Classification: </w:t>
      </w:r>
      <w:r>
        <w:rPr>
          <w:rFonts w:ascii="Calibri" w:hAnsi="Calibri"/>
          <w:sz w:val="20"/>
        </w:rPr>
        <w:t>Train a lightweight NLP model on annotated legal corpora to complement regex heuristics and improve classification accuracy.</w:t>
      </w:r>
    </w:p>
    <w:p w14:paraId="4E62536E">
      <w:pPr>
        <w:pStyle w:val="29"/>
      </w:pPr>
      <w:r>
        <w:rPr>
          <w:rFonts w:ascii="Calibri" w:hAnsi="Calibri"/>
          <w:b/>
          <w:sz w:val="20"/>
        </w:rPr>
        <w:t xml:space="preserve">Custom Rule Authoring: </w:t>
      </w:r>
      <w:r>
        <w:rPr>
          <w:rFonts w:ascii="Calibri" w:hAnsi="Calibri"/>
          <w:sz w:val="20"/>
        </w:rPr>
        <w:t>Allow admin users to define additional risk detection rules via a rule-builder UI.</w:t>
      </w:r>
    </w:p>
    <w:p w14:paraId="18FBBEC2">
      <w:pPr>
        <w:pStyle w:val="29"/>
      </w:pPr>
      <w:r>
        <w:rPr>
          <w:rFonts w:ascii="Calibri" w:hAnsi="Calibri"/>
          <w:b/>
          <w:sz w:val="20"/>
        </w:rPr>
        <w:t xml:space="preserve">Historical Trend Analysis: </w:t>
      </w:r>
      <w:r>
        <w:rPr>
          <w:rFonts w:ascii="Calibri" w:hAnsi="Calibri"/>
          <w:sz w:val="20"/>
        </w:rPr>
        <w:t>Track risk score evolution across document versions over time.</w:t>
      </w:r>
    </w:p>
    <w:p w14:paraId="797ECA7E">
      <w:pPr>
        <w:pStyle w:val="29"/>
      </w:pPr>
      <w:r>
        <w:rPr>
          <w:rFonts w:ascii="Calibri" w:hAnsi="Calibri"/>
          <w:b/>
          <w:sz w:val="20"/>
        </w:rPr>
        <w:t xml:space="preserve">Clause-Level Confidence Scores: </w:t>
      </w:r>
      <w:r>
        <w:rPr>
          <w:rFonts w:ascii="Calibri" w:hAnsi="Calibri"/>
          <w:sz w:val="20"/>
        </w:rPr>
        <w:t>Assign confidence percentages to clause type inferences.</w:t>
      </w:r>
    </w:p>
    <w:p w14:paraId="167CD0BB">
      <w:pPr>
        <w:pStyle w:val="29"/>
      </w:pPr>
      <w:r>
        <w:rPr>
          <w:rFonts w:ascii="Calibri" w:hAnsi="Calibri"/>
          <w:b/>
          <w:sz w:val="20"/>
        </w:rPr>
        <w:t xml:space="preserve">Export to PDF/DOCX: </w:t>
      </w:r>
      <w:r>
        <w:rPr>
          <w:rFonts w:ascii="Calibri" w:hAnsi="Calibri"/>
          <w:sz w:val="20"/>
        </w:rPr>
        <w:t>Generate downloadable risk assessment reports in standard document formats.</w:t>
      </w:r>
    </w:p>
    <w:p w14:paraId="4446C5BB">
      <w:pPr>
        <w:pStyle w:val="2"/>
      </w:pPr>
      <w:r>
        <w:t>12. Conclusion</w:t>
      </w:r>
    </w:p>
    <w:p w14:paraId="02B8C889">
      <w:r>
        <w:rPr>
          <w:rFonts w:ascii="Calibri" w:hAnsi="Calibri"/>
          <w:b w:val="0"/>
          <w:i w:val="0"/>
          <w:sz w:val="22"/>
        </w:rPr>
        <w:t>The Legal Analysis &amp; Risk Detection Engine module delivers a complete, production-ready pipeline for automated legal document analysis. It transforms unstructured legal text into quantified risk assessments through a transparent, rule-based approach with 10 document categories, 13 risk detection rules, 4 severity tiers, and a normalised composite scoring system. The module follows enterprise Java best practices with clean layered architecture, comprehensive MongoDB indexing, multi-tenant data isolation, full unit test coverage, and well-documented REST APIs — providing a robust analytical foundation for the Legal Document Analyser &amp; Advisor platform.</w:t>
      </w:r>
    </w:p>
    <w:p w14:paraId="0CAE1ECC"/>
    <w:p w14:paraId="7A82B7D1"/>
    <w:p w14:paraId="123C40B3">
      <w:r>
        <w:rPr>
          <w:rFonts w:ascii="Calibri" w:hAnsi="Calibri"/>
          <w:b w:val="0"/>
          <w:i w:val="0"/>
          <w:sz w:val="22"/>
        </w:rPr>
        <w:t>――――――――――――――――――――――――――――――――――――――――――――――――――</w:t>
      </w:r>
    </w:p>
    <w:p w14:paraId="4FD68F68">
      <w:r>
        <w:rPr>
          <w:rFonts w:ascii="Calibri" w:hAnsi="Calibri"/>
          <w:b/>
          <w:i w:val="0"/>
          <w:sz w:val="24"/>
        </w:rPr>
        <w:t>Prepared by: Dilip Kumawat</w:t>
      </w:r>
    </w:p>
    <w:p w14:paraId="0DE567C9">
      <w:r>
        <w:rPr>
          <w:rFonts w:ascii="Calibri" w:hAnsi="Calibri"/>
          <w:b w:val="0"/>
          <w:i w:val="0"/>
          <w:sz w:val="22"/>
        </w:rPr>
        <w:t>Module: Legal Analysis &amp; Risk Detection Engine</w:t>
      </w:r>
    </w:p>
    <w:p w14:paraId="40DFDAE9">
      <w:r>
        <w:rPr>
          <w:rFonts w:ascii="Calibri" w:hAnsi="Calibri"/>
          <w:b w:val="0"/>
          <w:i w:val="0"/>
          <w:sz w:val="22"/>
        </w:rPr>
        <w:t>Date: October 2026</w:t>
      </w:r>
    </w:p>
    <w:p w14:paraId="4E1CB03E">
      <w:r>
        <w:rPr>
          <w:rFonts w:ascii="Calibri" w:hAnsi="Calibri"/>
          <w:b w:val="0"/>
          <w:i w:val="0"/>
          <w:sz w:val="22"/>
        </w:rPr>
        <w:t>Project: Legal Document Analyser &amp; Advisor — 5th Semester PBL</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BE37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1A1A1A"/>
      <w:sz w:val="22"/>
      <w:szCs w:val="22"/>
      <w:lang w:val="en-US" w:eastAsia="en-US" w:bidi="ar-SA"/>
    </w:rPr>
  </w:style>
  <w:style w:type="paragraph" w:styleId="2">
    <w:name w:val="heading 1"/>
    <w:basedOn w:val="1"/>
    <w:next w:val="1"/>
    <w:link w:val="138"/>
    <w:qFormat/>
    <w:uiPriority w:val="9"/>
    <w:pPr>
      <w:keepNext/>
      <w:keepLines/>
      <w:spacing w:before="480" w:after="240"/>
      <w:outlineLvl w:val="0"/>
    </w:pPr>
    <w:rPr>
      <w:rFonts w:asciiTheme="majorHAnsi" w:hAnsiTheme="majorHAnsi" w:eastAsiaTheme="majorEastAsia" w:cstheme="majorBidi"/>
      <w:b/>
      <w:bCs/>
      <w:color w:val="1B3A6B"/>
      <w:sz w:val="36"/>
      <w:szCs w:val="28"/>
    </w:rPr>
  </w:style>
  <w:style w:type="paragraph" w:styleId="3">
    <w:name w:val="heading 2"/>
    <w:basedOn w:val="1"/>
    <w:next w:val="1"/>
    <w:link w:val="139"/>
    <w:unhideWhenUsed/>
    <w:qFormat/>
    <w:uiPriority w:val="9"/>
    <w:pPr>
      <w:keepNext/>
      <w:keepLines/>
      <w:spacing w:before="360" w:after="160"/>
      <w:outlineLvl w:val="1"/>
    </w:pPr>
    <w:rPr>
      <w:rFonts w:asciiTheme="majorHAnsi" w:hAnsiTheme="majorHAnsi" w:eastAsiaTheme="majorEastAsia" w:cstheme="majorBidi"/>
      <w:b/>
      <w:bCs/>
      <w:color w:val="1B3A6B"/>
      <w:sz w:val="28"/>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1B3A6B"/>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2240</Words>
  <Characters>15726</Characters>
  <Lines>0</Lines>
  <Paragraphs>0</Paragraphs>
  <TotalTime>6</TotalTime>
  <ScaleCrop>false</ScaleCrop>
  <LinksUpToDate>false</LinksUpToDate>
  <CharactersWithSpaces>18019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Dilip Kumawat</cp:lastModifiedBy>
  <dcterms:modified xsi:type="dcterms:W3CDTF">2026-10-11T18:09:37Z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eyJoZGlkIjoiZWUxZWFjZmRlNjZlZDI2MWIzNDFiNDdhNWZmOGQ2ZTkiLCJ1c2VySWQiOiI1NDk3NTgyNjEzMTgifQ==</vt:lpwstr>
  </property>
  <property fmtid="{D5CDD505-2E9C-101B-9397-08002B2CF9AE}" pid="3" name="KSOProductBuildVer">
    <vt:lpwstr>1033-12.1.0.29162</vt:lpwstr>
  </property>
  <property fmtid="{D5CDD505-2E9C-101B-9397-08002B2CF9AE}" pid="4" name="ICV">
    <vt:lpwstr>075EA193701247C2B9F32615395B1339_12</vt:lpwstr>
  </property>
</Properties>
</file>