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B2430"/>
          <w:sz w:val="36"/>
          <w:szCs w:val="36"/>
        </w:rPr>
        <w:t xml:space="preserve">RETAIL SALES &amp; PROFITABILITY ANALYSIS</w:t>
      </w:r>
    </w:p>
    <w:p>
      <w:pPr>
        <w:spacing w:after="300"/>
      </w:pPr>
      <w:r>
        <w:rPr>
          <w:i/>
          <w:iCs/>
          <w:color w:val="4A5568"/>
          <w:sz w:val="20"/>
          <w:szCs w:val="20"/>
        </w:rPr>
        <w:t xml:space="preserve">Insight Summary Report  ·  Superstore Dataset (FY2022–2025)  ·  Prepared as a data analyst portfolio project</w:t>
      </w:r>
    </w:p>
    <w:p>
      <w:pPr>
        <w:pStyle w:val="Heading1"/>
        <w:spacing w:after="120" w:before="200"/>
      </w:pPr>
      <w:r>
        <w:t xml:space="preserve">1. Objective</w:t>
      </w:r>
    </w:p>
    <w:p>
      <w:pPr>
        <w:spacing w:after="120"/>
      </w:pPr>
      <w:r>
        <w:rPr>
          <w:color w:val="1B2430"/>
          <w:sz w:val="22"/>
          <w:szCs w:val="22"/>
        </w:rPr>
        <w:t xml:space="preserve">This analysis examines four years of retail order data to identify which categories, regions, and pricing decisions drive profitability, and where the business is losing money despite healthy sales volume. The goal is to convert raw transaction-level data into concrete, actionable recommendations.</w:t>
      </w:r>
    </w:p>
    <w:p>
      <w:pPr>
        <w:pStyle w:val="Heading1"/>
        <w:spacing w:after="120" w:before="200"/>
      </w:pPr>
      <w:r>
        <w:t xml:space="preserve">2. Approach</w:t>
      </w:r>
    </w:p>
    <w:p>
      <w:pPr>
        <w:pStyle w:val="ListParagraph"/>
        <w:numPr>
          <w:ilvl w:val="0"/>
          <w:numId w:val="1"/>
        </w:numPr>
        <w:spacing w:after="80"/>
      </w:pPr>
      <w:r>
        <w:t xml:space="preserve">Sourced order-level retail data (~5,500 transactions, schema modeled on the widely-used Superstore dataset) and identified realistic data-quality issues: duplicate rows, missing customer/city values, mixed date formats, and sign-entry errors.</w:t>
      </w:r>
    </w:p>
    <w:p>
      <w:pPr>
        <w:pStyle w:val="ListParagraph"/>
        <w:numPr>
          <w:ilvl w:val="0"/>
          <w:numId w:val="1"/>
        </w:numPr>
        <w:spacing w:after="80"/>
      </w:pPr>
      <w:r>
        <w:t xml:space="preserve">Cleaned the data in Python (pandas): removed duplicates, standardized text casing, parsed mixed date formats, imputed missing categorical values, and corrected negative-quantity entries.</w:t>
      </w:r>
    </w:p>
    <w:p>
      <w:pPr>
        <w:pStyle w:val="ListParagraph"/>
        <w:numPr>
          <w:ilvl w:val="0"/>
          <w:numId w:val="1"/>
        </w:numPr>
        <w:spacing w:after="80"/>
      </w:pPr>
      <w:r>
        <w:t xml:space="preserve">Ran exploratory analysis in Python and cross-checked key metrics with SQL (window functions, CTEs) against a relational database.</w:t>
      </w:r>
    </w:p>
    <w:p>
      <w:pPr>
        <w:pStyle w:val="ListParagraph"/>
        <w:numPr>
          <w:ilvl w:val="0"/>
          <w:numId w:val="1"/>
        </w:numPr>
        <w:spacing w:after="80"/>
      </w:pPr>
      <w:r>
        <w:t xml:space="preserve">Built an interactive dashboard (Region / Category / Segment / Year filters) to let stakeholders explore the findings themselves.</w:t>
      </w:r>
    </w:p>
    <w:p>
      <w:pPr>
        <w:pStyle w:val="Heading1"/>
        <w:spacing w:after="120" w:before="200"/>
      </w:pPr>
      <w:r>
        <w:t xml:space="preserve">3. Key Findings</w:t>
      </w:r>
    </w:p>
    <w:p>
      <w:pPr>
        <w:pStyle w:val="Heading2"/>
        <w:spacing w:after="100" w:before="200"/>
      </w:pPr>
      <w:r>
        <w:t xml:space="preserve">3.1 Category performance</w:t>
      </w:r>
    </w:p>
    <w:p>
      <w:pPr>
        <w:spacing w:after="120"/>
      </w:pPr>
      <w:r>
        <w:rPr>
          <w:color w:val="1B2430"/>
          <w:sz w:val="22"/>
          <w:szCs w:val="22"/>
        </w:rPr>
        <w:t xml:space="preserve">Technology is the strongest category, contributing over $414K in profit at a 7.7% margin. Office Supplies is the most efficient category at a 19.2% margin. Furniture is the only category that is net loss-making overall, driven almost entirely by the Tables sub-category.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B2430" w:val="clear"/>
          </w:tcPr>
          <w:p>
            <w:pPr>
              <w:jc w:val="left"/>
            </w:pPr>
            <w:r>
              <w:rPr>
                <w:b/>
                <w:bCs/>
                <w:color w:val="FFFFFF"/>
                <w:sz w:val="20"/>
                <w:szCs w:val="20"/>
              </w:rPr>
              <w:t xml:space="preserve">Category</w:t>
            </w:r>
          </w:p>
        </w:tc>
        <w:tc>
          <w:tcPr>
            <w:tcW w:type="dxa" w:w="2200"/>
            <w:shd w:fill="1B2430" w:val="clear"/>
          </w:tcPr>
          <w:p>
            <w:pPr>
              <w:jc w:val="right"/>
            </w:pPr>
            <w:r>
              <w:rPr>
                <w:b/>
                <w:bCs/>
                <w:color w:val="FFFFFF"/>
                <w:sz w:val="20"/>
                <w:szCs w:val="20"/>
              </w:rPr>
              <w:t xml:space="preserve">Sales</w:t>
            </w:r>
          </w:p>
        </w:tc>
        <w:tc>
          <w:tcPr>
            <w:tcW w:type="dxa" w:w="2200"/>
            <w:shd w:fill="1B2430" w:val="clear"/>
          </w:tcPr>
          <w:p>
            <w:pPr>
              <w:jc w:val="right"/>
            </w:pPr>
            <w:r>
              <w:rPr>
                <w:b/>
                <w:bCs/>
                <w:color w:val="FFFFFF"/>
                <w:sz w:val="20"/>
                <w:szCs w:val="20"/>
              </w:rPr>
              <w:t xml:space="preserve">Profit</w:t>
            </w:r>
          </w:p>
        </w:tc>
        <w:tc>
          <w:tcPr>
            <w:tcW w:type="dxa" w:w="2200"/>
            <w:shd w:fill="1B2430" w:val="clear"/>
          </w:tcPr>
          <w:p>
            <w:pPr>
              <w:jc w:val="right"/>
            </w:pPr>
            <w:r>
              <w:rPr>
                <w:b/>
                <w:bCs/>
                <w:color w:val="FFFFFF"/>
                <w:sz w:val="20"/>
                <w:szCs w:val="20"/>
              </w:rPr>
              <w:t xml:space="preserve">Margin</w:t>
            </w:r>
          </w:p>
        </w:tc>
      </w:tr>
      <w:tr>
        <w:tc>
          <w:tcPr>
            <w:tcW w:type="dxa" w:w="2600"/>
          </w:tcPr>
          <w:p>
            <w:pPr>
              <w:jc w:val="left"/>
            </w:pPr>
            <w:r>
              <w:rPr>
                <w:b w:val="false"/>
                <w:bCs w:val="false"/>
                <w:color w:val="1B2430"/>
                <w:sz w:val="20"/>
                <w:szCs w:val="20"/>
              </w:rPr>
              <w:t xml:space="preserve">Technology</w:t>
            </w:r>
          </w:p>
        </w:tc>
        <w:tc>
          <w:tcPr>
            <w:tcW w:type="dxa" w:w="2200"/>
          </w:tcPr>
          <w:p>
            <w:pPr>
              <w:jc w:val="right"/>
            </w:pPr>
            <w:r>
              <w:rPr>
                <w:b w:val="false"/>
                <w:bCs w:val="false"/>
                <w:color w:val="1B2430"/>
                <w:sz w:val="20"/>
                <w:szCs w:val="20"/>
              </w:rPr>
              <w:t xml:space="preserve">$5.38M</w:t>
            </w:r>
          </w:p>
        </w:tc>
        <w:tc>
          <w:tcPr>
            <w:tcW w:type="dxa" w:w="2200"/>
          </w:tcPr>
          <w:p>
            <w:pPr>
              <w:jc w:val="right"/>
            </w:pPr>
            <w:r>
              <w:rPr>
                <w:b w:val="false"/>
                <w:bCs w:val="false"/>
                <w:color w:val="1B2430"/>
                <w:sz w:val="20"/>
                <w:szCs w:val="20"/>
              </w:rPr>
              <w:t xml:space="preserve">$414,061</w:t>
            </w:r>
          </w:p>
        </w:tc>
        <w:tc>
          <w:tcPr>
            <w:tcW w:type="dxa" w:w="2200"/>
          </w:tcPr>
          <w:p>
            <w:pPr>
              <w:jc w:val="right"/>
            </w:pPr>
            <w:r>
              <w:rPr>
                <w:b w:val="false"/>
                <w:bCs w:val="false"/>
                <w:color w:val="1B2430"/>
                <w:sz w:val="20"/>
                <w:szCs w:val="20"/>
              </w:rPr>
              <w:t xml:space="preserve">7.7%</w:t>
            </w:r>
          </w:p>
        </w:tc>
      </w:tr>
      <w:tr>
        <w:tc>
          <w:tcPr>
            <w:tcW w:type="dxa" w:w="2600"/>
          </w:tcPr>
          <w:p>
            <w:pPr>
              <w:jc w:val="left"/>
            </w:pPr>
            <w:r>
              <w:rPr>
                <w:b w:val="false"/>
                <w:bCs w:val="false"/>
                <w:color w:val="1B2430"/>
                <w:sz w:val="20"/>
                <w:szCs w:val="20"/>
              </w:rPr>
              <w:t xml:space="preserve">Office Supplies</w:t>
            </w:r>
          </w:p>
        </w:tc>
        <w:tc>
          <w:tcPr>
            <w:tcW w:type="dxa" w:w="2200"/>
          </w:tcPr>
          <w:p>
            <w:pPr>
              <w:jc w:val="right"/>
            </w:pPr>
            <w:r>
              <w:rPr>
                <w:b w:val="false"/>
                <w:bCs w:val="false"/>
                <w:color w:val="1B2430"/>
                <w:sz w:val="20"/>
                <w:szCs w:val="20"/>
              </w:rPr>
              <w:t xml:space="preserve">$1.16M</w:t>
            </w:r>
          </w:p>
        </w:tc>
        <w:tc>
          <w:tcPr>
            <w:tcW w:type="dxa" w:w="2200"/>
          </w:tcPr>
          <w:p>
            <w:pPr>
              <w:jc w:val="right"/>
            </w:pPr>
            <w:r>
              <w:rPr>
                <w:b w:val="false"/>
                <w:bCs w:val="false"/>
                <w:color w:val="1B2430"/>
                <w:sz w:val="20"/>
                <w:szCs w:val="20"/>
              </w:rPr>
              <w:t xml:space="preserve">$223,161</w:t>
            </w:r>
          </w:p>
        </w:tc>
        <w:tc>
          <w:tcPr>
            <w:tcW w:type="dxa" w:w="2200"/>
          </w:tcPr>
          <w:p>
            <w:pPr>
              <w:jc w:val="right"/>
            </w:pPr>
            <w:r>
              <w:rPr>
                <w:b w:val="false"/>
                <w:bCs w:val="false"/>
                <w:color w:val="1B2430"/>
                <w:sz w:val="20"/>
                <w:szCs w:val="20"/>
              </w:rPr>
              <w:t xml:space="preserve">19.2%</w:t>
            </w:r>
          </w:p>
        </w:tc>
      </w:tr>
      <w:tr>
        <w:tc>
          <w:tcPr>
            <w:tcW w:type="dxa" w:w="2600"/>
          </w:tcPr>
          <w:p>
            <w:pPr>
              <w:jc w:val="left"/>
            </w:pPr>
            <w:r>
              <w:rPr>
                <w:b w:val="false"/>
                <w:bCs w:val="false"/>
                <w:color w:val="1B2430"/>
                <w:sz w:val="20"/>
                <w:szCs w:val="20"/>
              </w:rPr>
              <w:t xml:space="preserve">Furniture</w:t>
            </w:r>
          </w:p>
        </w:tc>
        <w:tc>
          <w:tcPr>
            <w:tcW w:type="dxa" w:w="2200"/>
          </w:tcPr>
          <w:p>
            <w:pPr>
              <w:jc w:val="right"/>
            </w:pPr>
            <w:r>
              <w:rPr>
                <w:b w:val="false"/>
                <w:bCs w:val="false"/>
                <w:color w:val="1B2430"/>
                <w:sz w:val="20"/>
                <w:szCs w:val="20"/>
              </w:rPr>
              <w:t xml:space="preserve">$3.27M</w:t>
            </w:r>
          </w:p>
        </w:tc>
        <w:tc>
          <w:tcPr>
            <w:tcW w:type="dxa" w:w="2200"/>
          </w:tcPr>
          <w:p>
            <w:pPr>
              <w:jc w:val="right"/>
            </w:pPr>
            <w:r>
              <w:rPr>
                <w:b w:val="false"/>
                <w:bCs w:val="false"/>
                <w:color w:val="1B2430"/>
                <w:sz w:val="20"/>
                <w:szCs w:val="20"/>
              </w:rPr>
              <w:t xml:space="preserve">-$8,512</w:t>
            </w:r>
          </w:p>
        </w:tc>
        <w:tc>
          <w:tcPr>
            <w:tcW w:type="dxa" w:w="2200"/>
          </w:tcPr>
          <w:p>
            <w:pPr>
              <w:jc w:val="right"/>
            </w:pPr>
            <w:r>
              <w:rPr>
                <w:b w:val="false"/>
                <w:bCs w:val="false"/>
                <w:color w:val="1B2430"/>
                <w:sz w:val="20"/>
                <w:szCs w:val="20"/>
              </w:rPr>
              <w:t xml:space="preserve">-0.3%</w:t>
            </w:r>
          </w:p>
        </w:tc>
      </w:tr>
    </w:tbl>
    <w:p>
      <w:pPr>
        <w:spacing w:after="200" w:before="1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43250"/>
                    </a:xfrm>
                    <a:prstGeom prst="rect">
                      <a:avLst/>
                    </a:prstGeom>
                  </pic:spPr>
                </pic:pic>
              </a:graphicData>
            </a:graphic>
          </wp:inline>
        </w:drawing>
      </w:r>
    </w:p>
    <w:p>
      <w:pPr>
        <w:pStyle w:val="Heading2"/>
        <w:spacing w:after="100" w:before="200"/>
      </w:pPr>
      <w:r>
        <w:t xml:space="preserve">3.2 Discounting is eroding margin past a clear threshold</w:t>
      </w:r>
    </w:p>
    <w:p>
      <w:pPr>
        <w:spacing w:after="120"/>
      </w:pPr>
      <w:r>
        <w:rPr>
          <w:color w:val="1B2430"/>
          <w:sz w:val="22"/>
          <w:szCs w:val="22"/>
        </w:rPr>
        <w:t xml:space="preserve">Profit margin declines sharply as discount level rises. Orders discounted 30% or more average a -3.6% margin (i.e., they lose money), while orders discounted 10% or less average a 22.4% margin. The break-even point sits between the 20-30% discount bands.</w:t>
      </w:r>
    </w:p>
    <w:p>
      <w:pPr>
        <w:spacing w:after="200" w:before="1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43250"/>
                    </a:xfrm>
                    <a:prstGeom prst="rect">
                      <a:avLst/>
                    </a:prstGeom>
                  </pic:spPr>
                </pic:pic>
              </a:graphicData>
            </a:graphic>
          </wp:inline>
        </w:drawing>
      </w:r>
    </w:p>
    <w:p>
      <w:pPr>
        <w:pStyle w:val="Heading2"/>
        <w:spacing w:after="100" w:before="200"/>
      </w:pPr>
      <w:r>
        <w:t xml:space="preserve">3.3 Regional performance is fairly even, with South leading</w:t>
      </w:r>
    </w:p>
    <w:p>
      <w:pPr>
        <w:spacing w:after="120"/>
      </w:pPr>
      <w:r>
        <w:rPr>
          <w:color w:val="1B2430"/>
          <w:sz w:val="22"/>
          <w:szCs w:val="22"/>
        </w:rPr>
        <w:t xml:space="preserve">Sales are evenly distributed across all four regions (each between $2.36M-$2.53M), but profit is not: South leads in both total profit and margin, while East consistently lags despite comparable sales volume — pointing to a cost or discounting issue specific to that region rather than a demand problem.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B2430" w:val="clear"/>
          </w:tcPr>
          <w:p>
            <w:pPr>
              <w:jc w:val="left"/>
            </w:pPr>
            <w:r>
              <w:rPr>
                <w:b/>
                <w:bCs/>
                <w:color w:val="FFFFFF"/>
                <w:sz w:val="20"/>
                <w:szCs w:val="20"/>
              </w:rPr>
              <w:t xml:space="preserve">Region</w:t>
            </w:r>
          </w:p>
        </w:tc>
        <w:tc>
          <w:tcPr>
            <w:tcW w:type="dxa" w:w="2200"/>
            <w:shd w:fill="1B2430" w:val="clear"/>
          </w:tcPr>
          <w:p>
            <w:pPr>
              <w:jc w:val="right"/>
            </w:pPr>
            <w:r>
              <w:rPr>
                <w:b/>
                <w:bCs/>
                <w:color w:val="FFFFFF"/>
                <w:sz w:val="20"/>
                <w:szCs w:val="20"/>
              </w:rPr>
              <w:t xml:space="preserve">Sales</w:t>
            </w:r>
          </w:p>
        </w:tc>
        <w:tc>
          <w:tcPr>
            <w:tcW w:type="dxa" w:w="2200"/>
            <w:shd w:fill="1B2430" w:val="clear"/>
          </w:tcPr>
          <w:p>
            <w:pPr>
              <w:jc w:val="right"/>
            </w:pPr>
            <w:r>
              <w:rPr>
                <w:b/>
                <w:bCs/>
                <w:color w:val="FFFFFF"/>
                <w:sz w:val="20"/>
                <w:szCs w:val="20"/>
              </w:rPr>
              <w:t xml:space="preserve">Profit</w:t>
            </w:r>
          </w:p>
        </w:tc>
        <w:tc>
          <w:tcPr>
            <w:tcW w:type="dxa" w:w="2200"/>
            <w:shd w:fill="1B2430" w:val="clear"/>
          </w:tcPr>
          <w:p>
            <w:pPr>
              <w:jc w:val="right"/>
            </w:pPr>
            <w:r>
              <w:rPr>
                <w:b/>
                <w:bCs/>
                <w:color w:val="FFFFFF"/>
                <w:sz w:val="20"/>
                <w:szCs w:val="20"/>
              </w:rPr>
              <w:t xml:space="preserve">Margin</w:t>
            </w:r>
          </w:p>
        </w:tc>
      </w:tr>
      <w:tr>
        <w:tc>
          <w:tcPr>
            <w:tcW w:type="dxa" w:w="2600"/>
          </w:tcPr>
          <w:p>
            <w:pPr>
              <w:jc w:val="left"/>
            </w:pPr>
            <w:r>
              <w:rPr>
                <w:b w:val="false"/>
                <w:bCs w:val="false"/>
                <w:color w:val="1B2430"/>
                <w:sz w:val="20"/>
                <w:szCs w:val="20"/>
              </w:rPr>
              <w:t xml:space="preserve">South</w:t>
            </w:r>
          </w:p>
        </w:tc>
        <w:tc>
          <w:tcPr>
            <w:tcW w:type="dxa" w:w="2200"/>
          </w:tcPr>
          <w:p>
            <w:pPr>
              <w:jc w:val="right"/>
            </w:pPr>
            <w:r>
              <w:rPr>
                <w:b w:val="false"/>
                <w:bCs w:val="false"/>
                <w:color w:val="1B2430"/>
                <w:sz w:val="20"/>
                <w:szCs w:val="20"/>
              </w:rPr>
              <w:t xml:space="preserve">$2.52M</w:t>
            </w:r>
          </w:p>
        </w:tc>
        <w:tc>
          <w:tcPr>
            <w:tcW w:type="dxa" w:w="2200"/>
          </w:tcPr>
          <w:p>
            <w:pPr>
              <w:jc w:val="right"/>
            </w:pPr>
            <w:r>
              <w:rPr>
                <w:b w:val="false"/>
                <w:bCs w:val="false"/>
                <w:color w:val="1B2430"/>
                <w:sz w:val="20"/>
                <w:szCs w:val="20"/>
              </w:rPr>
              <w:t xml:space="preserve">$173,376</w:t>
            </w:r>
          </w:p>
        </w:tc>
        <w:tc>
          <w:tcPr>
            <w:tcW w:type="dxa" w:w="2200"/>
          </w:tcPr>
          <w:p>
            <w:pPr>
              <w:jc w:val="right"/>
            </w:pPr>
            <w:r>
              <w:rPr>
                <w:b w:val="false"/>
                <w:bCs w:val="false"/>
                <w:color w:val="1B2430"/>
                <w:sz w:val="20"/>
                <w:szCs w:val="20"/>
              </w:rPr>
              <w:t xml:space="preserve">6.9%</w:t>
            </w:r>
          </w:p>
        </w:tc>
      </w:tr>
      <w:tr>
        <w:tc>
          <w:tcPr>
            <w:tcW w:type="dxa" w:w="2600"/>
          </w:tcPr>
          <w:p>
            <w:pPr>
              <w:jc w:val="left"/>
            </w:pPr>
            <w:r>
              <w:rPr>
                <w:b w:val="false"/>
                <w:bCs w:val="false"/>
                <w:color w:val="1B2430"/>
                <w:sz w:val="20"/>
                <w:szCs w:val="20"/>
              </w:rPr>
              <w:t xml:space="preserve">Central</w:t>
            </w:r>
          </w:p>
        </w:tc>
        <w:tc>
          <w:tcPr>
            <w:tcW w:type="dxa" w:w="2200"/>
          </w:tcPr>
          <w:p>
            <w:pPr>
              <w:jc w:val="right"/>
            </w:pPr>
            <w:r>
              <w:rPr>
                <w:b w:val="false"/>
                <w:bCs w:val="false"/>
                <w:color w:val="1B2430"/>
                <w:sz w:val="20"/>
                <w:szCs w:val="20"/>
              </w:rPr>
              <w:t xml:space="preserve">$2.53M</w:t>
            </w:r>
          </w:p>
        </w:tc>
        <w:tc>
          <w:tcPr>
            <w:tcW w:type="dxa" w:w="2200"/>
          </w:tcPr>
          <w:p>
            <w:pPr>
              <w:jc w:val="right"/>
            </w:pPr>
            <w:r>
              <w:rPr>
                <w:b w:val="false"/>
                <w:bCs w:val="false"/>
                <w:color w:val="1B2430"/>
                <w:sz w:val="20"/>
                <w:szCs w:val="20"/>
              </w:rPr>
              <w:t xml:space="preserve">$161,016</w:t>
            </w:r>
          </w:p>
        </w:tc>
        <w:tc>
          <w:tcPr>
            <w:tcW w:type="dxa" w:w="2200"/>
          </w:tcPr>
          <w:p>
            <w:pPr>
              <w:jc w:val="right"/>
            </w:pPr>
            <w:r>
              <w:rPr>
                <w:b w:val="false"/>
                <w:bCs w:val="false"/>
                <w:color w:val="1B2430"/>
                <w:sz w:val="20"/>
                <w:szCs w:val="20"/>
              </w:rPr>
              <w:t xml:space="preserve">6.4%</w:t>
            </w:r>
          </w:p>
        </w:tc>
      </w:tr>
      <w:tr>
        <w:tc>
          <w:tcPr>
            <w:tcW w:type="dxa" w:w="2600"/>
          </w:tcPr>
          <w:p>
            <w:pPr>
              <w:jc w:val="left"/>
            </w:pPr>
            <w:r>
              <w:rPr>
                <w:b w:val="false"/>
                <w:bCs w:val="false"/>
                <w:color w:val="1B2430"/>
                <w:sz w:val="20"/>
                <w:szCs w:val="20"/>
              </w:rPr>
              <w:t xml:space="preserve">West</w:t>
            </w:r>
          </w:p>
        </w:tc>
        <w:tc>
          <w:tcPr>
            <w:tcW w:type="dxa" w:w="2200"/>
          </w:tcPr>
          <w:p>
            <w:pPr>
              <w:jc w:val="right"/>
            </w:pPr>
            <w:r>
              <w:rPr>
                <w:b w:val="false"/>
                <w:bCs w:val="false"/>
                <w:color w:val="1B2430"/>
                <w:sz w:val="20"/>
                <w:szCs w:val="20"/>
              </w:rPr>
              <w:t xml:space="preserve">$2.40M</w:t>
            </w:r>
          </w:p>
        </w:tc>
        <w:tc>
          <w:tcPr>
            <w:tcW w:type="dxa" w:w="2200"/>
          </w:tcPr>
          <w:p>
            <w:pPr>
              <w:jc w:val="right"/>
            </w:pPr>
            <w:r>
              <w:rPr>
                <w:b w:val="false"/>
                <w:bCs w:val="false"/>
                <w:color w:val="1B2430"/>
                <w:sz w:val="20"/>
                <w:szCs w:val="20"/>
              </w:rPr>
              <w:t xml:space="preserve">$148,313</w:t>
            </w:r>
          </w:p>
        </w:tc>
        <w:tc>
          <w:tcPr>
            <w:tcW w:type="dxa" w:w="2200"/>
          </w:tcPr>
          <w:p>
            <w:pPr>
              <w:jc w:val="right"/>
            </w:pPr>
            <w:r>
              <w:rPr>
                <w:b w:val="false"/>
                <w:bCs w:val="false"/>
                <w:color w:val="1B2430"/>
                <w:sz w:val="20"/>
                <w:szCs w:val="20"/>
              </w:rPr>
              <w:t xml:space="preserve">6.2%</w:t>
            </w:r>
          </w:p>
        </w:tc>
      </w:tr>
      <w:tr>
        <w:tc>
          <w:tcPr>
            <w:tcW w:type="dxa" w:w="2600"/>
          </w:tcPr>
          <w:p>
            <w:pPr>
              <w:jc w:val="left"/>
            </w:pPr>
            <w:r>
              <w:rPr>
                <w:b w:val="false"/>
                <w:bCs w:val="false"/>
                <w:color w:val="1B2430"/>
                <w:sz w:val="20"/>
                <w:szCs w:val="20"/>
              </w:rPr>
              <w:t xml:space="preserve">East</w:t>
            </w:r>
          </w:p>
        </w:tc>
        <w:tc>
          <w:tcPr>
            <w:tcW w:type="dxa" w:w="2200"/>
          </w:tcPr>
          <w:p>
            <w:pPr>
              <w:jc w:val="right"/>
            </w:pPr>
            <w:r>
              <w:rPr>
                <w:b w:val="false"/>
                <w:bCs w:val="false"/>
                <w:color w:val="1B2430"/>
                <w:sz w:val="20"/>
                <w:szCs w:val="20"/>
              </w:rPr>
              <w:t xml:space="preserve">$2.36M</w:t>
            </w:r>
          </w:p>
        </w:tc>
        <w:tc>
          <w:tcPr>
            <w:tcW w:type="dxa" w:w="2200"/>
          </w:tcPr>
          <w:p>
            <w:pPr>
              <w:jc w:val="right"/>
            </w:pPr>
            <w:r>
              <w:rPr>
                <w:b w:val="false"/>
                <w:bCs w:val="false"/>
                <w:color w:val="1B2430"/>
                <w:sz w:val="20"/>
                <w:szCs w:val="20"/>
              </w:rPr>
              <w:t xml:space="preserve">$146,005</w:t>
            </w:r>
          </w:p>
        </w:tc>
        <w:tc>
          <w:tcPr>
            <w:tcW w:type="dxa" w:w="2200"/>
          </w:tcPr>
          <w:p>
            <w:pPr>
              <w:jc w:val="right"/>
            </w:pPr>
            <w:r>
              <w:rPr>
                <w:b w:val="false"/>
                <w:bCs w:val="false"/>
                <w:color w:val="1B2430"/>
                <w:sz w:val="20"/>
                <w:szCs w:val="20"/>
              </w:rPr>
              <w:t xml:space="preserve">6.2%</w:t>
            </w:r>
          </w:p>
        </w:tc>
      </w:tr>
    </w:tbl>
    <w:p>
      <w:pPr>
        <w:spacing w:after="200" w:before="1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43250"/>
                    </a:xfrm>
                    <a:prstGeom prst="rect">
                      <a:avLst/>
                    </a:prstGeom>
                  </pic:spPr>
                </pic:pic>
              </a:graphicData>
            </a:graphic>
          </wp:inline>
        </w:drawing>
      </w:r>
    </w:p>
    <w:p>
      <w:pPr>
        <w:pStyle w:val="Heading2"/>
        <w:spacing w:after="100" w:before="200"/>
      </w:pPr>
      <w:r>
        <w:t xml:space="preserve">3.4 Tables is the single biggest drag on profitability</w:t>
      </w:r>
    </w:p>
    <w:p>
      <w:pPr>
        <w:spacing w:after="120"/>
      </w:pPr>
      <w:r>
        <w:rPr>
          <w:color w:val="1B2430"/>
          <w:sz w:val="22"/>
          <w:szCs w:val="22"/>
        </w:rPr>
        <w:t xml:space="preserve">At the sub-category level, Tables lost over $33,500 despite generating substantial sales — the worst performer by a wide margin. Bookcases also run a modest loss. Both belong to the Furniture category, explaining that category's overall loss position.</w:t>
      </w:r>
    </w:p>
    <w:p>
      <w:pPr>
        <w:spacing w:after="200" w:before="1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pStyle w:val="Heading2"/>
        <w:spacing w:after="100" w:before="200"/>
      </w:pPr>
      <w:r>
        <w:t xml:space="preserve">3.5 Sales and profit trend</w:t>
      </w:r>
    </w:p>
    <w:p>
      <w:pPr>
        <w:spacing w:after="120"/>
      </w:pPr>
      <w:r>
        <w:rPr>
          <w:color w:val="1B2430"/>
          <w:sz w:val="22"/>
          <w:szCs w:val="22"/>
        </w:rPr>
        <w:t xml:space="preserve">Monthly sales and profit both show a mild seasonal pattern with year-over-year growth, though profit growth lags sales growth in several months, consistent with the discounting effect noted above.</w:t>
      </w:r>
    </w:p>
    <w:p>
      <w:pPr>
        <w:spacing w:after="200" w:before="1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43250"/>
                    </a:xfrm>
                    <a:prstGeom prst="rect">
                      <a:avLst/>
                    </a:prstGeom>
                  </pic:spPr>
                </pic:pic>
              </a:graphicData>
            </a:graphic>
          </wp:inline>
        </w:drawing>
      </w:r>
    </w:p>
    <w:p>
      <w:pPr>
        <w:pStyle w:val="Heading1"/>
        <w:spacing w:after="120" w:before="200"/>
      </w:pPr>
      <w:r>
        <w:t xml:space="preserve">4. Recommendations</w:t>
      </w:r>
    </w:p>
    <w:p>
      <w:pPr>
        <w:pStyle w:val="ListParagraph"/>
        <w:numPr>
          <w:ilvl w:val="0"/>
          <w:numId w:val="1"/>
        </w:numPr>
        <w:spacing w:after="80"/>
      </w:pPr>
      <w:r>
        <w:t xml:space="preserve">Cap discounts on Furniture — particularly Tables — at 20%, or renegotiate supplier cost on that sub-category before discounting further; current discounting practice turns a top-line sale into a bottom-line loss.</w:t>
      </w:r>
    </w:p>
    <w:p>
      <w:pPr>
        <w:pStyle w:val="ListParagraph"/>
        <w:numPr>
          <w:ilvl w:val="0"/>
          <w:numId w:val="1"/>
        </w:numPr>
        <w:spacing w:after="80"/>
      </w:pPr>
      <w:r>
        <w:t xml:space="preserve">Investigate East region's cost structure (shipping, regional pricing, or discount approval patterns) since it underperforms South despite similar sales volume.</w:t>
      </w:r>
    </w:p>
    <w:p>
      <w:pPr>
        <w:pStyle w:val="ListParagraph"/>
        <w:numPr>
          <w:ilvl w:val="0"/>
          <w:numId w:val="1"/>
        </w:numPr>
        <w:spacing w:after="80"/>
      </w:pPr>
      <w:r>
        <w:t xml:space="preserve">Double down on Technology and Office Supplies promotions, since they sustain profit even at moderate discount levels — a safer lever for driving volume.</w:t>
      </w:r>
    </w:p>
    <w:p>
      <w:pPr>
        <w:pStyle w:val="ListParagraph"/>
        <w:numPr>
          <w:ilvl w:val="0"/>
          <w:numId w:val="1"/>
        </w:numPr>
        <w:spacing w:after="80"/>
      </w:pPr>
      <w:r>
        <w:t xml:space="preserve">Set a discount approval threshold at 20-25% company-wide, based on the clear margin cliff observed beyond that point.</w:t>
      </w:r>
    </w:p>
    <w:p>
      <w:pPr>
        <w:pStyle w:val="Heading1"/>
        <w:spacing w:after="120" w:before="200"/>
      </w:pPr>
      <w:r>
        <w:t xml:space="preserve">5. Tools Used</w:t>
      </w:r>
    </w:p>
    <w:p>
      <w:pPr>
        <w:spacing w:after="120"/>
      </w:pPr>
      <w:r>
        <w:rPr>
          <w:color w:val="1B2430"/>
          <w:sz w:val="22"/>
          <w:szCs w:val="22"/>
        </w:rPr>
        <w:t xml:space="preserve">Python (pandas, matplotlib) for data cleaning and exploratory analysis · SQL (SQLite — window functions, CTEs, joins) for business-question queries · HTML/JavaScript (Chart.js) for the interactive dashboard · Excel-compatible CSV outputs throughout.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a259cdc96fb1a96d9e64480bcecb6d34e884f4.png"/><Relationship Id="rId8" Type="http://schemas.openxmlformats.org/officeDocument/2006/relationships/image" Target="media/d75079326a05158cd03798b640e1cd6bb277b6f2.png"/><Relationship Id="rId9" Type="http://schemas.openxmlformats.org/officeDocument/2006/relationships/image" Target="media/43049881c4cafa55ee1c8b057ffd5723515c7d84.png"/><Relationship Id="rId10" Type="http://schemas.openxmlformats.org/officeDocument/2006/relationships/image" Target="media/23d031a9281ad0ffe5246c13a08bb032577e41c8.png"/><Relationship Id="rId11" Type="http://schemas.openxmlformats.org/officeDocument/2006/relationships/image" Target="media/e23b9d6d53a458b63d873b91cc74a72f5b48a16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2026-07-04T15:05:42.926Z</dcterms:created>
  <dcterms:modified xsi:type="dcterms:W3CDTF">2026-07-04T15:05:42.927Z</dcterms:modified>
</cp:coreProperties>
</file>

<file path=docProps/custom.xml><?xml version="1.0" encoding="utf-8"?>
<Properties xmlns="http://schemas.openxmlformats.org/officeDocument/2006/custom-properties" xmlns:vt="http://schemas.openxmlformats.org/officeDocument/2006/docPropsVTypes"/>
</file>