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44A23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0"/>
        <w:rPr>
          <w:b/>
          <w:bCs/>
          <w:color w:val="1B1C1D"/>
          <w:kern w:val="36"/>
          <w:sz w:val="33"/>
          <w:szCs w:val="33"/>
        </w:rPr>
      </w:pPr>
      <w:r w:rsidRPr="003D3F57">
        <w:rPr>
          <w:b/>
          <w:bCs/>
          <w:color w:val="1B1C1D"/>
          <w:kern w:val="36"/>
          <w:sz w:val="33"/>
          <w:szCs w:val="33"/>
        </w:rPr>
        <w:t>Solution Architecture – Sustainable Smart City Assistant Using IBM Granite LLM</w:t>
      </w:r>
    </w:p>
    <w:p w14:paraId="194CF65C" w14:textId="77777777" w:rsidR="003D3F57" w:rsidRPr="003D3F57" w:rsidRDefault="003D3F57" w:rsidP="003D3F57">
      <w:pPr>
        <w:spacing w:before="100" w:beforeAutospacing="1" w:after="100" w:afterAutospacing="1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Date: 26 June 2025</w:t>
      </w:r>
    </w:p>
    <w:p w14:paraId="3893F280" w14:textId="614487C4" w:rsidR="003D3F57" w:rsidRPr="003D3F57" w:rsidRDefault="003D3F57" w:rsidP="003D3F57">
      <w:pPr>
        <w:spacing w:before="100" w:beforeAutospacing="1" w:after="100" w:afterAutospacing="1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Team ID: LTVIP2025TMID320</w:t>
      </w:r>
      <w:r w:rsidR="000550CD">
        <w:rPr>
          <w:color w:val="1B1C1D"/>
          <w:sz w:val="24"/>
          <w:szCs w:val="24"/>
        </w:rPr>
        <w:t>00</w:t>
      </w:r>
    </w:p>
    <w:p w14:paraId="1ECAF27E" w14:textId="77777777" w:rsidR="003D3F57" w:rsidRPr="003D3F57" w:rsidRDefault="003D3F57" w:rsidP="003D3F57">
      <w:pPr>
        <w:spacing w:before="100" w:beforeAutospacing="1" w:after="100" w:afterAutospacing="1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Project Name: Sustainable Smart City Assistant Using IBM Granite LLM</w:t>
      </w:r>
    </w:p>
    <w:p w14:paraId="6AC58504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1"/>
        <w:rPr>
          <w:b/>
          <w:bCs/>
          <w:color w:val="1B1C1D"/>
          <w:sz w:val="30"/>
          <w:szCs w:val="30"/>
        </w:rPr>
      </w:pPr>
      <w:r w:rsidRPr="003D3F57">
        <w:rPr>
          <w:b/>
          <w:bCs/>
          <w:color w:val="1B1C1D"/>
          <w:sz w:val="30"/>
          <w:szCs w:val="30"/>
        </w:rPr>
        <w:t>Solution Architecture:</w:t>
      </w:r>
    </w:p>
    <w:p w14:paraId="368CE1F7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Solution architecture defines the structural blueprint that bridges the gap between complex urban sustainability challenges and intelligent technology solutions. Its key objectives are to:</w:t>
      </w:r>
    </w:p>
    <w:p w14:paraId="55C58FC7" w14:textId="77777777" w:rsidR="003D3F57" w:rsidRPr="003D3F57" w:rsidRDefault="003D3F57" w:rsidP="003D3F57">
      <w:pPr>
        <w:numPr>
          <w:ilvl w:val="0"/>
          <w:numId w:val="2"/>
        </w:numPr>
        <w:spacing w:before="100" w:beforeAutospacing="1" w:after="120" w:line="240" w:lineRule="auto"/>
        <w:ind w:left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Identify the best technology stack to address sustainability, governance, and citizen engagement challenges</w:t>
      </w:r>
    </w:p>
    <w:p w14:paraId="1729B756" w14:textId="77777777" w:rsidR="003D3F57" w:rsidRPr="003D3F57" w:rsidRDefault="003D3F57" w:rsidP="003D3F57">
      <w:pPr>
        <w:numPr>
          <w:ilvl w:val="0"/>
          <w:numId w:val="2"/>
        </w:numPr>
        <w:spacing w:before="100" w:beforeAutospacing="1" w:after="120" w:line="240" w:lineRule="auto"/>
        <w:ind w:left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Describe the structure, behavior, and key components of the system to project stakeholders</w:t>
      </w:r>
    </w:p>
    <w:p w14:paraId="366B2341" w14:textId="77777777" w:rsidR="003D3F57" w:rsidRPr="003D3F57" w:rsidRDefault="003D3F57" w:rsidP="003D3F57">
      <w:pPr>
        <w:numPr>
          <w:ilvl w:val="0"/>
          <w:numId w:val="2"/>
        </w:numPr>
        <w:spacing w:before="100" w:beforeAutospacing="1" w:after="120" w:line="240" w:lineRule="auto"/>
        <w:ind w:left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Define core features, development phases, and technical requirements</w:t>
      </w:r>
    </w:p>
    <w:p w14:paraId="47343341" w14:textId="77777777" w:rsidR="003D3F57" w:rsidRPr="003D3F57" w:rsidRDefault="003D3F57" w:rsidP="003D3F57">
      <w:pPr>
        <w:numPr>
          <w:ilvl w:val="0"/>
          <w:numId w:val="2"/>
        </w:numPr>
        <w:spacing w:before="100" w:beforeAutospacing="1" w:after="120" w:line="240" w:lineRule="auto"/>
        <w:ind w:left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Provide specifications that guide the design, development, management, and delivery of the AI-powered assistant</w:t>
      </w:r>
    </w:p>
    <w:p w14:paraId="389F18C2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1"/>
        <w:rPr>
          <w:b/>
          <w:bCs/>
          <w:color w:val="1B1C1D"/>
          <w:sz w:val="30"/>
          <w:szCs w:val="30"/>
        </w:rPr>
      </w:pPr>
      <w:r w:rsidRPr="003D3F57">
        <w:rPr>
          <w:b/>
          <w:bCs/>
          <w:color w:val="1B1C1D"/>
          <w:sz w:val="30"/>
          <w:szCs w:val="30"/>
        </w:rPr>
        <w:t>Sustainable Smart City Assistant Architecture Overview:</w:t>
      </w:r>
    </w:p>
    <w:p w14:paraId="4A85A3A4" w14:textId="77777777" w:rsidR="003D3F57" w:rsidRPr="003D3F57" w:rsidRDefault="003D3F57" w:rsidP="003D3F57">
      <w:pPr>
        <w:spacing w:before="100" w:beforeAutospacing="1" w:after="240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The proposed Sustainable Smart City Assistant follows a modular, scalable architecture designed to support real-time data processing, citizen interaction, and AI-driven decision support for city administrators. It enables efficient information access, resource forecasting, anomaly detection, and citizen engagement using cutting-edge AI technologies.</w:t>
      </w:r>
    </w:p>
    <w:p w14:paraId="03E3AA44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1"/>
        <w:rPr>
          <w:b/>
          <w:bCs/>
          <w:color w:val="1B1C1D"/>
          <w:sz w:val="30"/>
          <w:szCs w:val="30"/>
        </w:rPr>
      </w:pPr>
      <w:r w:rsidRPr="003D3F57">
        <w:rPr>
          <w:b/>
          <w:bCs/>
          <w:color w:val="1B1C1D"/>
          <w:sz w:val="30"/>
          <w:szCs w:val="30"/>
        </w:rPr>
        <w:t>Key Components:</w:t>
      </w:r>
    </w:p>
    <w:p w14:paraId="5007A474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Front-end:</w:t>
      </w:r>
      <w:r w:rsidRPr="003D3F57">
        <w:rPr>
          <w:color w:val="1B1C1D"/>
          <w:sz w:val="24"/>
          <w:szCs w:val="24"/>
        </w:rPr>
        <w:t xml:space="preserve"> Streamlit-based interactive dashboard for policy search, KPI viewing, eco-tip generation, feedback submission, and AI chat interaction</w:t>
      </w:r>
    </w:p>
    <w:p w14:paraId="503CE75B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Backend:</w:t>
      </w:r>
      <w:r w:rsidRPr="003D3F57">
        <w:rPr>
          <w:color w:val="1B1C1D"/>
          <w:sz w:val="24"/>
          <w:szCs w:val="24"/>
        </w:rPr>
        <w:t xml:space="preserve"> FastAPI-powered server handling business logic, API routing, and integration with AI services</w:t>
      </w:r>
    </w:p>
    <w:p w14:paraId="4B847981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AI Service Layer:</w:t>
      </w:r>
      <w:r w:rsidRPr="003D3F57">
        <w:rPr>
          <w:color w:val="1B1C1D"/>
          <w:sz w:val="24"/>
          <w:szCs w:val="24"/>
        </w:rPr>
        <w:t xml:space="preserve"> IBM Watsonx Granite LLM (Granite-13b-instruct-v2) for document summarization, eco-tips, chat responses, and sustainability report generation</w:t>
      </w:r>
    </w:p>
    <w:p w14:paraId="343635D6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Document Processor:</w:t>
      </w:r>
      <w:r w:rsidRPr="003D3F57">
        <w:rPr>
          <w:color w:val="1B1C1D"/>
          <w:sz w:val="24"/>
          <w:szCs w:val="24"/>
        </w:rPr>
        <w:t xml:space="preserve"> PyMuPDF (fitz) for extracting and processing text from uploaded policy documents and reports</w:t>
      </w:r>
    </w:p>
    <w:p w14:paraId="1EBC22C5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Vector Search Layer:</w:t>
      </w:r>
      <w:r w:rsidRPr="003D3F57">
        <w:rPr>
          <w:color w:val="1B1C1D"/>
          <w:sz w:val="24"/>
          <w:szCs w:val="24"/>
        </w:rPr>
        <w:t xml:space="preserve"> Pinecone Vector Database for semantic search and efficient retrieval of policy document content</w:t>
      </w:r>
    </w:p>
    <w:p w14:paraId="328E92BE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Data Storage:</w:t>
      </w:r>
      <w:r w:rsidRPr="003D3F57">
        <w:rPr>
          <w:color w:val="1B1C1D"/>
          <w:sz w:val="24"/>
          <w:szCs w:val="24"/>
        </w:rPr>
        <w:t xml:space="preserve"> Streamlit session state for temporary user interactions; optional local file storage for static data</w:t>
      </w:r>
    </w:p>
    <w:p w14:paraId="22A05F30" w14:textId="77777777" w:rsidR="003D3F57" w:rsidRPr="003D3F57" w:rsidRDefault="003D3F57" w:rsidP="003D3F57">
      <w:pPr>
        <w:numPr>
          <w:ilvl w:val="0"/>
          <w:numId w:val="3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Security Layer:</w:t>
      </w:r>
      <w:r w:rsidRPr="003D3F57">
        <w:rPr>
          <w:color w:val="1B1C1D"/>
          <w:sz w:val="24"/>
          <w:szCs w:val="24"/>
        </w:rPr>
        <w:t xml:space="preserve"> .env configuration and secure API key handling for Watsonx and Pinecone services</w:t>
      </w:r>
    </w:p>
    <w:p w14:paraId="7D7077F2" w14:textId="77777777" w:rsidR="003D3F57" w:rsidRPr="003D3F57" w:rsidRDefault="003D3F57" w:rsidP="003D3F57">
      <w:pPr>
        <w:spacing w:before="100" w:beforeAutospacing="1" w:after="120" w:line="240" w:lineRule="auto"/>
        <w:ind w:left="0" w:firstLine="0"/>
        <w:outlineLvl w:val="1"/>
        <w:rPr>
          <w:b/>
          <w:bCs/>
          <w:color w:val="1B1C1D"/>
          <w:sz w:val="30"/>
          <w:szCs w:val="30"/>
        </w:rPr>
      </w:pPr>
      <w:r w:rsidRPr="003D3F57">
        <w:rPr>
          <w:b/>
          <w:bCs/>
          <w:color w:val="1B1C1D"/>
          <w:sz w:val="30"/>
          <w:szCs w:val="30"/>
        </w:rPr>
        <w:t>Development Phases:</w:t>
      </w:r>
    </w:p>
    <w:p w14:paraId="5EB67201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lastRenderedPageBreak/>
        <w:t>Phase 1:</w:t>
      </w:r>
      <w:r w:rsidRPr="003D3F57">
        <w:rPr>
          <w:color w:val="1B1C1D"/>
          <w:sz w:val="24"/>
          <w:szCs w:val="24"/>
        </w:rPr>
        <w:t xml:space="preserve"> Streamlit user interface setup with modular navigation for different assistant features</w:t>
      </w:r>
    </w:p>
    <w:p w14:paraId="18406A34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Phase 2:</w:t>
      </w:r>
      <w:r w:rsidRPr="003D3F57">
        <w:rPr>
          <w:color w:val="1B1C1D"/>
          <w:sz w:val="24"/>
          <w:szCs w:val="24"/>
        </w:rPr>
        <w:t xml:space="preserve"> Integration of policy summarization, eco-tip generation, and citizen feedback form</w:t>
      </w:r>
    </w:p>
    <w:p w14:paraId="7A371E8F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Phase 3:</w:t>
      </w:r>
      <w:r w:rsidRPr="003D3F57">
        <w:rPr>
          <w:color w:val="1B1C1D"/>
          <w:sz w:val="24"/>
          <w:szCs w:val="24"/>
        </w:rPr>
        <w:t xml:space="preserve"> Implementation of KPI forecasting, anomaly detection, and vector search for policy documents</w:t>
      </w:r>
    </w:p>
    <w:p w14:paraId="2F9C53B4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Phase 4:</w:t>
      </w:r>
      <w:r w:rsidRPr="003D3F57">
        <w:rPr>
          <w:color w:val="1B1C1D"/>
          <w:sz w:val="24"/>
          <w:szCs w:val="24"/>
        </w:rPr>
        <w:t xml:space="preserve"> Development of AI-powered chat assistant for real-time citizen and administrator queries</w:t>
      </w:r>
    </w:p>
    <w:p w14:paraId="1B43EEB1" w14:textId="77777777" w:rsidR="003D3F57" w:rsidRPr="003D3F57" w:rsidRDefault="003D3F57" w:rsidP="003D3F57">
      <w:pPr>
        <w:numPr>
          <w:ilvl w:val="0"/>
          <w:numId w:val="4"/>
        </w:numPr>
        <w:spacing w:before="100" w:beforeAutospacing="1" w:after="0" w:line="240" w:lineRule="auto"/>
        <w:ind w:left="0"/>
        <w:rPr>
          <w:color w:val="1B1C1D"/>
          <w:sz w:val="24"/>
          <w:szCs w:val="24"/>
        </w:rPr>
      </w:pPr>
      <w:r w:rsidRPr="003D3F57">
        <w:rPr>
          <w:b/>
          <w:bCs/>
          <w:color w:val="1B1C1D"/>
          <w:sz w:val="24"/>
          <w:szCs w:val="24"/>
          <w:bdr w:val="none" w:sz="0" w:space="0" w:color="auto" w:frame="1"/>
        </w:rPr>
        <w:t>Phase 5:</w:t>
      </w:r>
      <w:r w:rsidRPr="003D3F57">
        <w:rPr>
          <w:color w:val="1B1C1D"/>
          <w:sz w:val="24"/>
          <w:szCs w:val="24"/>
        </w:rPr>
        <w:t xml:space="preserve"> Performance optimization, multi-user support, and deployment on IBM Cloud or local infrastructure</w:t>
      </w:r>
    </w:p>
    <w:p w14:paraId="1828CF06" w14:textId="77777777" w:rsidR="003D3F57" w:rsidRPr="003D3F57" w:rsidRDefault="003D3F57" w:rsidP="003D3F57">
      <w:pPr>
        <w:spacing w:before="100" w:beforeAutospacing="1" w:after="240" w:line="240" w:lineRule="auto"/>
        <w:ind w:left="0" w:firstLine="0"/>
        <w:rPr>
          <w:color w:val="1B1C1D"/>
          <w:sz w:val="24"/>
          <w:szCs w:val="24"/>
        </w:rPr>
      </w:pPr>
      <w:r w:rsidRPr="003D3F57">
        <w:rPr>
          <w:color w:val="1B1C1D"/>
          <w:sz w:val="24"/>
          <w:szCs w:val="24"/>
        </w:rPr>
        <w:t>This architecture ensures flexibility, modularity, and real-time interaction, empowering city administrators and citizens with AI-driven insights to promote sustainable, efficient, and citizen-friendly urban governance.</w:t>
      </w:r>
    </w:p>
    <w:p w14:paraId="4AFC018F" w14:textId="7F6AF635" w:rsidR="00CE7F6A" w:rsidRPr="003D3F57" w:rsidRDefault="00CE7F6A" w:rsidP="003D3F57"/>
    <w:sectPr w:rsidR="00CE7F6A" w:rsidRPr="003D3F57">
      <w:pgSz w:w="11904" w:h="16838"/>
      <w:pgMar w:top="1443" w:right="1538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41D09"/>
    <w:multiLevelType w:val="multilevel"/>
    <w:tmpl w:val="137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1085F"/>
    <w:multiLevelType w:val="multilevel"/>
    <w:tmpl w:val="B03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62FEE"/>
    <w:multiLevelType w:val="multilevel"/>
    <w:tmpl w:val="025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01C23"/>
    <w:multiLevelType w:val="hybridMultilevel"/>
    <w:tmpl w:val="626663F6"/>
    <w:lvl w:ilvl="0" w:tplc="5DF265E8">
      <w:start w:val="1"/>
      <w:numFmt w:val="bullet"/>
      <w:lvlText w:val="*"/>
      <w:lvlJc w:val="left"/>
      <w:pPr>
        <w:ind w:left="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208C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18671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8F9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D479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66A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2F7E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691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A4EC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171065">
    <w:abstractNumId w:val="3"/>
  </w:num>
  <w:num w:numId="2" w16cid:durableId="361244729">
    <w:abstractNumId w:val="0"/>
  </w:num>
  <w:num w:numId="3" w16cid:durableId="788400987">
    <w:abstractNumId w:val="1"/>
  </w:num>
  <w:num w:numId="4" w16cid:durableId="188026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6A"/>
    <w:rsid w:val="000550CD"/>
    <w:rsid w:val="003D3F57"/>
    <w:rsid w:val="00CE7F6A"/>
    <w:rsid w:val="00D6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D173"/>
  <w15:docId w15:val="{B397DDEC-026A-449A-BCE7-47AA55EE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3D3F57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3F57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3F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3F57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</dc:creator>
  <cp:keywords/>
  <cp:lastModifiedBy>parama jyothika</cp:lastModifiedBy>
  <cp:revision>3</cp:revision>
  <dcterms:created xsi:type="dcterms:W3CDTF">2025-06-27T17:24:00Z</dcterms:created>
  <dcterms:modified xsi:type="dcterms:W3CDTF">2025-08-06T04:07:00Z</dcterms:modified>
</cp:coreProperties>
</file>