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240" w:line="240" w:lineRule="auto"/>
        <w:jc w:val="center"/>
      </w:pPr>
      <w:r>
        <w:rPr>
          <w:rFonts w:ascii="Noto Sans" w:hAnsi="Noto Sans" w:eastAsia="Noto Sans" w:cs="Noto Sans"/>
          <w:b/>
          <w:color w:val="226AD8"/>
          <w:sz w:val="48"/>
        </w:rPr>
        <w:t>Studio Butterfly Flutter Take-Home</w:t>
      </w:r>
    </w:p>
    <w:p>
      <w:pPr>
        <w:spacing w:before="0" w:after="400" w:line="264" w:lineRule="auto"/>
        <w:jc w:val="center"/>
      </w:pPr>
      <w:r>
        <w:rPr>
          <w:rFonts w:ascii="Noto Sans" w:hAnsi="Noto Sans" w:eastAsia="Noto Sans" w:cs="Noto Sans"/>
          <w:b/>
          <w:color w:val="118A7E"/>
          <w:sz w:val="25"/>
        </w:rPr>
        <w:t>Single Copy-Paste Implementation Prompt for Claude Code, Codex, Cursor, or Another Coding Agent</w:t>
      </w:r>
    </w:p>
    <w:p>
      <w:pPr>
        <w:spacing w:before="0" w:after="280" w:line="240" w:lineRule="auto"/>
        <w:jc w:val="center"/>
      </w:pPr>
      <w:r>
        <w:rPr>
          <w:rFonts w:ascii="Noto Sans" w:hAnsi="Noto Sans" w:eastAsia="Noto Sans" w:cs="Noto Sans"/>
          <w:color w:val="B8C3D1"/>
          <w:sz w:val="18"/>
        </w:rPr>
        <w:t>━━━━━━━━━━━━━━━━━━━━━━━━━━━━━━━━━━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1E7EF"/>
          <w:left w:val="single" w:sz="5" w:space="0" w:color="E1E7EF"/>
          <w:bottom w:val="single" w:sz="5" w:space="0" w:color="E1E7EF"/>
          <w:right w:val="single" w:sz="5" w:space="0" w:color="E1E7EF"/>
          <w:insideH w:val="single" w:sz="5" w:space="0" w:color="E1E7EF"/>
          <w:insideV w:val="single" w:sz="5" w:space="0" w:color="E1E7EF"/>
        </w:tblBorders>
      </w:tblPr>
      <w:tblGrid>
        <w:gridCol w:w="2160"/>
        <w:gridCol w:w="6768"/>
      </w:tblGrid>
      <w:tr>
        <w:tc>
          <w:tcPr>
            <w:tcW w:type="dxa" w:w="5083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b/>
                <w:color w:val="1F2937"/>
                <w:sz w:val="19"/>
              </w:rPr>
              <w:t>Candidate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color w:val="1F2937"/>
                <w:sz w:val="19"/>
              </w:rPr>
              <w:t>Goutam Sharma</w:t>
            </w:r>
          </w:p>
        </w:tc>
      </w:tr>
      <w:tr>
        <w:tc>
          <w:tcPr>
            <w:tcW w:type="dxa" w:w="5083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b/>
                <w:color w:val="1F2937"/>
                <w:sz w:val="19"/>
              </w:rPr>
              <w:t>Deadline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color w:val="1F2937"/>
                <w:sz w:val="19"/>
              </w:rPr>
              <w:t>11:59 PM, Sunday 12 July 2026 — Asia/Dhaka</w:t>
            </w:r>
          </w:p>
        </w:tc>
      </w:tr>
      <w:tr>
        <w:tc>
          <w:tcPr>
            <w:tcW w:type="dxa" w:w="5083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b/>
                <w:color w:val="1F2937"/>
                <w:sz w:val="19"/>
              </w:rPr>
              <w:t>Time-box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color w:val="1F2937"/>
                <w:sz w:val="19"/>
              </w:rPr>
              <w:t>6–8 hours; prioritize correctness and document deliberate cuts</w:t>
            </w:r>
          </w:p>
        </w:tc>
      </w:tr>
      <w:tr>
        <w:tc>
          <w:tcPr>
            <w:tcW w:type="dxa" w:w="5083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b/>
                <w:color w:val="1F2937"/>
                <w:sz w:val="19"/>
              </w:rPr>
              <w:t>Submission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color w:val="1F2937"/>
                <w:sz w:val="19"/>
              </w:rPr>
              <w:t>Public GitHub repository link</w:t>
            </w:r>
          </w:p>
        </w:tc>
      </w:tr>
      <w:tr>
        <w:tc>
          <w:tcPr>
            <w:tcW w:type="dxa" w:w="5083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b/>
                <w:color w:val="1F2937"/>
                <w:sz w:val="19"/>
              </w:rPr>
              <w:t>Backend rule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color w:val="1F2937"/>
                <w:sz w:val="19"/>
              </w:rPr>
              <w:t>Do not build a real backend; implement against API-CONTRACT.md with a faithful stub/fake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E7F6F3"/>
          <w:left w:val="single" w:sz="8" w:space="0" w:color="E7F6F3"/>
          <w:bottom w:val="single" w:sz="8" w:space="0" w:color="E7F6F3"/>
          <w:right w:val="single" w:sz="8" w:space="0" w:color="E7F6F3"/>
          <w:insideH w:val="single" w:sz="8" w:space="0" w:color="E7F6F3"/>
          <w:insideV w:val="single" w:sz="8" w:space="0" w:color="E7F6F3"/>
        </w:tblBorders>
      </w:tblPr>
      <w:tblGrid>
        <w:gridCol w:w="10166"/>
      </w:tblGrid>
      <w:tr>
        <w:tc>
          <w:tcPr>
            <w:tcW w:type="dxa" w:w="10166"/>
            <w:shd w:fill="E7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64" w:lineRule="auto"/>
            </w:pPr>
            <w:r>
              <w:rPr>
                <w:rFonts w:ascii="Noto Sans" w:hAnsi="Noto Sans" w:eastAsia="Noto Sans" w:cs="Noto Sans"/>
                <w:b/>
                <w:color w:val="118A7E"/>
                <w:sz w:val="22"/>
              </w:rPr>
              <w:t>How to use this document</w:t>
            </w:r>
          </w:p>
          <w:p>
            <w:pPr>
              <w:spacing w:before="0" w:after="40" w:line="269" w:lineRule="auto"/>
            </w:pPr>
            <w:r>
              <w:rPr>
                <w:rFonts w:ascii="Noto Sans" w:hAnsi="Noto Sans" w:eastAsia="Noto Sans" w:cs="Noto Sans"/>
                <w:color w:val="1F2937"/>
                <w:sz w:val="20"/>
              </w:rPr>
              <w:t>Copy the complete prompt below into Claude Code, Codex, Cursor, or your preferred coding agent from the assignment repository root.</w:t>
            </w:r>
          </w:p>
          <w:p>
            <w:pPr>
              <w:spacing w:before="0" w:after="40" w:line="269" w:lineRule="auto"/>
            </w:pPr>
            <w:r>
              <w:rPr>
                <w:rFonts w:ascii="Noto Sans" w:hAnsi="Noto Sans" w:eastAsia="Noto Sans" w:cs="Noto Sans"/>
                <w:color w:val="1F2937"/>
                <w:sz w:val="20"/>
              </w:rPr>
              <w:t>The agent must inspect the actual starter files before writing REVIEW.md. It must not invent line numbers, findings, screenshots, test results, or completed work.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" w:hAnsi="Noto Sans" w:eastAsia="Noto Sans" w:cs="Noto Sans"/>
          <w:b/>
          <w:color w:val="226AD8"/>
          <w:sz w:val="32"/>
        </w:rPr>
        <w:t>ALL-IN-ONE IMPLEMENTATION PROMPT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/>
          <w:i w:val="0"/>
          <w:color w:val="1F2937"/>
          <w:sz w:val="22"/>
        </w:rPr>
        <w:t>You are acting as the sole senior Flutter engineer completing the Studio Butterfly take-home assignment. Work directly in the current repository and produce a submission that can be defended line by line in an interview.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1. Read first; do not code blindly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Read ASSIGNMENT.md, API-CONTRACT.md, and starter/lib/sms_console.dart completely before changing anything.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Run or analyze the starter to establish a baseline. Record compile/runtime/API failures, but do not treat the unreachable API URL as a blocker.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The assignment explicitly permits a stub. Do not build a Spring Boot, PHP, Node.js, Firebase, or other real backend.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Use the exact starter file line numbers in REVIEW.md. Never invent a finding or line number.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Preserve the original starter file or commit it before refactoring so review references remain auditable.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2. Primary objective and priority order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Optimize for the scoring rubric and the 6–8 hour limit. Implement in this order:</w:t>
      </w:r>
    </w:p>
    <w:p>
      <w:pPr>
        <w:pStyle w:val="ListNumber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Deep review: security, privacy, money, normal-device crashes, async failures, API contract violations, and tenant isolation.</w:t>
      </w:r>
    </w:p>
    <w:p>
      <w:pPr>
        <w:pStyle w:val="ListNumber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Correct architecture and data layer: typed models, repository boundary, exact decimal money, explicit failures, no business logic in widgets.</w:t>
      </w:r>
    </w:p>
    <w:p>
      <w:pPr>
        <w:pStyle w:val="ListNumber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Reliable send flow: validation, duplicate-submit prevention, loading timeout/recovery, 429 Retry-After, 502 provider failure, and expired-token behavior.</w:t>
      </w:r>
    </w:p>
    <w:p>
      <w:pPr>
        <w:pStyle w:val="ListNumber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Tenant-safe history and cost loading with cursor pagination and stale-response protection.</w:t>
      </w:r>
    </w:p>
    <w:p>
      <w:pPr>
        <w:pStyle w:val="ListNumber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A customer-facing adaptive UI with light/dark themes, designed states, reusable components, and basic accessibility.</w:t>
      </w:r>
    </w:p>
    <w:p>
      <w:pPr>
        <w:pStyle w:val="ListNumber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Regression tests, one golden test, documentation, CI, screenshots, and honest scope cuts.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FFF4E5"/>
          <w:left w:val="single" w:sz="8" w:space="0" w:color="FFF4E5"/>
          <w:bottom w:val="single" w:sz="8" w:space="0" w:color="FFF4E5"/>
          <w:right w:val="single" w:sz="8" w:space="0" w:color="FFF4E5"/>
          <w:insideH w:val="single" w:sz="8" w:space="0" w:color="FFF4E5"/>
          <w:insideV w:val="single" w:sz="8" w:space="0" w:color="FFF4E5"/>
        </w:tblBorders>
      </w:tblPr>
      <w:tblGrid>
        <w:gridCol w:w="10166"/>
      </w:tblGrid>
      <w:tr>
        <w:tc>
          <w:tcPr>
            <w:tcW w:type="dxa" w:w="10166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64" w:lineRule="auto"/>
            </w:pPr>
            <w:r>
              <w:rPr>
                <w:rFonts w:ascii="Noto Sans" w:hAnsi="Noto Sans" w:eastAsia="Noto Sans" w:cs="Noto Sans"/>
                <w:b/>
                <w:color w:val="B66A00"/>
                <w:sz w:val="22"/>
              </w:rPr>
              <w:t>Do not gold-plate</w:t>
            </w:r>
          </w:p>
          <w:p>
            <w:pPr>
              <w:spacing w:before="0" w:after="40" w:line="269" w:lineRule="auto"/>
            </w:pPr>
            <w:r>
              <w:rPr>
                <w:rFonts w:ascii="Noto Sans" w:hAnsi="Noto Sans" w:eastAsia="Noto Sans" w:cs="Noto Sans"/>
                <w:color w:val="1F2937"/>
                <w:sz w:val="20"/>
              </w:rPr>
              <w:t>Do not spend the time-box on a real backend, bulk SMS, complex animations, full authentication UI, analytics, localization, or a WebSocket system not defined by the contract. Document these as deliberate cuts if not implemented.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3. Part 1 — Create REVIEW.md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Write at least 8 findings; target 10–12 if the actual code supports them. Each finding must contain: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Severity: Critical, High, Medium, or Low.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Concrete user/business impact: what is lost, exposed, billed incorrectly, or broken.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Exact location in starter/lib/sms_console.dart using actual line numbers.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Mechanism: the exact code path that causes the defect, not a label such as “bad state management.”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Fix: the architectural or code change that resolves the mechanism.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Regression test: identify the test that would fail if the bug returned.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/>
          <w:i w:val="0"/>
          <w:color w:val="A33A3A"/>
          <w:sz w:val="21"/>
        </w:rPr>
        <w:t>At least two findings must be real incidents involving incorrect money, leaked data/credentials, cross-tenant exposure, duplicate billable sends, or a crash on a normal user flow.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/>
          <w:i w:val="0"/>
          <w:color w:val="1F2937"/>
          <w:sz w:val="21"/>
        </w:rPr>
        <w:t>Inspect particularly: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Hardcoded or logged access tokens, refresh tokens, API/provider secrets, Authorization headers, URLs containing credentials, and verbose response logging.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Full or partially sensitive recipient numbers leaving the device, being logged, or being invented on the cost screen.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Parsing decimal strings into double, guessed client-side pricing, rounding, segment-count mistakes, currency hardcoding, or summing incompatible currencies.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setState after await without mounted/cancellation, missing finally blocks, no timeout, infinite spinner, swallowed failures, and duplicate send taps.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Missing Authorization or X-Tenant-Id headers, invalid tenant caching, stale Tenant A response appearing under Tenant B, and state not cleared on tenant switch.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Treating 202 ACCEPTED as delivered, offset pagination instead of opaque cursor pagination, ignoring Retry-After, and assuming recipient data exists in the cost endpoint.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4. Architecture decision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Use a lean feature-first architecture. Prefer Cubit with flutter_bloc unless the existing project already has a strong convention that should be preserved. The reason: the screen has multiple asynchronous states, Cubit provides explicit and testable transitions, and it has less ceremony than full event-based Bloc for this time-box.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Business logic must not live in widgets. Create an ADR explaining the decision and the rejected alternatives: Riverpod, full Bloc, ChangeNotifier, and StatefulWidget-only.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lib/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├── app/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├── app.dart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└── theme/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    ├── app_theme.dart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    └── app_spacing.dart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├── core/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├── auth/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├── errors/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├── money/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└── tenant/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├── features/sms_console/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├── data/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│   ├── models/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│   └── repositories/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├── domain/repositories/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└── presentation/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    ├── cubit/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    ├── pages/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│       └── widgets/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└── main.dart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test/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├── core/money/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├── features/sms_console/data/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├── features/sms_console/presentation/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└── goldens/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docs/adr/0001-state-management-and-adaptive-layout.md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/>
          <w:color w:val="5B6472"/>
          <w:sz w:val="21"/>
        </w:rPr>
        <w:t>Keep the structure proportional to one screen. Do not create empty layers or unnecessary use-case classes only to look “clean architecture.”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5. Typed contract models and repository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Implement typed immutable models. JSON parsing may use Map&lt;String, Object?&gt; inside model factories, but call sites must not perform dynamic casts.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SendSmsRequest(to, body, referenceId)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SendSmsResponse(messageId, provider, status, segmentCount, Money cost)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SmsHistoryItem(messageId, masked recipient, status, segmentCount, Money cost, sentAt)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SmsHistoryPage(items, nullable opaque nextCursor)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CostBreakdown(currency, totalCost, rows)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CostBreakdownRow(provider, totalCost, messageCount)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Typed enums with safe unknown-value handling where appropriate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AppFailure hierarchy/sealed type: validation, offline, timeout, rateLimited(retryAfter), providerUnavailable, unauthorized/sessionExpired, forbidden, parsing, unknown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abstract interface class SmsRepository 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Future&lt;SendSmsResponse&gt; sendSms(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  SendSmsRequest request, 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  required String tenantId,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});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Future&lt;SmsHistoryPage&gt; getMessages({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  required String tenantId,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  String? cursor,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  int limit = 50,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});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Future&lt;CostBreakdown&gt; getCostBreakdown({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  required String tenantId,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  required DateTime from,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  required DateTime to,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 xml:space="preserve">  });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6. Backend strategy: contract-faithful fake, not a real server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Implement a FakeSmsRepository as the default runtime dependency. It must match the supplied contract closely enough that a real HTTP repository can replace it without presentation changes.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226AD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Fake scenario</w:t>
            </w:r>
          </w:p>
        </w:tc>
        <w:tc>
          <w:tcPr>
            <w:tcW w:type="dxa" w:w="7488"/>
            <w:shd w:fill="226AD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Send success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Delayed ACCEPTED response with provider, segment count, decimal-string-derived Money, and currency</w:t>
            </w:r>
          </w:p>
        </w:tc>
      </w:tr>
      <w:tr>
        <w:trPr>
          <w:cantSplit/>
        </w:trP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History</w:t>
            </w:r>
          </w:p>
        </w:tc>
        <w:tc>
          <w:tcPr>
            <w:tcW w:type="dxa" w:w="74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Seeded masked recipients and opaque cursor pagination; nextCursor null at exhaustion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Cost breakdown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Provider rows and total; never invent or display recipient numbers</w:t>
            </w:r>
          </w:p>
        </w:tc>
      </w:tr>
      <w:tr>
        <w:trPr>
          <w:cantSplit/>
        </w:trP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Slow/offline</w:t>
            </w:r>
          </w:p>
        </w:tc>
        <w:tc>
          <w:tcPr>
            <w:tcW w:type="dxa" w:w="74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Configurable delay and typed timeout/offline failures; no infinite spinner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429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Typed rate-limit failure containing Retry-After duration</w:t>
            </w:r>
          </w:p>
        </w:tc>
      </w:tr>
      <w:tr>
        <w:trPr>
          <w:cantSplit/>
        </w:trP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502</w:t>
            </w:r>
          </w:p>
        </w:tc>
        <w:tc>
          <w:tcPr>
            <w:tcW w:type="dxa" w:w="74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Typed provider-unavailable failure; explicitly state the message was not sent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Expired token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First request can fail unauthorized, refresh succeeds, original call retries once</w:t>
            </w:r>
          </w:p>
        </w:tc>
      </w:tr>
      <w:tr>
        <w:trPr>
          <w:cantSplit/>
        </w:trP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Refresh failure</w:t>
            </w:r>
          </w:p>
        </w:tc>
        <w:tc>
          <w:tcPr>
            <w:tcW w:type="dxa" w:w="74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Session-expired failure; never enter an infinite refresh loop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Status progression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color w:val="1F2937"/>
                <w:sz w:val="17"/>
              </w:rPr>
              <w:t>Refreshing history may move ACCEPTED → SENT → DELIVERED or FAILED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Use dependency injection so tests can pass a deterministic fake without exposing test controls in the customer UI. A debug-only scenario selector is acceptable but not required.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7. Exact money handling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All API money fields are decimal strings. Never use double or num for monetary values. Implement either: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A Money value object backed by a decimal package; or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A fixed-scale integer/BigInt representation with scale 4.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Required invariant: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0.0079 × 3 = 0.0237 exactly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The following must be impossible or explicitly rejected: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- adding different currencies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- silently truncating four decimal places to two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- using a guessed client-side SMS rate instead of the response cost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- hardcoding the EUR symbol throughout widgets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Centralize display formatting. Preserve the API currency code and actual response cost.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8. Authentication and secrets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Every real/abstracted request must be scoped by Authorization: Bearer &lt;access-token&gt; and X-Tenant-Id.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Do not commit API keys, provider secrets, access tokens, or refresh tokens.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A base URL may come from --dart-define/environment configuration, but no production credential belongs in the Flutter bundle.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Treat access and refresh tokens as credentials. Do not print them.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Do not log recipient numbers, even when the server already masks them, unless a strictly necessary redacted diagnostic policy is documented.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Implement refresh-once behavior: unauthorized → refresh → retry original request once → session expired on failure. Prevent loops.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9. Tenant isolation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/>
          <w:i w:val="0"/>
          <w:color w:val="1F2937"/>
          <w:sz w:val="21"/>
        </w:rPr>
        <w:t>Treat tenant isolation as a security requirement, not a filter. Switching tenants must immediately clear tenant-scoped state and prevent stale in-flight responses from updating the new tenant UI.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Implement one of the following: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Cancel the previous request; or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Increment a request epoch/generation and ignore results whose epoch or tenant ID no longer matches; or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Use switchMap-style cancellation if the chosen stack supports it cleanly.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Cache keys must include tenant ID. Add a regression test: Tenant A request is slow, switch to Tenant B, B completes first, then A completes; the final UI/state must contain only Tenant B data.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10. UI requirements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/>
          <w:i w:val="0"/>
          <w:color w:val="1F2937"/>
          <w:sz w:val="21"/>
        </w:rPr>
        <w:t>Build a screen a customer would use, not an engineering demo.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Theme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Material 3 light and dark themes.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Central ColorScheme, typography, spacing, input decoration, cards, and button styles.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No scattered magic colors, padding values, or hardcoded “€${...}” formatting.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Reusable components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SendSmsForm: owns fields and validation presentation; accepts sending/error state and an onSubmit callback; performs no repository calls.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CostBreakdownRow: accepts provider, message count, Money, and a formatter; renders adaptively.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Optionally extract SmsHistoryTile and a reusable Loading/Empty/Error state view.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Designed user states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Loading: bounded, section-level where possible, and guaranteed to terminate with success or failure.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Empty: explain that there are no messages and guide the user to send one.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Error: human-readable message and a recovery action; preserve already-loaded data for load-more failures.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Success: say “Accepted by provider” for a 202 response; do not claim delivery.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Rate limited: respect Retry-After, show when retry is available, and prevent immediate repeated sends.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Session expired: explain that authentication is required; do not spin or retry forever.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Accessibility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Semantic labels/tooltips on interactive controls and status elements.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Thumb-friendly tap targets.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Persistent field labels, errors, and appropriate keyboard types.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Layouts that survive larger system font sizes; avoid fixed-height text containers.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Do not rely on color alone for state/status.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Reasonable keyboard focus order and text-selection behavior on desktop/web.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11. Required product flows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Send SMS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Validate an E.164-like phone number before calling the repository.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Disable submission while a send is active; a rapid double tap must result in one repository call and one billable request.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Use the response segmentCount and cost; do not calculate a guessed rate.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Show ACCEPTED accurately and refresh/append history without misrepresenting delivery.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Message history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Implement cursor pagination using the opaque nextCursor exactly as returned.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Do not decode it, turn it into an offset, or request page numbers.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Prevent duplicate load-more calls.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Show initial loading, empty, loaded, initial failure, load-more progress, and load-more failure/retry.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Recipients are already masked. Display them as returned; never unmask or log them.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Cost breakdown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Display currency, authoritative total cost, provider rows, and message counts.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Do not display a phone number in this section because the endpoint does not return one.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Delivery status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The contract does not define WebSocket/push APIs. Implement manual refresh, pull-to-refresh, or a desktop refresh button so history can reflect status changes. Document this assumption instead of inventing an endpoint.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12. Adaptive layout and platforms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At 360 px: use a readable single-column layout, safe areas, and scroll behavior that works with the mobile keyboard.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At 1400 px: use a genuine desktop layout, preferably a constrained two-column shell with send/cost on one side and history on the other.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Use LayoutBuilder or explicit breakpoints. Do not stretch a phone card across the desktop.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Verify window resizing, mouse-wheel scrolling, keyboard focus, text selection, wide input fields, and larger fonts.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Run on at least two platforms, one non-mobile, for example Android plus Chrome Web or Windows.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Capture real screenshots at both widths and add them to README. Never create placeholder or fabricated screenshots and claim they were run.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13. Tests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/>
          <w:i w:val="0"/>
          <w:color w:val="1F2937"/>
          <w:sz w:val="21"/>
        </w:rPr>
        <w:t>Tests must fail when corresponding Part 1 defects are reintroduced.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Unit/data/domain tests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Exact money: 0.0079 × 3 equals 0.0237.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Money decimal-string parsing and formatting.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Send, history, and cost model parsing, including malformed values.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429 maps Retry-After correctly.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Expired token refreshes and retries once.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Refresh failure ends in session-expired failure without a loop.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Tenant A stale response cannot overwrite Tenant B state.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Opaque cursor is passed through unchanged.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Widget tests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Valid send flow reaches ACCEPTED success.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At least one failure path, preferably 502: spinner stops, provider error appears, and retry/send becomes available.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Double submit calls the repository only once.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Invalid phone performs zero send calls.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Empty history shows deliberate empty-state copy.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Golden test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Add one stable golden, such as the 360 px light-theme loaded state. Commit the golden asset and use a deterministic font/setup. Provide the regeneration command in README.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14. Documentation and ownership artifacts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README.md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Prerequisites, Flutter version/channel, setup, run, analyze, test, and golden commands.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Backend strategy and how FakeSmsRepository is replaced by an HTTP implementation.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Architecture and important trade-offs.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Actual 360 px and 1400 px screenshots with platform names.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What actually broke or was risky across mobile and desktop: input, fonts, scrolling physics, resizing, focus, and text selection.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What you would do with another week.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What you deliberately did not do and why, tied to the time-box.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ADR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Create docs/adr/0001-state-management-and-adaptive-layout.md, approximately one page, with Context, Decision, Alternatives Considered, and Consequences. Include honest downsides of the selected approach.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AI-USAGE.md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State which parts were generated or scaffolded and roughly how.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Give at least one concrete AI mistake, the generated code/idea, why it violated the contract or engineering requirements, and what replaced it.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State what you wrote/reviewed manually because it involved money, tenant isolation, credentials, auth retry, or another area where the agent was not trusted.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Do not use generic statements such as “AI helped with code.”</w:t>
      </w:r>
    </w:p>
    <w:p>
      <w:pPr>
        <w:pStyle w:val="Heading3"/>
        <w:keepNext/>
        <w:spacing w:before="140" w:after="80"/>
      </w:pPr>
      <w:r>
        <w:rPr>
          <w:rFonts w:ascii="Noto Sans" w:hAnsi="Noto Sans" w:eastAsia="Noto Sans" w:cs="Noto Sans"/>
          <w:b/>
          <w:color w:val="1F2937"/>
          <w:sz w:val="23"/>
        </w:rPr>
        <w:t>CI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Add GitHub Actions for push and pull_request that performs checkout, installs stable Flutter, runs flutter pub get, flutter analyze, and flutter test.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15. Commit history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Make meaningful incremental commits. Suggested sequence: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chore: initialize assignment project and preserve starter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docs: add security and correctness review findings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feat: add typed models, exact money and repository boundary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feat: implement contract-faithful fake and Cubit state handling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feat: build adaptive customer SMS console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test: protect money, tenant isolation and send failure flows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docs: add ADR, AI usage, screenshots and scoped follow-up work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ci: run Flutter analyze and tests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16. Validation before claiming completion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flutter pub get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dart format --set-exit-if-changed lib test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flutter analyze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flutter test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# Only when intentionally regenerating the committed golden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flutter test --update-goldens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# Run on two platforms and capture actual screenshots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flutter run -d &lt;android-device-id&gt;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03F"/>
                <w:sz w:val="17"/>
              </w:rPr>
              <w:t>flutter run -d chrome   # or windows/macos/linux</w:t>
            </w:r>
          </w:p>
        </w:tc>
      </w:tr>
    </w:tbl>
    <w:p>
      <w:pPr>
        <w:spacing w:after="0"/>
      </w:pP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Do not claim analyze/test/platform runs succeeded unless they actually ran.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Do not fabricate screenshots or CI status.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Inspect the public repository from a logged-out/incognito browser.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Search the repository and Git history for credentials, tokens, full phone numbers, .env files, and sensitive logs.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Ensure README, REVIEW.md, AI-USAGE.md, ADR, CI workflow, tests, goldens, and screenshots are committed.</w:t>
      </w:r>
    </w:p>
    <w:p>
      <w:pPr>
        <w:pStyle w:val="Heading2"/>
        <w:keepNext/>
        <w:spacing w:before="140" w:after="80"/>
      </w:pPr>
      <w:r>
        <w:rPr>
          <w:rFonts w:ascii="Noto Sans" w:hAnsi="Noto Sans" w:eastAsia="Noto Sans" w:cs="Noto Sans"/>
          <w:b/>
          <w:color w:val="118A7E"/>
          <w:sz w:val="26"/>
        </w:rPr>
        <w:t>17. Required final report to the developer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b w:val="0"/>
          <w:i w:val="0"/>
          <w:color w:val="1F2937"/>
          <w:sz w:val="21"/>
        </w:rPr>
        <w:t>At the end of your work, provide a concise implementation summary containing: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Files and architecture created/changed.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The most serious review findings discovered.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How money and tenant isolation are protected.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Tests written and exact commands/results that actually ran.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Platforms and widths actually verified.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Deliberate cuts and remaining risks.</w:t>
      </w:r>
    </w:p>
    <w:p>
      <w:pPr>
        <w:pStyle w:val="ListBullet"/>
        <w:spacing w:before="0" w:after="40" w:line="264" w:lineRule="auto"/>
      </w:pPr>
      <w:r>
        <w:rPr>
          <w:rFonts w:ascii="Noto Sans" w:hAnsi="Noto Sans" w:eastAsia="Noto Sans" w:cs="Noto Sans"/>
          <w:color w:val="1F2937"/>
          <w:sz w:val="20"/>
        </w:rPr>
        <w:t>Any task that could not be completed, stated honestly.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 w:cs="Noto Sans"/>
        <w:color w:val="5B6472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Noto Sans" w:hAnsi="Noto Sans" w:eastAsia="Noto Sans" w:cs="Noto Sans"/>
        <w:b/>
        <w:color w:val="5B6472"/>
        <w:sz w:val="17"/>
      </w:rPr>
      <w:t>STUDIO BUTTERFLY  |  FLUTTER ENGINEER TAKE-HOME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 w:cs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 w:eastAsia="Noto Sans" w:cs="Noto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 w:eastAsia="Noto Sans" w:cs="Noto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 w:eastAsia="Noto Sans" w:cs="Noto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" w:hAnsi="Noto Sans" w:eastAsia="Noto Sans" w:cs="Noto San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