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08"/>
        <w:gridCol w:w="5429"/>
      </w:tblGrid>
      <w:tr>
        <w:tc>
          <w:tcPr>
            <w:tcW w:type="dxa" w:w="5018"/>
            <w:vAlign w:val="center"/>
          </w:tcPr>
          <w:p>
            <w:pPr>
              <w:spacing w:after="0"/>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920240" cy="1920240"/>
                          </a:xfrm>
                          <a:prstGeom prst="rect"/>
                        </pic:spPr>
                      </pic:pic>
                    </a:graphicData>
                  </a:graphic>
                </wp:inline>
              </w:drawing>
            </w:r>
          </w:p>
          <w:p>
            <w:pPr>
              <w:spacing w:before="40" w:after="0"/>
            </w:pPr>
            <w:r>
              <w:rPr>
                <w:rFonts w:ascii="Arial" w:hAnsi="Arial"/>
                <w:b/>
                <w:color w:val="B8860B"/>
                <w:sz w:val="15"/>
              </w:rPr>
              <w:t>BENGALURU BRANCH • TURNKEY ARCHITECTURE &amp; INTERIORS</w:t>
            </w:r>
          </w:p>
        </w:tc>
        <w:tc>
          <w:tcPr>
            <w:tcW w:type="dxa" w:w="5018"/>
            <w:vAlign w:val="center"/>
          </w:tcPr>
          <w:p>
            <w:pPr>
              <w:spacing w:after="0"/>
              <w:jc w:val="right"/>
            </w:pPr>
            <w:r>
              <w:rPr>
                <w:rFonts w:ascii="Georgia" w:hAnsi="Georgia"/>
                <w:b/>
                <w:color w:val="1A1C22"/>
                <w:sz w:val="19"/>
              </w:rPr>
              <w:t>DECOR8 INDIA INTERIORS PVT. LTD.</w:t>
              <w:br/>
            </w:r>
            <w:r>
              <w:rPr>
                <w:rFonts w:ascii="Arial" w:hAnsi="Arial"/>
                <w:color w:val="5A5F69"/>
                <w:sz w:val="15"/>
              </w:rPr>
              <w:t>#14, Sy No 36/1, Vasanth Vallabnagar, Vasanthpura, Uttrahalli Hobli, Bengaluru - 560061, Karnataka</w:t>
              <w:br/>
              <w:t>Email: support@decor8india.com | Web: www.decor8india.com</w:t>
              <w:br/>
              <w:t>ISO 9001:2015 Certified Turnkey Interior Studio</w:t>
            </w:r>
          </w:p>
        </w:tc>
      </w:tr>
    </w:tbl>
    <w:p>
      <w:pPr>
        <w:spacing w:before="40" w:after="120"/>
        <w:pBdr>
          <w:bottom w:val="single" w:sz="16" w:space="1" w:color="D4AF37"/>
        </w:pBdr>
      </w:pPr>
    </w:p>
    <w:p>
      <w:pPr>
        <w:spacing w:before="160" w:after="40"/>
        <w:jc w:val="center"/>
      </w:pPr>
      <w:r>
        <w:rPr>
          <w:rFonts w:ascii="Georgia" w:hAnsi="Georgia"/>
          <w:b/>
          <w:color w:val="1A1C22"/>
          <w:sz w:val="24"/>
        </w:rPr>
        <w:t>TURNKEY INTERIOR EXECUTION &amp; ARCHITECTURAL CONTRACT AGREEMENT</w:t>
      </w:r>
    </w:p>
    <w:p>
      <w:pPr>
        <w:spacing w:before="0" w:after="240"/>
        <w:jc w:val="center"/>
      </w:pPr>
      <w:r>
        <w:rPr>
          <w:rFonts w:ascii="Arial" w:hAnsi="Arial"/>
          <w:b/>
          <w:color w:val="B8860B"/>
          <w:sz w:val="17"/>
        </w:rPr>
        <w:t>[ Bengaluru Branch Office Execution • Standard Legal Draft ]</w:t>
      </w:r>
    </w:p>
    <w:p>
      <w:pPr>
        <w:spacing w:before="0" w:after="100" w:line="276" w:lineRule="auto"/>
      </w:pPr>
      <w:r>
        <w:rPr>
          <w:rFonts w:ascii="Calibri" w:hAnsi="Calibri"/>
          <w:color w:val="282D37"/>
          <w:sz w:val="19"/>
        </w:rPr>
        <w:t>This Turnkey Interior Execution &amp; Architectural Contract Agreement ("Agreement") is entered into on this _____ day of ______________, 2026 at Bengaluru, Karnataka, India, by and between:</w:t>
      </w:r>
    </w:p>
    <w:p>
      <w:pPr>
        <w:spacing w:before="0" w:after="100" w:line="276" w:lineRule="auto"/>
      </w:pPr>
      <w:r>
        <w:rPr>
          <w:rFonts w:ascii="Calibri" w:hAnsi="Calibri"/>
          <w:b/>
          <w:color w:val="1A1C22"/>
          <w:sz w:val="19"/>
        </w:rPr>
        <w:t xml:space="preserve">1. FIRST PARTY: </w:t>
      </w:r>
      <w:r>
        <w:rPr>
          <w:rFonts w:ascii="Calibri" w:hAnsi="Calibri"/>
          <w:color w:val="282D37"/>
          <w:sz w:val="19"/>
        </w:rPr>
        <w:t>M/S DECOR8 INDIA INTERIORS PVT. LTD., a private limited entity having its registered operational branch at #14, Sy No 36/1, Vasanth Vallabnagar, Vasanthpura, Uttrahalli Hobli, Bengaluru - 560061, Karnataka, represented herein by its Chief Executive Officer &amp; Principal Architect, MR. SATISH BHAT (hereinafter referred to as the "FIRST PARTY" / "CONTRACTOR / ARCHITECT", which expression shall unless repugnant to the context include its successors, assignees, and authorized administrators);</w:t>
      </w:r>
    </w:p>
    <w:p>
      <w:pPr>
        <w:spacing w:before="40" w:after="40"/>
        <w:jc w:val="center"/>
      </w:pPr>
      <w:r>
        <w:rPr>
          <w:rFonts w:ascii="Georgia" w:hAnsi="Georgia"/>
          <w:b/>
          <w:color w:val="B8860B"/>
          <w:sz w:val="18"/>
        </w:rPr>
        <w:t>— AND —</w:t>
      </w:r>
    </w:p>
    <w:p>
      <w:pPr>
        <w:spacing w:before="0" w:after="100" w:line="276" w:lineRule="auto"/>
      </w:pPr>
      <w:r>
        <w:rPr>
          <w:rFonts w:ascii="Calibri" w:hAnsi="Calibri"/>
          <w:b/>
          <w:color w:val="1A1C22"/>
          <w:sz w:val="19"/>
        </w:rPr>
        <w:t xml:space="preserve">2. SECOND PARTY: </w:t>
      </w:r>
      <w:r>
        <w:rPr>
          <w:rFonts w:ascii="Calibri" w:hAnsi="Calibri"/>
          <w:color w:val="282D37"/>
          <w:sz w:val="19"/>
        </w:rPr>
        <w:t>MR. / MRS. / M/S ______________________________________________________, residing / having its office at ____________________________________________________________________________________, holding Contact No: +91 ____________________ and Email: ____________________________________ (hereinafter referred to as the "SECOND PARTY" / "CLIENT / OWNER", which expression shall unless repugnant to the context include their legal heirs, representatives, and successors).</w:t>
      </w:r>
    </w:p>
    <w:p>
      <w:pPr>
        <w:spacing w:before="0" w:after="100" w:line="276" w:lineRule="auto"/>
      </w:pPr>
      <w:r>
        <w:rPr>
          <w:rFonts w:ascii="Calibri" w:hAnsi="Calibri"/>
          <w:color w:val="282D37"/>
          <w:sz w:val="19"/>
        </w:rPr>
        <w:t>WHEREAS the Second Party is the absolute owner / authorized leaseholder of the property situated at _________________________________________________________________________________ ("Project Site") and desires to carry out bespoke architectural interior designing, civil woodwork, modular cabinetry, electrical, plumbing, ceiling, and turnkey execution. AND WHEREAS the First Party possesses expertise, infrastructure, and architectural craftsmanship to execute the same.</w:t>
      </w:r>
    </w:p>
    <w:p>
      <w:pPr>
        <w:spacing w:before="0" w:after="100" w:line="276" w:lineRule="auto"/>
      </w:pPr>
      <w:r>
        <w:rPr>
          <w:rFonts w:ascii="Calibri" w:hAnsi="Calibri"/>
          <w:color w:val="282D37"/>
          <w:sz w:val="19"/>
        </w:rPr>
        <w:t>NOW, THEREFORE, IN CONSIDERATION OF THE MUTUAL COVENANTS, AGREED ESTIMATES, AND MILESTONE SCHEDULES HEREINAFTER CONTAINED, BOTH PARTIES MUTUALLY AGREE AS FOLLOWS:</w:t>
      </w:r>
    </w:p>
    <w:p>
      <w:pPr>
        <w:keepNext/>
        <w:spacing w:before="240" w:after="60"/>
      </w:pPr>
      <w:r>
        <w:rPr>
          <w:rFonts w:ascii="Arial" w:hAnsi="Arial"/>
          <w:b/>
          <w:color w:val="B8860B"/>
          <w:sz w:val="19"/>
        </w:rPr>
        <w:t xml:space="preserve">CLAUSE 1. </w:t>
      </w:r>
      <w:r>
        <w:rPr>
          <w:rFonts w:ascii="Georgia" w:hAnsi="Georgia"/>
          <w:b/>
          <w:color w:val="1A1C22"/>
          <w:sz w:val="20"/>
        </w:rPr>
        <w:t>SCOPE OF WORK &amp; ARCHITECTURAL DELIVERABLES</w:t>
      </w:r>
    </w:p>
    <w:p>
      <w:pPr>
        <w:spacing w:before="0" w:after="100" w:line="276" w:lineRule="auto"/>
      </w:pPr>
      <w:r>
        <w:rPr>
          <w:rFonts w:ascii="Calibri" w:hAnsi="Calibri"/>
          <w:color w:val="282D37"/>
          <w:sz w:val="19"/>
        </w:rPr>
        <w:t>1.1. The First Party agrees to provide end-to-end turnkey architectural interior design and execution services for the Project Site comprising an estimated Super Built-up / Carpet Area of ______________ Sq. Ft.</w:t>
      </w:r>
    </w:p>
    <w:p>
      <w:pPr>
        <w:spacing w:before="0" w:after="100" w:line="276" w:lineRule="auto"/>
      </w:pPr>
      <w:r>
        <w:rPr>
          <w:rFonts w:ascii="Calibri" w:hAnsi="Calibri"/>
          <w:color w:val="282D37"/>
          <w:sz w:val="19"/>
        </w:rPr>
        <w:t>1.2. The turnkey scope encompasses: (a) 2D Furniture Layout Plans &amp; 3D Photorealistic Visualizations; (b) Custom Modular Woodwork (Kitchens, Wardrobes, TV Consoles, Vanity Units); (c) False Ceiling &amp; Concealed Architectural Lighting; (d) Electrical Rewiring, Switchgear &amp; Plumbing Alterations; (e) Wall Treatments, Paneling, Italian Marble / Vitrified Tiling, and Premium Emulsion Painting; and (f) Post-installation Deep Cleaning &amp; Handover Inspection as specified in Schedule A.</w:t>
      </w:r>
    </w:p>
    <w:p>
      <w:pPr>
        <w:keepNext/>
        <w:spacing w:before="240" w:after="60"/>
      </w:pPr>
      <w:r>
        <w:rPr>
          <w:rFonts w:ascii="Arial" w:hAnsi="Arial"/>
          <w:b/>
          <w:color w:val="B8860B"/>
          <w:sz w:val="19"/>
        </w:rPr>
        <w:t xml:space="preserve">CLAUSE 2. </w:t>
      </w:r>
      <w:r>
        <w:rPr>
          <w:rFonts w:ascii="Georgia" w:hAnsi="Georgia"/>
          <w:b/>
          <w:color w:val="1A1C22"/>
          <w:sz w:val="20"/>
        </w:rPr>
        <w:t>TOTAL CONTRACT PRICE &amp; FINANCIAL TERMS</w:t>
      </w:r>
    </w:p>
    <w:p>
      <w:pPr>
        <w:spacing w:before="0" w:after="100" w:line="276" w:lineRule="auto"/>
      </w:pPr>
      <w:r>
        <w:rPr>
          <w:rFonts w:ascii="Calibri" w:hAnsi="Calibri"/>
          <w:color w:val="282D37"/>
          <w:sz w:val="19"/>
        </w:rPr>
        <w:t>2.1. The total agreed Turnkey Contract Consideration for the complete execution of approved drawings and Bill of Quantities (BOQ) is fixed at ₹ _________________________ (Rupees _____________________________________________________________________ only) exclusive of applicable GST / statutory taxes.</w:t>
      </w:r>
    </w:p>
    <w:p>
      <w:pPr>
        <w:spacing w:before="0" w:after="100" w:line="276" w:lineRule="auto"/>
      </w:pPr>
      <w:r>
        <w:rPr>
          <w:rFonts w:ascii="Calibri" w:hAnsi="Calibri"/>
          <w:color w:val="282D37"/>
          <w:sz w:val="19"/>
        </w:rPr>
        <w:t>2.2. Any additional civil alterations, extra cabinetry, electrical point additions, or premium material upgrades requested by the Second Party beyond the approved Scope/BOQ will be documented as a Variation Order (VO) and billed separately with mutual sign-off.</w:t>
      </w:r>
    </w:p>
    <w:p>
      <w:pPr>
        <w:keepNext/>
        <w:spacing w:before="240" w:after="60"/>
      </w:pPr>
      <w:r>
        <w:rPr>
          <w:rFonts w:ascii="Arial" w:hAnsi="Arial"/>
          <w:b/>
          <w:color w:val="B8860B"/>
          <w:sz w:val="19"/>
        </w:rPr>
        <w:t xml:space="preserve">CLAUSE 3. </w:t>
      </w:r>
      <w:r>
        <w:rPr>
          <w:rFonts w:ascii="Georgia" w:hAnsi="Georgia"/>
          <w:b/>
          <w:color w:val="1A1C22"/>
          <w:sz w:val="20"/>
        </w:rPr>
        <w:t>MILESTONE PAYMENT SCHEDULE</w:t>
      </w:r>
    </w:p>
    <w:p>
      <w:pPr>
        <w:spacing w:before="0" w:after="100" w:line="276" w:lineRule="auto"/>
      </w:pPr>
      <w:r>
        <w:rPr>
          <w:rFonts w:ascii="Calibri" w:hAnsi="Calibri"/>
          <w:color w:val="282D37"/>
          <w:sz w:val="19"/>
        </w:rPr>
        <w:t>3.1. The Second Party agrees to release project installments strictly linked to verification of completed site milestones as follows:</w:t>
      </w:r>
    </w:p>
    <w:tbl>
      <w:tblPr>
        <w:tblW w:type="auto" w:w="0"/>
        <w:jc w:val="center"/>
        <w:tblLook w:firstColumn="1" w:firstRow="1" w:lastColumn="0" w:lastRow="0" w:noHBand="0" w:noVBand="1" w:val="04A0"/>
        <w:tblBorders>
          <w:top w:val="single" w:sz="6" w:space="0" w:color="D4AF37"/>
          <w:left w:val="single" w:sz="4" w:space="0" w:color="E0E0E0"/>
          <w:bottom w:val="single" w:sz="6" w:space="0" w:color="D4AF37"/>
          <w:right w:val="single" w:sz="4" w:space="0" w:color="E0E0E0"/>
          <w:insideH w:val="single" w:sz="4" w:space="0" w:color="E5E5E5"/>
          <w:insideV w:val="single" w:sz="4" w:space="0" w:color="E5E5E5"/>
        </w:tblBorders>
      </w:tblPr>
      <w:tblGrid>
        <w:gridCol w:w="1584"/>
        <w:gridCol w:w="1440"/>
        <w:gridCol w:w="5184"/>
        <w:gridCol w:w="1829"/>
      </w:tblGrid>
      <w:tr>
        <w:tc>
          <w:tcPr>
            <w:tcW w:type="dxa" w:w="2509"/>
            <w:shd w:fill="1A1C22"/>
            <w:vAlign w:val="center"/>
          </w:tcPr>
          <w:p>
            <w:pPr>
              <w:spacing w:before="60" w:after="60"/>
              <w:jc w:val="center"/>
            </w:pPr>
            <w:r>
              <w:rPr>
                <w:rFonts w:ascii="Arial" w:hAnsi="Arial"/>
                <w:b/>
                <w:color w:val="D4AF37"/>
                <w:sz w:val="16"/>
              </w:rPr>
              <w:t>Milestone Stage</w:t>
            </w:r>
          </w:p>
        </w:tc>
        <w:tc>
          <w:tcPr>
            <w:tcW w:type="dxa" w:w="2509"/>
            <w:shd w:fill="1A1C22"/>
            <w:vAlign w:val="center"/>
          </w:tcPr>
          <w:p>
            <w:pPr>
              <w:spacing w:before="60" w:after="60"/>
              <w:jc w:val="center"/>
            </w:pPr>
            <w:r>
              <w:rPr>
                <w:rFonts w:ascii="Arial" w:hAnsi="Arial"/>
                <w:b/>
                <w:color w:val="D4AF37"/>
                <w:sz w:val="16"/>
              </w:rPr>
              <w:t>Percentage</w:t>
            </w:r>
          </w:p>
        </w:tc>
        <w:tc>
          <w:tcPr>
            <w:tcW w:type="dxa" w:w="2509"/>
            <w:shd w:fill="1A1C22"/>
            <w:vAlign w:val="center"/>
          </w:tcPr>
          <w:p>
            <w:pPr>
              <w:spacing w:before="60" w:after="60"/>
              <w:jc w:val="center"/>
            </w:pPr>
            <w:r>
              <w:rPr>
                <w:rFonts w:ascii="Arial" w:hAnsi="Arial"/>
                <w:b/>
                <w:color w:val="D4AF37"/>
                <w:sz w:val="16"/>
              </w:rPr>
              <w:t>Execution Milestone &amp; Deliverable Trigger</w:t>
            </w:r>
          </w:p>
        </w:tc>
        <w:tc>
          <w:tcPr>
            <w:tcW w:type="dxa" w:w="2509"/>
            <w:shd w:fill="1A1C22"/>
            <w:vAlign w:val="center"/>
          </w:tcPr>
          <w:p>
            <w:pPr>
              <w:spacing w:before="60" w:after="60"/>
              <w:jc w:val="center"/>
            </w:pPr>
            <w:r>
              <w:rPr>
                <w:rFonts w:ascii="Arial" w:hAnsi="Arial"/>
                <w:b/>
                <w:color w:val="D4AF37"/>
                <w:sz w:val="16"/>
              </w:rPr>
              <w:t>Amount (₹)</w:t>
            </w:r>
          </w:p>
        </w:tc>
      </w:tr>
      <w:tr>
        <w:tc>
          <w:tcPr>
            <w:tcW w:type="dxa" w:w="2509"/>
            <w:shd w:fill="F9F9F9"/>
            <w:vAlign w:val="center"/>
          </w:tcPr>
          <w:p>
            <w:pPr>
              <w:spacing w:before="60" w:after="60"/>
              <w:jc w:val="center"/>
            </w:pPr>
            <w:r>
              <w:rPr>
                <w:rFonts w:ascii="Calibri" w:hAnsi="Calibri"/>
                <w:b/>
                <w:sz w:val="17"/>
              </w:rPr>
              <w:t>Milestone 1 (Token)</w:t>
            </w:r>
          </w:p>
        </w:tc>
        <w:tc>
          <w:tcPr>
            <w:tcW w:type="dxa" w:w="2509"/>
            <w:shd w:fill="F9F9F9"/>
            <w:vAlign w:val="center"/>
          </w:tcPr>
          <w:p>
            <w:pPr>
              <w:spacing w:before="60" w:after="60"/>
              <w:jc w:val="center"/>
            </w:pPr>
            <w:r>
              <w:rPr>
                <w:rFonts w:ascii="Calibri" w:hAnsi="Calibri"/>
                <w:sz w:val="17"/>
              </w:rPr>
              <w:t>10%</w:t>
            </w:r>
          </w:p>
        </w:tc>
        <w:tc>
          <w:tcPr>
            <w:tcW w:type="dxa" w:w="2509"/>
            <w:shd w:fill="F9F9F9"/>
            <w:vAlign w:val="center"/>
          </w:tcPr>
          <w:p>
            <w:pPr>
              <w:spacing w:before="60" w:after="60"/>
            </w:pPr>
            <w:r>
              <w:rPr>
                <w:rFonts w:ascii="Calibri" w:hAnsi="Calibri"/>
                <w:sz w:val="17"/>
              </w:rPr>
              <w:t>Design Sign-off, Detailed 2D/3D CAD Layouts, Site Measurement &amp; Material Matrix approval</w:t>
            </w:r>
          </w:p>
        </w:tc>
        <w:tc>
          <w:tcPr>
            <w:tcW w:type="dxa" w:w="2509"/>
            <w:shd w:fill="F9F9F9"/>
            <w:vAlign w:val="center"/>
          </w:tcPr>
          <w:p>
            <w:pPr>
              <w:spacing w:before="60" w:after="60"/>
              <w:jc w:val="center"/>
            </w:pPr>
            <w:r>
              <w:rPr>
                <w:rFonts w:ascii="Calibri" w:hAnsi="Calibri"/>
                <w:sz w:val="17"/>
              </w:rPr>
              <w:t>₹ _____________</w:t>
            </w:r>
          </w:p>
        </w:tc>
      </w:tr>
      <w:tr>
        <w:tc>
          <w:tcPr>
            <w:tcW w:type="dxa" w:w="2509"/>
            <w:shd w:fill="FFFFFF"/>
            <w:vAlign w:val="center"/>
          </w:tcPr>
          <w:p>
            <w:pPr>
              <w:spacing w:before="60" w:after="60"/>
              <w:jc w:val="center"/>
            </w:pPr>
            <w:r>
              <w:rPr>
                <w:rFonts w:ascii="Calibri" w:hAnsi="Calibri"/>
                <w:b/>
                <w:sz w:val="17"/>
              </w:rPr>
              <w:t>Milestone 2 (Civil &amp; Core)</w:t>
            </w:r>
          </w:p>
        </w:tc>
        <w:tc>
          <w:tcPr>
            <w:tcW w:type="dxa" w:w="2509"/>
            <w:shd w:fill="FFFFFF"/>
            <w:vAlign w:val="center"/>
          </w:tcPr>
          <w:p>
            <w:pPr>
              <w:spacing w:before="60" w:after="60"/>
              <w:jc w:val="center"/>
            </w:pPr>
            <w:r>
              <w:rPr>
                <w:rFonts w:ascii="Calibri" w:hAnsi="Calibri"/>
                <w:sz w:val="17"/>
              </w:rPr>
              <w:t>40%</w:t>
            </w:r>
          </w:p>
        </w:tc>
        <w:tc>
          <w:tcPr>
            <w:tcW w:type="dxa" w:w="2509"/>
            <w:shd w:fill="FFFFFF"/>
            <w:vAlign w:val="center"/>
          </w:tcPr>
          <w:p>
            <w:pPr>
              <w:spacing w:before="60" w:after="60"/>
            </w:pPr>
            <w:r>
              <w:rPr>
                <w:rFonts w:ascii="Calibri" w:hAnsi="Calibri"/>
                <w:sz w:val="17"/>
              </w:rPr>
              <w:t>Core Procurement (IS:710 Marine Ply/Veneer), Civil alterations, Concealed Electrical &amp; Plumbing commencement</w:t>
            </w:r>
          </w:p>
        </w:tc>
        <w:tc>
          <w:tcPr>
            <w:tcW w:type="dxa" w:w="2509"/>
            <w:shd w:fill="FFFFFF"/>
            <w:vAlign w:val="center"/>
          </w:tcPr>
          <w:p>
            <w:pPr>
              <w:spacing w:before="60" w:after="60"/>
              <w:jc w:val="center"/>
            </w:pPr>
            <w:r>
              <w:rPr>
                <w:rFonts w:ascii="Calibri" w:hAnsi="Calibri"/>
                <w:sz w:val="17"/>
              </w:rPr>
              <w:t>₹ _____________</w:t>
            </w:r>
          </w:p>
        </w:tc>
      </w:tr>
      <w:tr>
        <w:tc>
          <w:tcPr>
            <w:tcW w:type="dxa" w:w="2509"/>
            <w:shd w:fill="F9F9F9"/>
            <w:vAlign w:val="center"/>
          </w:tcPr>
          <w:p>
            <w:pPr>
              <w:spacing w:before="60" w:after="60"/>
              <w:jc w:val="center"/>
            </w:pPr>
            <w:r>
              <w:rPr>
                <w:rFonts w:ascii="Calibri" w:hAnsi="Calibri"/>
                <w:b/>
                <w:sz w:val="17"/>
              </w:rPr>
              <w:t>Milestone 3 (Fitouts &amp; Assembly)</w:t>
            </w:r>
          </w:p>
        </w:tc>
        <w:tc>
          <w:tcPr>
            <w:tcW w:type="dxa" w:w="2509"/>
            <w:shd w:fill="F9F9F9"/>
            <w:vAlign w:val="center"/>
          </w:tcPr>
          <w:p>
            <w:pPr>
              <w:spacing w:before="60" w:after="60"/>
              <w:jc w:val="center"/>
            </w:pPr>
            <w:r>
              <w:rPr>
                <w:rFonts w:ascii="Calibri" w:hAnsi="Calibri"/>
                <w:sz w:val="17"/>
              </w:rPr>
              <w:t>40%</w:t>
            </w:r>
          </w:p>
        </w:tc>
        <w:tc>
          <w:tcPr>
            <w:tcW w:type="dxa" w:w="2509"/>
            <w:shd w:fill="F9F9F9"/>
            <w:vAlign w:val="center"/>
          </w:tcPr>
          <w:p>
            <w:pPr>
              <w:spacing w:before="60" w:after="60"/>
            </w:pPr>
            <w:r>
              <w:rPr>
                <w:rFonts w:ascii="Calibri" w:hAnsi="Calibri"/>
                <w:sz w:val="17"/>
              </w:rPr>
              <w:t>Factory Modular Carcass Delivery at Site, On-site Carpentry Fitout, False Ceiling, Wall Paneling &amp; Primer Coating</w:t>
            </w:r>
          </w:p>
        </w:tc>
        <w:tc>
          <w:tcPr>
            <w:tcW w:type="dxa" w:w="2509"/>
            <w:shd w:fill="F9F9F9"/>
            <w:vAlign w:val="center"/>
          </w:tcPr>
          <w:p>
            <w:pPr>
              <w:spacing w:before="60" w:after="60"/>
              <w:jc w:val="center"/>
            </w:pPr>
            <w:r>
              <w:rPr>
                <w:rFonts w:ascii="Calibri" w:hAnsi="Calibri"/>
                <w:sz w:val="17"/>
              </w:rPr>
              <w:t>₹ _____________</w:t>
            </w:r>
          </w:p>
        </w:tc>
      </w:tr>
      <w:tr>
        <w:tc>
          <w:tcPr>
            <w:tcW w:type="dxa" w:w="2509"/>
            <w:shd w:fill="FFFFFF"/>
            <w:vAlign w:val="center"/>
          </w:tcPr>
          <w:p>
            <w:pPr>
              <w:spacing w:before="60" w:after="60"/>
              <w:jc w:val="center"/>
            </w:pPr>
            <w:r>
              <w:rPr>
                <w:rFonts w:ascii="Calibri" w:hAnsi="Calibri"/>
                <w:b/>
                <w:sz w:val="17"/>
              </w:rPr>
              <w:t>Milestone 4 (Handover)</w:t>
            </w:r>
          </w:p>
        </w:tc>
        <w:tc>
          <w:tcPr>
            <w:tcW w:type="dxa" w:w="2509"/>
            <w:shd w:fill="FFFFFF"/>
            <w:vAlign w:val="center"/>
          </w:tcPr>
          <w:p>
            <w:pPr>
              <w:spacing w:before="60" w:after="60"/>
              <w:jc w:val="center"/>
            </w:pPr>
            <w:r>
              <w:rPr>
                <w:rFonts w:ascii="Calibri" w:hAnsi="Calibri"/>
                <w:sz w:val="17"/>
              </w:rPr>
              <w:t>10%</w:t>
            </w:r>
          </w:p>
        </w:tc>
        <w:tc>
          <w:tcPr>
            <w:tcW w:type="dxa" w:w="2509"/>
            <w:shd w:fill="FFFFFF"/>
            <w:vAlign w:val="center"/>
          </w:tcPr>
          <w:p>
            <w:pPr>
              <w:spacing w:before="60" w:after="60"/>
            </w:pPr>
            <w:r>
              <w:rPr>
                <w:rFonts w:ascii="Calibri" w:hAnsi="Calibri"/>
                <w:sz w:val="17"/>
              </w:rPr>
              <w:t>Final Finishing Coat, Fitting Hardware/Lighting, Deep Cleaning, Joint Snag Clearance &amp; Formal Handover</w:t>
            </w:r>
          </w:p>
        </w:tc>
        <w:tc>
          <w:tcPr>
            <w:tcW w:type="dxa" w:w="2509"/>
            <w:shd w:fill="FFFFFF"/>
            <w:vAlign w:val="center"/>
          </w:tcPr>
          <w:p>
            <w:pPr>
              <w:spacing w:before="60" w:after="60"/>
              <w:jc w:val="center"/>
            </w:pPr>
            <w:r>
              <w:rPr>
                <w:rFonts w:ascii="Calibri" w:hAnsi="Calibri"/>
                <w:sz w:val="17"/>
              </w:rPr>
              <w:t>₹ _____________</w:t>
            </w:r>
          </w:p>
        </w:tc>
      </w:tr>
    </w:tbl>
    <w:p>
      <w:pPr>
        <w:keepNext/>
        <w:spacing w:before="240" w:after="60"/>
      </w:pPr>
      <w:r>
        <w:rPr>
          <w:rFonts w:ascii="Arial" w:hAnsi="Arial"/>
          <w:b/>
          <w:color w:val="B8860B"/>
          <w:sz w:val="19"/>
        </w:rPr>
        <w:t xml:space="preserve">CLAUSE 4. </w:t>
      </w:r>
      <w:r>
        <w:rPr>
          <w:rFonts w:ascii="Georgia" w:hAnsi="Georgia"/>
          <w:b/>
          <w:color w:val="1A1C22"/>
          <w:sz w:val="20"/>
        </w:rPr>
        <w:t>TIMELINE, COMMENCEMENT &amp; COMPLETION PERIOD</w:t>
      </w:r>
    </w:p>
    <w:p>
      <w:pPr>
        <w:spacing w:before="0" w:after="100" w:line="276" w:lineRule="auto"/>
      </w:pPr>
      <w:r>
        <w:rPr>
          <w:rFonts w:ascii="Calibri" w:hAnsi="Calibri"/>
          <w:color w:val="282D37"/>
          <w:sz w:val="19"/>
        </w:rPr>
        <w:t>4.1. The agreed project execution timeline is ______________ calendar working days, commencing from the date of realization of Milestone 2 payment and unhindered handover of site possession with required electricity/water access.</w:t>
      </w:r>
    </w:p>
    <w:p>
      <w:pPr>
        <w:spacing w:before="0" w:after="100" w:line="276" w:lineRule="auto"/>
      </w:pPr>
      <w:r>
        <w:rPr>
          <w:rFonts w:ascii="Calibri" w:hAnsi="Calibri"/>
          <w:color w:val="282D37"/>
          <w:sz w:val="19"/>
        </w:rPr>
        <w:t>4.2. Timeline extensions shall be granted automatically in instances of Force Majeure (acts of God, natural calamities, regional restrictions), building society regulation delays, or delayed material selections / stage approvals from the Second Party.</w:t>
      </w:r>
    </w:p>
    <w:p>
      <w:pPr>
        <w:keepNext/>
        <w:spacing w:before="240" w:after="60"/>
      </w:pPr>
      <w:r>
        <w:rPr>
          <w:rFonts w:ascii="Arial" w:hAnsi="Arial"/>
          <w:b/>
          <w:color w:val="B8860B"/>
          <w:sz w:val="19"/>
        </w:rPr>
        <w:t xml:space="preserve">CLAUSE 5. </w:t>
      </w:r>
      <w:r>
        <w:rPr>
          <w:rFonts w:ascii="Georgia" w:hAnsi="Georgia"/>
          <w:b/>
          <w:color w:val="1A1C22"/>
          <w:sz w:val="20"/>
        </w:rPr>
        <w:t>MATERIAL SPECIFICATIONS &amp; 10-YEAR WARRANTY</w:t>
      </w:r>
    </w:p>
    <w:p>
      <w:pPr>
        <w:spacing w:before="0" w:after="100" w:line="276" w:lineRule="auto"/>
      </w:pPr>
      <w:r>
        <w:rPr>
          <w:rFonts w:ascii="Calibri" w:hAnsi="Calibri"/>
          <w:color w:val="282D37"/>
          <w:sz w:val="19"/>
        </w:rPr>
        <w:t>5.1. The First Party warrants that all modular woodwork shall be crafted utilizing genuine IS:710 BWP (Boiling Water Proof) Marine Grade or IS:303 Moisture Resistant (MR) Plywood with branded 1mm / 1.5mm high-pressure laminates or natural architectural veneers.</w:t>
      </w:r>
    </w:p>
    <w:p>
      <w:pPr>
        <w:spacing w:before="0" w:after="100" w:line="276" w:lineRule="auto"/>
      </w:pPr>
      <w:r>
        <w:rPr>
          <w:rFonts w:ascii="Calibri" w:hAnsi="Calibri"/>
          <w:color w:val="282D37"/>
          <w:sz w:val="19"/>
        </w:rPr>
        <w:t>5.2. Decor8 India provides a 10-Year Structural Modular Warranty against manufacturing defects, borer/termite infestation, and delamination under normal residential usage, alongside 1-Year Complimentary Post-Handover Maintenance on movable hinges, drawer slides, and fittings.</w:t>
      </w:r>
    </w:p>
    <w:p>
      <w:pPr>
        <w:keepNext/>
        <w:spacing w:before="240" w:after="60"/>
      </w:pPr>
      <w:r>
        <w:rPr>
          <w:rFonts w:ascii="Arial" w:hAnsi="Arial"/>
          <w:b/>
          <w:color w:val="B8860B"/>
          <w:sz w:val="19"/>
        </w:rPr>
        <w:t xml:space="preserve">CLAUSE 6. </w:t>
      </w:r>
      <w:r>
        <w:rPr>
          <w:rFonts w:ascii="Georgia" w:hAnsi="Georgia"/>
          <w:b/>
          <w:color w:val="1A1C22"/>
          <w:sz w:val="20"/>
        </w:rPr>
        <w:t>CLIENT OBLIGATIONS &amp; ACCESS RIGHTS</w:t>
      </w:r>
    </w:p>
    <w:p>
      <w:pPr>
        <w:spacing w:before="0" w:after="100" w:line="276" w:lineRule="auto"/>
      </w:pPr>
      <w:r>
        <w:rPr>
          <w:rFonts w:ascii="Calibri" w:hAnsi="Calibri"/>
          <w:color w:val="282D37"/>
          <w:sz w:val="19"/>
        </w:rPr>
        <w:t>6.1. The Second Party shall ensure continuous, uninterrupted water and electrical supply at the site required for execution tools and testing.</w:t>
      </w:r>
    </w:p>
    <w:p>
      <w:pPr>
        <w:spacing w:before="0" w:after="100" w:line="276" w:lineRule="auto"/>
      </w:pPr>
      <w:r>
        <w:rPr>
          <w:rFonts w:ascii="Calibri" w:hAnsi="Calibri"/>
          <w:color w:val="282D37"/>
          <w:sz w:val="19"/>
        </w:rPr>
        <w:t>6.2. The Second Party shall procure all necessary permissions, society gate passes, and work NOCs from local residential welfare associations or municipal development authorities prior to commencement.</w:t>
      </w:r>
    </w:p>
    <w:p>
      <w:pPr>
        <w:keepNext/>
        <w:spacing w:before="240" w:after="60"/>
      </w:pPr>
      <w:r>
        <w:rPr>
          <w:rFonts w:ascii="Arial" w:hAnsi="Arial"/>
          <w:b/>
          <w:color w:val="B8860B"/>
          <w:sz w:val="19"/>
        </w:rPr>
        <w:t xml:space="preserve">CLAUSE 7. </w:t>
      </w:r>
      <w:r>
        <w:rPr>
          <w:rFonts w:ascii="Georgia" w:hAnsi="Georgia"/>
          <w:b/>
          <w:color w:val="1A1C22"/>
          <w:sz w:val="20"/>
        </w:rPr>
        <w:t>TERMINATION, DISPUTE RESOLUTION &amp; JURISDICTION</w:t>
      </w:r>
    </w:p>
    <w:p>
      <w:pPr>
        <w:spacing w:before="0" w:after="100" w:line="276" w:lineRule="auto"/>
      </w:pPr>
      <w:r>
        <w:rPr>
          <w:rFonts w:ascii="Calibri" w:hAnsi="Calibri"/>
          <w:color w:val="282D37"/>
          <w:sz w:val="19"/>
        </w:rPr>
        <w:t>7.1. In the event of any dispute, claim, or difference arising out of or in connection with this Agreement, both parties agree to first seek amicable resolution via mutual executive mediation within 14 calendar days.</w:t>
      </w:r>
    </w:p>
    <w:p>
      <w:pPr>
        <w:spacing w:before="0" w:after="100" w:line="276" w:lineRule="auto"/>
      </w:pPr>
      <w:r>
        <w:rPr>
          <w:rFonts w:ascii="Calibri" w:hAnsi="Calibri"/>
          <w:color w:val="282D37"/>
          <w:sz w:val="19"/>
        </w:rPr>
        <w:t>7.2. In the event mediation fails, disputes shall be referred to arbitration in accordance with the Indian Arbitration and Conciliation Act, 1996. The seat of arbitration and legal jurisdiction shall exclusively vest in the competent Civil Courts of Bengaluru, Karnataka, India.</w:t>
      </w:r>
    </w:p>
    <w:p>
      <w:pPr>
        <w:spacing w:before="40" w:after="120"/>
        <w:pBdr>
          <w:bottom w:val="single" w:sz="12" w:space="1" w:color="D4AF37"/>
        </w:pBdr>
      </w:pPr>
    </w:p>
    <w:p>
      <w:pPr>
        <w:keepNext/>
        <w:spacing w:before="160" w:after="240"/>
      </w:pPr>
      <w:r>
        <w:rPr>
          <w:rFonts w:ascii="Georgia" w:hAnsi="Georgia"/>
          <w:b/>
          <w:sz w:val="19"/>
        </w:rPr>
        <w:t>IN WITNESS WHEREOF, both parties hereto have signed, sealed, and executed this Turnkey Agreement on the day, month, and year first written above: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4997"/>
      </w:tblGrid>
      <w:tr>
        <w:tc>
          <w:tcPr>
            <w:tcW w:type="dxa" w:w="5018"/>
          </w:tcPr>
          <w:p>
            <w:pPr>
              <w:spacing w:before="80" w:after="0"/>
            </w:pPr>
            <w:r>
              <w:rPr>
                <w:rFonts w:ascii="Arial" w:hAnsi="Arial"/>
                <w:b/>
                <w:color w:val="B8860B"/>
                <w:sz w:val="17"/>
              </w:rPr>
              <w:t>FOR &amp; ON BEHALF OF FIRST PARTY:</w:t>
              <w:br/>
            </w:r>
            <w:r>
              <w:rPr>
                <w:rFonts w:ascii="Calibri" w:hAnsi="Calibri"/>
                <w:color w:val="1A1C22"/>
                <w:sz w:val="18"/>
              </w:rPr>
              <w:t>M/s Decor8 India Interiors Pvt. Ltd.</w:t>
              <w:br/>
              <w:br/>
              <w:br/>
              <w:br/>
              <w:t>_________________________________________</w:t>
              <w:br/>
              <w:t>MR. SATISH BHAT</w:t>
              <w:br/>
              <w:t>Chief Executive Officer &amp; Principal Architect</w:t>
              <w:br/>
              <w:t>Branch: Bengaluru Studio, Karnataka</w:t>
            </w:r>
          </w:p>
        </w:tc>
        <w:tc>
          <w:tcPr>
            <w:tcW w:type="dxa" w:w="5018"/>
          </w:tcPr>
          <w:p>
            <w:pPr>
              <w:spacing w:before="80" w:after="0"/>
            </w:pPr>
            <w:r>
              <w:rPr>
                <w:rFonts w:ascii="Arial" w:hAnsi="Arial"/>
                <w:b/>
                <w:color w:val="B8860B"/>
                <w:sz w:val="17"/>
              </w:rPr>
              <w:t>FOR &amp; ON BEHALF OF SECOND PARTY (CLIENT):</w:t>
              <w:br/>
            </w:r>
            <w:r>
              <w:rPr>
                <w:rFonts w:ascii="Calibri" w:hAnsi="Calibri"/>
                <w:color w:val="1A1C22"/>
                <w:sz w:val="18"/>
              </w:rPr>
              <w:t>Client / Property Owner Signature:</w:t>
              <w:br/>
              <w:br/>
              <w:br/>
              <w:br/>
              <w:t>_________________________________________</w:t>
              <w:br/>
              <w:t>NAME: __________________________________</w:t>
              <w:br/>
              <w:t>PAN / Aadhaar: __________________________</w:t>
              <w:br/>
              <w:t>Contact: +91 ___________________________</w:t>
            </w:r>
          </w:p>
        </w:tc>
      </w:tr>
    </w:tbl>
    <w:p>
      <w:pPr>
        <w:keepNext/>
        <w:spacing w:before="320" w:after="120"/>
      </w:pPr>
      <w:r>
        <w:rPr>
          <w:rFonts w:ascii="Arial" w:hAnsi="Arial"/>
          <w:b/>
          <w:color w:val="B8860B"/>
          <w:sz w:val="17"/>
        </w:rPr>
        <w:t>WITNESSES (Name, Signature &amp; Address):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4997"/>
      </w:tblGrid>
      <w:tr>
        <w:tc>
          <w:tcPr>
            <w:tcW w:type="dxa" w:w="5018"/>
          </w:tcPr>
          <w:p>
            <w:r>
              <w:rPr>
                <w:rFonts w:ascii="Calibri" w:hAnsi="Calibri"/>
                <w:sz w:val="17"/>
              </w:rPr>
              <w:t>1. Signature: _____________________________</w:t>
              <w:br/>
              <w:t xml:space="preserve">   Name: _________________________________</w:t>
              <w:br/>
              <w:t xml:space="preserve">   Address: ______________________________</w:t>
              <w:br/>
              <w:t xml:space="preserve">   Contact: ______________________________</w:t>
            </w:r>
          </w:p>
        </w:tc>
        <w:tc>
          <w:tcPr>
            <w:tcW w:type="dxa" w:w="5018"/>
          </w:tcPr>
          <w:p>
            <w:r>
              <w:rPr>
                <w:rFonts w:ascii="Calibri" w:hAnsi="Calibri"/>
                <w:sz w:val="17"/>
              </w:rPr>
              <w:t>2. Signature: _____________________________</w:t>
              <w:br/>
              <w:t xml:space="preserve">   Name: _________________________________</w:t>
              <w:br/>
              <w:t xml:space="preserve">   Address: ______________________________</w:t>
              <w:br/>
              <w:t xml:space="preserve">   Contact: ______________________________</w:t>
            </w:r>
          </w:p>
        </w:tc>
      </w:tr>
    </w:tbl>
    <w:p>
      <w:pPr>
        <w:spacing w:before="40" w:after="120"/>
        <w:pBdr>
          <w:bottom w:val="single" w:sz="8" w:space="1" w:color="D4AF37"/>
        </w:pBdr>
      </w:pPr>
    </w:p>
    <w:p>
      <w:pPr>
        <w:spacing w:before="40" w:after="0"/>
        <w:jc w:val="center"/>
      </w:pPr>
      <w:r>
        <w:rPr>
          <w:rFonts w:ascii="Arial" w:hAnsi="Arial"/>
          <w:b/>
          <w:color w:val="8C8C8C"/>
          <w:sz w:val="14"/>
        </w:rPr>
        <w:t>Decor8 India Turnkey Contract Agreement • Bengaluru Branch • www.decor8india.com • support@decor8india.com</w:t>
      </w:r>
    </w:p>
    <w:sectPr w:rsidR="00FC693F" w:rsidRPr="0006063C" w:rsidSect="00034616">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