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787878"/>
          <w:sz w:val="14"/>
        </w:rPr>
        <w:t>[ TO BE EXECUTED ON NON-JUDICIAL STAMP PAPER OF REQUISITE VALUE AS PRESCRIBED UNDER ARTICLE 5 OF THE KARNATAKA STAMP ACT, 1957 ]</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08"/>
        <w:gridCol w:w="5429"/>
      </w:tblGrid>
      <w:tr>
        <w:tc>
          <w:tcPr>
            <w:tcW w:type="dxa" w:w="5018"/>
            <w:vAlign w:val="center"/>
          </w:tcPr>
          <w:p>
            <w:pPr>
              <w:spacing w:after="0"/>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920240"/>
                          </a:xfrm>
                          <a:prstGeom prst="rect"/>
                        </pic:spPr>
                      </pic:pic>
                    </a:graphicData>
                  </a:graphic>
                </wp:inline>
              </w:drawing>
            </w:r>
          </w:p>
          <w:p>
            <w:pPr>
              <w:spacing w:before="40" w:after="0"/>
            </w:pPr>
            <w:r>
              <w:rPr>
                <w:rFonts w:ascii="Arial" w:hAnsi="Arial"/>
                <w:b/>
                <w:color w:val="B8860B"/>
                <w:sz w:val="15"/>
              </w:rPr>
              <w:t>SIRSI (UTTARA KANNADA) BRANCH • ARCHITECTURAL &amp; TURNKEY STUDIO</w:t>
            </w:r>
          </w:p>
        </w:tc>
        <w:tc>
          <w:tcPr>
            <w:tcW w:type="dxa" w:w="5018"/>
            <w:vAlign w:val="center"/>
          </w:tcPr>
          <w:p>
            <w:pPr>
              <w:spacing w:after="0"/>
              <w:jc w:val="right"/>
            </w:pPr>
            <w:r>
              <w:rPr>
                <w:rFonts w:ascii="Georgia" w:hAnsi="Georgia"/>
                <w:b/>
                <w:color w:val="1A1C22"/>
                <w:sz w:val="19"/>
              </w:rPr>
              <w:t>DECOR8 INDIA INTERIORS PVT. LTD.</w:t>
              <w:br/>
            </w:r>
            <w:r>
              <w:rPr>
                <w:rFonts w:ascii="Arial" w:hAnsi="Arial"/>
                <w:color w:val="5A5F69"/>
                <w:sz w:val="14"/>
              </w:rPr>
              <w:t>GSTIN: 29AABCD8826K1Z1 | PAN: AABCD8826K</w:t>
              <w:br/>
              <w:t>Decor8 India Design Studio, CP Bazaar / Hubli Road, Sirsi, Uttara Kannada - 581401, Karnataka</w:t>
              <w:br/>
              <w:t>Tel: +91 93805 23743 | Email: support@decor8india.com | Web: www.decor8india.com</w:t>
              <w:br/>
              <w:t>Registered Turnkey Architectural &amp; Construction Contractor</w:t>
            </w:r>
          </w:p>
        </w:tc>
      </w:tr>
    </w:tbl>
    <w:p>
      <w:pPr>
        <w:spacing w:before="40" w:after="120"/>
        <w:pBdr>
          <w:bottom w:val="single" w:sz="16" w:space="1" w:color="D4AF37"/>
        </w:pBdr>
      </w:pPr>
    </w:p>
    <w:p>
      <w:pPr>
        <w:spacing w:before="120" w:after="40"/>
        <w:jc w:val="center"/>
      </w:pPr>
      <w:r>
        <w:rPr>
          <w:rFonts w:ascii="Georgia" w:hAnsi="Georgia"/>
          <w:b/>
          <w:color w:val="1A1C22"/>
          <w:sz w:val="24"/>
        </w:rPr>
        <w:t>TURNKEY ARCHITECTURAL &amp; INTERIOR EXECUTION AGREEMENT</w:t>
      </w:r>
    </w:p>
    <w:p>
      <w:pPr>
        <w:spacing w:before="0" w:after="200"/>
        <w:jc w:val="center"/>
      </w:pPr>
      <w:r>
        <w:rPr>
          <w:rFonts w:ascii="Arial" w:hAnsi="Arial"/>
          <w:b/>
          <w:color w:val="B8860B"/>
          <w:sz w:val="17"/>
        </w:rPr>
        <w:t>[ Governed by The Indian Contract Act, 1872 • Sirsi (Uttara Kannada) Branch Office Execution ]</w:t>
      </w:r>
    </w:p>
    <w:p>
      <w:pPr>
        <w:spacing w:before="0" w:after="80" w:line="276" w:lineRule="auto"/>
        <w:jc w:val="both"/>
      </w:pPr>
      <w:r>
        <w:rPr>
          <w:rFonts w:ascii="Calibri" w:hAnsi="Calibri"/>
          <w:color w:val="282D37"/>
          <w:sz w:val="19"/>
        </w:rPr>
        <w:t>THIS TURNKEY ARCHITECTURAL &amp; INTERIOR EXECUTION AGREEMENT ("Agreement") is made, entered into, and executed at Sirsi, Uttara Kannada District, State of Karnataka, India, on this _____ day of ________________________, 2026 ("Execution Date"), BY AND BETWEEN:</w:t>
      </w:r>
    </w:p>
    <w:p>
      <w:pPr>
        <w:spacing w:before="0" w:after="80" w:line="276" w:lineRule="auto"/>
        <w:jc w:val="both"/>
      </w:pPr>
      <w:r>
        <w:rPr>
          <w:rFonts w:ascii="Calibri" w:hAnsi="Calibri"/>
          <w:b/>
          <w:color w:val="1A1C22"/>
          <w:sz w:val="19"/>
        </w:rPr>
        <w:t xml:space="preserve">1. FIRST PARTY: </w:t>
      </w:r>
      <w:r>
        <w:rPr>
          <w:rFonts w:ascii="Calibri" w:hAnsi="Calibri"/>
          <w:color w:val="282D37"/>
          <w:sz w:val="19"/>
        </w:rPr>
        <w:t>M/S DECOR8 INDIA INTERIORS PVT. LTD., a company incorporated and governed under the provisions of the Companies Act, holding GSTIN: 29AABCD8826K1Z1 and Permanent Account Number (PAN): AABCD8826K, having its operational branch office at Decor8 India Design Studio, CP Bazaar / Hubli Road, Sirsi, Uttara Kannada - 581401, Karnataka, acting through its authorized representative and Chief Executive Officer &amp; Principal Architect, MR. SATISH BHAT (hereinafter referred to as the "FIRST PARTY" or the "CONTRACTOR / ARCHITECT", which term shall, unless repugnant to the context or meaning thereof, be deemed to mean and include its successors-in-interest, permitted assigns, and administrators) OF THE FIRST PART;</w:t>
      </w:r>
    </w:p>
    <w:p>
      <w:pPr>
        <w:spacing w:before="40" w:after="40"/>
        <w:jc w:val="center"/>
      </w:pPr>
      <w:r>
        <w:rPr>
          <w:rFonts w:ascii="Georgia" w:hAnsi="Georgia"/>
          <w:b/>
          <w:color w:val="B8860B"/>
          <w:sz w:val="18"/>
        </w:rPr>
        <w:t>— AND —</w:t>
      </w:r>
    </w:p>
    <w:p>
      <w:pPr>
        <w:spacing w:before="0" w:after="80" w:line="276" w:lineRule="auto"/>
        <w:jc w:val="both"/>
      </w:pPr>
      <w:r>
        <w:rPr>
          <w:rFonts w:ascii="Calibri" w:hAnsi="Calibri"/>
          <w:b/>
          <w:color w:val="1A1C22"/>
          <w:sz w:val="19"/>
        </w:rPr>
        <w:t xml:space="preserve">2. SECOND PARTY: </w:t>
      </w:r>
      <w:r>
        <w:rPr>
          <w:rFonts w:ascii="Calibri" w:hAnsi="Calibri"/>
          <w:color w:val="282D37"/>
          <w:sz w:val="19"/>
        </w:rPr>
        <w:t>MR. / MRS. / M/S ____________________________________________________________________, son/daughter/wife of ________________________________________________, aged about _____ years, holding Aadhaar No: ____________________________ and PAN: ____________________________, permanently residing at / having registered office at _____________________________________________________________________________________________________________________, Contact: +91 ________________________, Email: __________________________________________________ (hereinafter referred to as the "SECOND PARTY" or the "CLIENT / PROPERTY OWNER", which term shall, unless repugnant to the context or meaning thereof, be deemed to mean and include their legal heirs, executors, administrators, and permitted assigns) OF THE SECOND PART.</w:t>
      </w:r>
    </w:p>
    <w:p>
      <w:pPr>
        <w:spacing w:before="0" w:after="80" w:line="276" w:lineRule="auto"/>
        <w:jc w:val="both"/>
      </w:pPr>
      <w:r>
        <w:rPr>
          <w:rFonts w:ascii="Calibri" w:hAnsi="Calibri"/>
          <w:color w:val="282D37"/>
          <w:sz w:val="19"/>
        </w:rPr>
        <w:t>(The First Party and the Second Party are hereinafter collectively referred to as the "Parties" and individually as a "Party").</w:t>
      </w:r>
    </w:p>
    <w:p>
      <w:pPr>
        <w:keepNext/>
        <w:spacing w:before="280" w:after="80"/>
        <w:pBdr>
          <w:bottom w:val="single" w:sz="10" w:space="2" w:color="B8860B"/>
        </w:pBdr>
      </w:pPr>
      <w:r>
        <w:rPr>
          <w:rFonts w:ascii="Georgia" w:hAnsi="Georgia"/>
          <w:b/>
          <w:color w:val="1A1C22"/>
          <w:sz w:val="22"/>
        </w:rPr>
        <w:t>RECITALS (WHEREAS CLAUSES)</w:t>
      </w:r>
    </w:p>
    <w:p>
      <w:pPr>
        <w:spacing w:before="0" w:after="80" w:line="276" w:lineRule="auto"/>
        <w:jc w:val="both"/>
      </w:pPr>
      <w:r>
        <w:rPr>
          <w:rFonts w:ascii="Calibri" w:hAnsi="Calibri"/>
          <w:color w:val="282D37"/>
          <w:sz w:val="19"/>
        </w:rPr>
        <w:t>A. WHEREAS the Second Party represents and warrants that they are the absolute, sole, and lawful owner / authorized title holder in physical possession of the immovable property situated at ___________________________________________________________________________________________________________________________________________________ ("Project Site"), admeasuring an estimated Super Built-up Area / Carpet Area of ______________ Sq. Ft.</w:t>
      </w:r>
    </w:p>
    <w:p>
      <w:pPr>
        <w:spacing w:before="0" w:after="80" w:line="276" w:lineRule="auto"/>
        <w:jc w:val="both"/>
      </w:pPr>
      <w:r>
        <w:rPr>
          <w:rFonts w:ascii="Calibri" w:hAnsi="Calibri"/>
          <w:color w:val="282D37"/>
          <w:sz w:val="19"/>
        </w:rPr>
        <w:t>B. WHEREAS the Second Party is desirous of carrying out complete architectural space planning, 2D/3D design visualization, structural modifications, custom modular woodwork, electrical, plumbing, false ceiling, surface finishing, and turnkey execution at the Project Site and has solicited the professional architectural services of the First Party.</w:t>
      </w:r>
    </w:p>
    <w:p>
      <w:pPr>
        <w:spacing w:before="0" w:after="80" w:line="276" w:lineRule="auto"/>
        <w:jc w:val="both"/>
      </w:pPr>
      <w:r>
        <w:rPr>
          <w:rFonts w:ascii="Calibri" w:hAnsi="Calibri"/>
          <w:color w:val="282D37"/>
          <w:sz w:val="19"/>
        </w:rPr>
        <w:t>C. WHEREAS the First Party possesses the necessary technical infrastructure, architectural expertise, qualified manpower, and manufacturing capabilities to execute turnkey residential and commercial interior projects as per recognized architectural standards.</w:t>
      </w:r>
    </w:p>
    <w:p>
      <w:pPr>
        <w:spacing w:before="0" w:after="80" w:line="276" w:lineRule="auto"/>
        <w:jc w:val="both"/>
      </w:pPr>
      <w:r>
        <w:rPr>
          <w:rFonts w:ascii="Calibri" w:hAnsi="Calibri"/>
          <w:color w:val="282D37"/>
          <w:sz w:val="19"/>
        </w:rPr>
        <w:t>D. WHEREAS the Parties have mutually agreed on the Scope of Work, Technical Material Specifications, Approved Bill of Quantities (BOQ), Commercial Considerations, and Milestone Payment Schedules as detailed in the Schedules attached hereto, and desire to formalize their mutual rights, covenants, and obligations under this Agreement in accordance with the provisions of The Indian Contract Act, 1872.</w:t>
      </w:r>
    </w:p>
    <w:p>
      <w:pPr>
        <w:spacing w:before="0" w:after="80" w:line="276" w:lineRule="auto"/>
        <w:jc w:val="both"/>
      </w:pPr>
      <w:r>
        <w:rPr>
          <w:rFonts w:ascii="Calibri" w:hAnsi="Calibri"/>
          <w:color w:val="282D37"/>
          <w:sz w:val="19"/>
        </w:rPr>
        <w:t>NOW, THEREFORE, IN CONSIDERATION OF THE MUTUAL COVENANTS, PROMISES, AND VALUABLE CONSIDERATION RECORDED HEREIN, THE ADEQUACY AND SUFFICIENCY OF WHICH IS HEREBY MUTUALLY ACKNOWLEDGED, THE PARTIES AGREE AS FOLLOWS:</w:t>
      </w:r>
    </w:p>
    <w:p>
      <w:pPr>
        <w:keepNext/>
        <w:spacing w:before="280" w:after="80"/>
        <w:pBdr>
          <w:bottom w:val="single" w:sz="10" w:space="2" w:color="B8860B"/>
        </w:pBdr>
      </w:pPr>
      <w:r>
        <w:rPr>
          <w:rFonts w:ascii="Georgia" w:hAnsi="Georgia"/>
          <w:b/>
          <w:color w:val="1A1C22"/>
          <w:sz w:val="22"/>
        </w:rPr>
        <w:t>TERMS, COVENANTS &amp; LEGAL CLAUSES</w:t>
      </w:r>
    </w:p>
    <w:p>
      <w:pPr>
        <w:keepNext/>
        <w:spacing w:before="220" w:after="40"/>
      </w:pPr>
      <w:r>
        <w:rPr>
          <w:rFonts w:ascii="Arial" w:hAnsi="Arial"/>
          <w:b/>
          <w:color w:val="B8860B"/>
          <w:sz w:val="19"/>
        </w:rPr>
        <w:t xml:space="preserve">CLAUSE 1. </w:t>
      </w:r>
      <w:r>
        <w:rPr>
          <w:rFonts w:ascii="Georgia" w:hAnsi="Georgia"/>
          <w:b/>
          <w:color w:val="1A1C22"/>
          <w:sz w:val="19"/>
        </w:rPr>
        <w:t>DEFINITIONS &amp; INTERPRETATION</w:t>
      </w:r>
    </w:p>
    <w:p>
      <w:pPr>
        <w:spacing w:before="0" w:after="80" w:line="276" w:lineRule="auto"/>
        <w:jc w:val="both"/>
      </w:pPr>
      <w:r>
        <w:rPr>
          <w:rFonts w:ascii="Calibri" w:hAnsi="Calibri"/>
          <w:color w:val="282D37"/>
          <w:sz w:val="19"/>
        </w:rPr>
        <w:t>1.1. "Turnkey Works" shall mean the complete architectural planning, procurement, manufacturing, on-site installation, finishing, testing, and handover of interior infrastructure as specified in Schedule II.</w:t>
      </w:r>
    </w:p>
    <w:p>
      <w:pPr>
        <w:spacing w:before="0" w:after="80" w:line="276" w:lineRule="auto"/>
        <w:jc w:val="both"/>
      </w:pPr>
      <w:r>
        <w:rPr>
          <w:rFonts w:ascii="Calibri" w:hAnsi="Calibri"/>
          <w:color w:val="282D37"/>
          <w:sz w:val="19"/>
        </w:rPr>
        <w:t>1.2. "Contract Consideration" shall mean the total agreed financial value payable by the Second Party to the First Party for the due execution of Turnkey Works as specified in Clause 3.</w:t>
      </w:r>
    </w:p>
    <w:p>
      <w:pPr>
        <w:spacing w:before="0" w:after="80" w:line="276" w:lineRule="auto"/>
        <w:jc w:val="both"/>
      </w:pPr>
      <w:r>
        <w:rPr>
          <w:rFonts w:ascii="Calibri" w:hAnsi="Calibri"/>
          <w:color w:val="282D37"/>
          <w:sz w:val="19"/>
        </w:rPr>
        <w:t>1.3. "Defect Liability Period (DLP)" shall mean the period of 12 (twelve) calendar months commencing from the date of issuance of the Handover Certificate during which the Contractor shall rectify operational defects free of cost.</w:t>
      </w:r>
    </w:p>
    <w:p>
      <w:pPr>
        <w:keepNext/>
        <w:spacing w:before="220" w:after="40"/>
      </w:pPr>
      <w:r>
        <w:rPr>
          <w:rFonts w:ascii="Arial" w:hAnsi="Arial"/>
          <w:b/>
          <w:color w:val="B8860B"/>
          <w:sz w:val="19"/>
        </w:rPr>
        <w:t xml:space="preserve">CLAUSE 2. </w:t>
      </w:r>
      <w:r>
        <w:rPr>
          <w:rFonts w:ascii="Georgia" w:hAnsi="Georgia"/>
          <w:b/>
          <w:color w:val="1A1C22"/>
          <w:sz w:val="19"/>
        </w:rPr>
        <w:t>SCOPE OF WORK &amp; ARCHITECTURAL OBLIGATIONS</w:t>
      </w:r>
    </w:p>
    <w:p>
      <w:pPr>
        <w:spacing w:before="0" w:after="80" w:line="276" w:lineRule="auto"/>
        <w:jc w:val="both"/>
      </w:pPr>
      <w:r>
        <w:rPr>
          <w:rFonts w:ascii="Calibri" w:hAnsi="Calibri"/>
          <w:color w:val="282D37"/>
          <w:sz w:val="19"/>
        </w:rPr>
        <w:t>2.1. The First Party shall execute the Turnkey Works strictly in accordance with approved architectural drawings, 3D renderings, and the Bill of Quantities (BOQ) set forth in Schedule II and Schedule III.</w:t>
      </w:r>
    </w:p>
    <w:p>
      <w:pPr>
        <w:spacing w:before="0" w:after="80" w:line="276" w:lineRule="auto"/>
        <w:jc w:val="both"/>
      </w:pPr>
      <w:r>
        <w:rPr>
          <w:rFonts w:ascii="Calibri" w:hAnsi="Calibri"/>
          <w:color w:val="282D37"/>
          <w:sz w:val="19"/>
        </w:rPr>
        <w:t>2.2. The turnkey scope encompasses: (a) 2D Furniture Layout Plans &amp; 3D Visualizations; (b) Custom Modular Woodwork (Kitchens, Wardrobes, TV Units, Vanity Storage); (c) False Ceiling &amp; Concealed Lighting; (d) Electrical Rewiring &amp; Plumbing; (e) Wall Paneling, Marble/Tiling, and Premium Emulsion Painting; and (f) Post-installation Deep Cleaning &amp; Joint Handover Inspection.</w:t>
      </w:r>
    </w:p>
    <w:p>
      <w:pPr>
        <w:keepNext/>
        <w:spacing w:before="220" w:after="40"/>
      </w:pPr>
      <w:r>
        <w:rPr>
          <w:rFonts w:ascii="Arial" w:hAnsi="Arial"/>
          <w:b/>
          <w:color w:val="B8860B"/>
          <w:sz w:val="19"/>
        </w:rPr>
        <w:t xml:space="preserve">CLAUSE 3. </w:t>
      </w:r>
      <w:r>
        <w:rPr>
          <w:rFonts w:ascii="Georgia" w:hAnsi="Georgia"/>
          <w:b/>
          <w:color w:val="1A1C22"/>
          <w:sz w:val="19"/>
        </w:rPr>
        <w:t>CONTRACT PRICE, GST &amp; FINANCIAL CONSIDERATION</w:t>
      </w:r>
    </w:p>
    <w:p>
      <w:pPr>
        <w:spacing w:before="0" w:after="80" w:line="276" w:lineRule="auto"/>
        <w:jc w:val="both"/>
      </w:pPr>
      <w:r>
        <w:rPr>
          <w:rFonts w:ascii="Calibri" w:hAnsi="Calibri"/>
          <w:color w:val="282D37"/>
          <w:sz w:val="19"/>
        </w:rPr>
        <w:t>3.1. The total agreed Turnkey Contract Consideration for the complete execution of approved Scope/BOQ is fixed at ₹ ___________________ (Rupees ___________________________________________________________________________________ only) ("Contract Price").</w:t>
      </w:r>
    </w:p>
    <w:p>
      <w:pPr>
        <w:spacing w:before="0" w:after="80" w:line="276" w:lineRule="auto"/>
        <w:jc w:val="both"/>
      </w:pPr>
      <w:r>
        <w:rPr>
          <w:rFonts w:ascii="Calibri" w:hAnsi="Calibri"/>
          <w:color w:val="282D37"/>
          <w:sz w:val="19"/>
        </w:rPr>
        <w:t>3.2. Goods &amp; Services Tax (GST) shall be charged extra at the prevailing statutory rate (currently 18%) under GSTIN: 29AABCD8826K1Z1. All tax invoices issued by the First Party shall be compliant with the Central Goods and Services Tax Act, 2017.</w:t>
      </w:r>
    </w:p>
    <w:p>
      <w:pPr>
        <w:keepNext/>
        <w:spacing w:before="220" w:after="40"/>
      </w:pPr>
      <w:r>
        <w:rPr>
          <w:rFonts w:ascii="Arial" w:hAnsi="Arial"/>
          <w:b/>
          <w:color w:val="B8860B"/>
          <w:sz w:val="19"/>
        </w:rPr>
        <w:t xml:space="preserve">CLAUSE 4. </w:t>
      </w:r>
      <w:r>
        <w:rPr>
          <w:rFonts w:ascii="Georgia" w:hAnsi="Georgia"/>
          <w:b/>
          <w:color w:val="1A1C22"/>
          <w:sz w:val="19"/>
        </w:rPr>
        <w:t>MILESTONE PAYMENT SCHEDULE &amp; REALIZATION TERMS</w:t>
      </w:r>
    </w:p>
    <w:p>
      <w:pPr>
        <w:spacing w:before="0" w:after="80" w:line="276" w:lineRule="auto"/>
        <w:jc w:val="both"/>
      </w:pPr>
      <w:r>
        <w:rPr>
          <w:rFonts w:ascii="Calibri" w:hAnsi="Calibri"/>
          <w:color w:val="282D37"/>
          <w:sz w:val="19"/>
        </w:rPr>
        <w:t>4.1. The Second Party covenants to pay the Contract Price in strict accordance with the 4-Stage Milestone Schedule below, upon verification of physical completion of each designated stage:</w:t>
      </w:r>
    </w:p>
    <w:tbl>
      <w:tblPr>
        <w:tblW w:type="auto" w:w="0"/>
        <w:jc w:val="center"/>
        <w:tblLook w:firstColumn="1" w:firstRow="1" w:lastColumn="0" w:lastRow="0" w:noHBand="0" w:noVBand="1" w:val="04A0"/>
        <w:tblBorders>
          <w:top w:val="single" w:sz="8" w:space="0" w:color="D4AF37"/>
          <w:left w:val="single" w:sz="4" w:space="0" w:color="CCCCCC"/>
          <w:bottom w:val="single" w:sz="8" w:space="0" w:color="D4AF37"/>
          <w:right w:val="single" w:sz="4" w:space="0" w:color="CCCCCC"/>
          <w:insideH w:val="single" w:sz="4" w:space="0" w:color="E5E5E5"/>
          <w:insideV w:val="single" w:sz="4" w:space="0" w:color="E5E5E5"/>
        </w:tblBorders>
      </w:tblPr>
      <w:tblGrid>
        <w:gridCol w:w="1656"/>
        <w:gridCol w:w="1368"/>
        <w:gridCol w:w="5184"/>
        <w:gridCol w:w="1829"/>
      </w:tblGrid>
      <w:tr>
        <w:tc>
          <w:tcPr>
            <w:tcW w:type="dxa" w:w="2509"/>
            <w:shd w:fill="1A1C22"/>
            <w:vAlign w:val="center"/>
          </w:tcPr>
          <w:p>
            <w:pPr>
              <w:spacing w:before="60" w:after="60"/>
              <w:jc w:val="center"/>
            </w:pPr>
            <w:r>
              <w:rPr>
                <w:rFonts w:ascii="Arial" w:hAnsi="Arial"/>
                <w:b/>
                <w:color w:val="D4AF37"/>
                <w:sz w:val="16"/>
              </w:rPr>
              <w:t>Milestone Stage</w:t>
            </w:r>
          </w:p>
        </w:tc>
        <w:tc>
          <w:tcPr>
            <w:tcW w:type="dxa" w:w="2509"/>
            <w:shd w:fill="1A1C22"/>
            <w:vAlign w:val="center"/>
          </w:tcPr>
          <w:p>
            <w:pPr>
              <w:spacing w:before="60" w:after="60"/>
              <w:jc w:val="center"/>
            </w:pPr>
            <w:r>
              <w:rPr>
                <w:rFonts w:ascii="Arial" w:hAnsi="Arial"/>
                <w:b/>
                <w:color w:val="D4AF37"/>
                <w:sz w:val="16"/>
              </w:rPr>
              <w:t>% Share</w:t>
            </w:r>
          </w:p>
        </w:tc>
        <w:tc>
          <w:tcPr>
            <w:tcW w:type="dxa" w:w="2509"/>
            <w:shd w:fill="1A1C22"/>
            <w:vAlign w:val="center"/>
          </w:tcPr>
          <w:p>
            <w:pPr>
              <w:spacing w:before="60" w:after="60"/>
              <w:jc w:val="center"/>
            </w:pPr>
            <w:r>
              <w:rPr>
                <w:rFonts w:ascii="Arial" w:hAnsi="Arial"/>
                <w:b/>
                <w:color w:val="D4AF37"/>
                <w:sz w:val="16"/>
              </w:rPr>
              <w:t>Milestone Trigger &amp; Physical Deliverable</w:t>
            </w:r>
          </w:p>
        </w:tc>
        <w:tc>
          <w:tcPr>
            <w:tcW w:type="dxa" w:w="2509"/>
            <w:shd w:fill="1A1C22"/>
            <w:vAlign w:val="center"/>
          </w:tcPr>
          <w:p>
            <w:pPr>
              <w:spacing w:before="60" w:after="60"/>
              <w:jc w:val="center"/>
            </w:pPr>
            <w:r>
              <w:rPr>
                <w:rFonts w:ascii="Arial" w:hAnsi="Arial"/>
                <w:b/>
                <w:color w:val="D4AF37"/>
                <w:sz w:val="16"/>
              </w:rPr>
              <w:t>Amount (₹) + GST</w:t>
            </w:r>
          </w:p>
        </w:tc>
      </w:tr>
      <w:tr>
        <w:tc>
          <w:tcPr>
            <w:tcW w:type="dxa" w:w="2509"/>
            <w:shd w:fill="F9F9F9"/>
            <w:vAlign w:val="center"/>
          </w:tcPr>
          <w:p>
            <w:pPr>
              <w:spacing w:before="60" w:after="60"/>
              <w:jc w:val="center"/>
            </w:pPr>
            <w:r>
              <w:rPr>
                <w:rFonts w:ascii="Calibri" w:hAnsi="Calibri"/>
                <w:b/>
                <w:sz w:val="17"/>
              </w:rPr>
              <w:t>Milestone 1 (Token)</w:t>
            </w:r>
          </w:p>
        </w:tc>
        <w:tc>
          <w:tcPr>
            <w:tcW w:type="dxa" w:w="2509"/>
            <w:shd w:fill="F9F9F9"/>
            <w:vAlign w:val="center"/>
          </w:tcPr>
          <w:p>
            <w:pPr>
              <w:spacing w:before="60" w:after="60"/>
              <w:jc w:val="center"/>
            </w:pPr>
            <w:r>
              <w:rPr>
                <w:rFonts w:ascii="Calibri" w:hAnsi="Calibri"/>
                <w:sz w:val="17"/>
              </w:rPr>
              <w:t>10%</w:t>
            </w:r>
          </w:p>
        </w:tc>
        <w:tc>
          <w:tcPr>
            <w:tcW w:type="dxa" w:w="2509"/>
            <w:shd w:fill="F9F9F9"/>
            <w:vAlign w:val="center"/>
          </w:tcPr>
          <w:p>
            <w:pPr>
              <w:spacing w:before="60" w:after="60"/>
            </w:pPr>
            <w:r>
              <w:rPr>
                <w:rFonts w:ascii="Calibri" w:hAnsi="Calibri"/>
                <w:sz w:val="17"/>
              </w:rPr>
              <w:t>Design Approval, 3D Renders, Detailed CAD Layouts, Site Measurement &amp; Material Matrix sign-off</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2 (Civil &amp; Core)</w:t>
            </w:r>
          </w:p>
        </w:tc>
        <w:tc>
          <w:tcPr>
            <w:tcW w:type="dxa" w:w="2509"/>
            <w:shd w:fill="FFFFFF"/>
            <w:vAlign w:val="center"/>
          </w:tcPr>
          <w:p>
            <w:pPr>
              <w:spacing w:before="60" w:after="60"/>
              <w:jc w:val="center"/>
            </w:pPr>
            <w:r>
              <w:rPr>
                <w:rFonts w:ascii="Calibri" w:hAnsi="Calibri"/>
                <w:sz w:val="17"/>
              </w:rPr>
              <w:t>40%</w:t>
            </w:r>
          </w:p>
        </w:tc>
        <w:tc>
          <w:tcPr>
            <w:tcW w:type="dxa" w:w="2509"/>
            <w:shd w:fill="FFFFFF"/>
            <w:vAlign w:val="center"/>
          </w:tcPr>
          <w:p>
            <w:pPr>
              <w:spacing w:before="60" w:after="60"/>
            </w:pPr>
            <w:r>
              <w:rPr>
                <w:rFonts w:ascii="Calibri" w:hAnsi="Calibri"/>
                <w:sz w:val="17"/>
              </w:rPr>
              <w:t>Core Procurement (IS:710 Marine Ply/Veneer), Civil alterations, Concealed Electrical &amp; Plumbing start</w:t>
            </w:r>
          </w:p>
        </w:tc>
        <w:tc>
          <w:tcPr>
            <w:tcW w:type="dxa" w:w="2509"/>
            <w:shd w:fill="FFFFFF"/>
            <w:vAlign w:val="center"/>
          </w:tcPr>
          <w:p>
            <w:pPr>
              <w:spacing w:before="60" w:after="60"/>
              <w:jc w:val="center"/>
            </w:pPr>
            <w:r>
              <w:rPr>
                <w:rFonts w:ascii="Calibri" w:hAnsi="Calibri"/>
                <w:sz w:val="17"/>
              </w:rPr>
              <w:t>₹ _____________</w:t>
            </w:r>
          </w:p>
        </w:tc>
      </w:tr>
      <w:tr>
        <w:tc>
          <w:tcPr>
            <w:tcW w:type="dxa" w:w="2509"/>
            <w:shd w:fill="F9F9F9"/>
            <w:vAlign w:val="center"/>
          </w:tcPr>
          <w:p>
            <w:pPr>
              <w:spacing w:before="60" w:after="60"/>
              <w:jc w:val="center"/>
            </w:pPr>
            <w:r>
              <w:rPr>
                <w:rFonts w:ascii="Calibri" w:hAnsi="Calibri"/>
                <w:b/>
                <w:sz w:val="17"/>
              </w:rPr>
              <w:t>Milestone 3 (Fitout &amp; Assembly)</w:t>
            </w:r>
          </w:p>
        </w:tc>
        <w:tc>
          <w:tcPr>
            <w:tcW w:type="dxa" w:w="2509"/>
            <w:shd w:fill="F9F9F9"/>
            <w:vAlign w:val="center"/>
          </w:tcPr>
          <w:p>
            <w:pPr>
              <w:spacing w:before="60" w:after="60"/>
              <w:jc w:val="center"/>
            </w:pPr>
            <w:r>
              <w:rPr>
                <w:rFonts w:ascii="Calibri" w:hAnsi="Calibri"/>
                <w:sz w:val="17"/>
              </w:rPr>
              <w:t>40%</w:t>
            </w:r>
          </w:p>
        </w:tc>
        <w:tc>
          <w:tcPr>
            <w:tcW w:type="dxa" w:w="2509"/>
            <w:shd w:fill="F9F9F9"/>
            <w:vAlign w:val="center"/>
          </w:tcPr>
          <w:p>
            <w:pPr>
              <w:spacing w:before="60" w:after="60"/>
            </w:pPr>
            <w:r>
              <w:rPr>
                <w:rFonts w:ascii="Calibri" w:hAnsi="Calibri"/>
                <w:sz w:val="17"/>
              </w:rPr>
              <w:t>Delivery of Factory Modular Carcasses at Site, On-site Carpentry Fitout, False Ceiling, Wall Paneling &amp; Base Paint</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4 (Handover)</w:t>
            </w:r>
          </w:p>
        </w:tc>
        <w:tc>
          <w:tcPr>
            <w:tcW w:type="dxa" w:w="2509"/>
            <w:shd w:fill="FFFFFF"/>
            <w:vAlign w:val="center"/>
          </w:tcPr>
          <w:p>
            <w:pPr>
              <w:spacing w:before="60" w:after="60"/>
              <w:jc w:val="center"/>
            </w:pPr>
            <w:r>
              <w:rPr>
                <w:rFonts w:ascii="Calibri" w:hAnsi="Calibri"/>
                <w:sz w:val="17"/>
              </w:rPr>
              <w:t>10%</w:t>
            </w:r>
          </w:p>
        </w:tc>
        <w:tc>
          <w:tcPr>
            <w:tcW w:type="dxa" w:w="2509"/>
            <w:shd w:fill="FFFFFF"/>
            <w:vAlign w:val="center"/>
          </w:tcPr>
          <w:p>
            <w:pPr>
              <w:spacing w:before="60" w:after="60"/>
            </w:pPr>
            <w:r>
              <w:rPr>
                <w:rFonts w:ascii="Calibri" w:hAnsi="Calibri"/>
                <w:sz w:val="17"/>
              </w:rPr>
              <w:t>Final Paint Coating, Hardware/Fixture Fitments, Deep Cleaning, Joint Snag Clearance &amp; Formal Key Handover</w:t>
            </w:r>
          </w:p>
        </w:tc>
        <w:tc>
          <w:tcPr>
            <w:tcW w:type="dxa" w:w="2509"/>
            <w:shd w:fill="FFFFFF"/>
            <w:vAlign w:val="center"/>
          </w:tcPr>
          <w:p>
            <w:pPr>
              <w:spacing w:before="60" w:after="60"/>
              <w:jc w:val="center"/>
            </w:pPr>
            <w:r>
              <w:rPr>
                <w:rFonts w:ascii="Calibri" w:hAnsi="Calibri"/>
                <w:sz w:val="17"/>
              </w:rPr>
              <w:t>₹ _____________</w:t>
            </w:r>
          </w:p>
        </w:tc>
      </w:tr>
    </w:tbl>
    <w:p>
      <w:pPr>
        <w:spacing w:before="0" w:after="80" w:line="276" w:lineRule="auto"/>
        <w:jc w:val="both"/>
      </w:pPr>
      <w:r>
        <w:rPr>
          <w:rFonts w:ascii="Calibri" w:hAnsi="Calibri"/>
          <w:color w:val="282D37"/>
          <w:sz w:val="19"/>
        </w:rPr>
        <w:t>4.2. In the event of delay in milestone payment exceeding 7 (seven) days from invoice date, the First Party reserves the right to suspend site work, and interest at the rate of 12% per annum shall be chargeable on the outstanding sum under Section 73 of the Indian Contract Act.</w:t>
      </w:r>
    </w:p>
    <w:p>
      <w:pPr>
        <w:keepNext/>
        <w:spacing w:before="220" w:after="40"/>
      </w:pPr>
      <w:r>
        <w:rPr>
          <w:rFonts w:ascii="Arial" w:hAnsi="Arial"/>
          <w:b/>
          <w:color w:val="B8860B"/>
          <w:sz w:val="19"/>
        </w:rPr>
        <w:t xml:space="preserve">CLAUSE 5. </w:t>
      </w:r>
      <w:r>
        <w:rPr>
          <w:rFonts w:ascii="Georgia" w:hAnsi="Georgia"/>
          <w:b/>
          <w:color w:val="1A1C22"/>
          <w:sz w:val="19"/>
        </w:rPr>
        <w:t>PROJECT TIMELINE, WORK COMMENCEMENT &amp; COMPLETION</w:t>
      </w:r>
    </w:p>
    <w:p>
      <w:pPr>
        <w:spacing w:before="0" w:after="80" w:line="276" w:lineRule="auto"/>
        <w:jc w:val="both"/>
      </w:pPr>
      <w:r>
        <w:rPr>
          <w:rFonts w:ascii="Calibri" w:hAnsi="Calibri"/>
          <w:color w:val="282D37"/>
          <w:sz w:val="19"/>
        </w:rPr>
        <w:t>5.1. The agreed Turnkey Execution Timeline shall be ______________ (________________________) calendar working days, commencing from the date of realization of Milestone 2 payment and unhindered handover of physical site possession with necessary utility access.</w:t>
      </w:r>
    </w:p>
    <w:p>
      <w:pPr>
        <w:spacing w:before="0" w:after="80" w:line="276" w:lineRule="auto"/>
        <w:jc w:val="both"/>
      </w:pPr>
      <w:r>
        <w:rPr>
          <w:rFonts w:ascii="Calibri" w:hAnsi="Calibri"/>
          <w:color w:val="282D37"/>
          <w:sz w:val="19"/>
        </w:rPr>
        <w:t>5.2. Time shall be the essence of the contract subject to timely milestone clearances and material approvals by the Second Party.</w:t>
      </w:r>
    </w:p>
    <w:p>
      <w:pPr>
        <w:keepNext/>
        <w:spacing w:before="220" w:after="40"/>
      </w:pPr>
      <w:r>
        <w:rPr>
          <w:rFonts w:ascii="Arial" w:hAnsi="Arial"/>
          <w:b/>
          <w:color w:val="B8860B"/>
          <w:sz w:val="19"/>
        </w:rPr>
        <w:t xml:space="preserve">CLAUSE 6. </w:t>
      </w:r>
      <w:r>
        <w:rPr>
          <w:rFonts w:ascii="Georgia" w:hAnsi="Georgia"/>
          <w:b/>
          <w:color w:val="1A1C22"/>
          <w:sz w:val="19"/>
        </w:rPr>
        <w:t>MATERIAL SPECIFICATIONS &amp; BRAND QUALITY STANDARDS</w:t>
      </w:r>
    </w:p>
    <w:p>
      <w:pPr>
        <w:spacing w:before="0" w:after="80" w:line="276" w:lineRule="auto"/>
        <w:jc w:val="both"/>
      </w:pPr>
      <w:r>
        <w:rPr>
          <w:rFonts w:ascii="Calibri" w:hAnsi="Calibri"/>
          <w:color w:val="282D37"/>
          <w:sz w:val="19"/>
        </w:rPr>
        <w:t>6.1. All modular cabinetry carcasses and structural woodwork shall strictly conform to IS:710 Boiling Water Proof (BWP) Marine Grade or IS:303 Moisture Resistant (MR) Plywood specifications as detailed in Schedule III.</w:t>
      </w:r>
    </w:p>
    <w:p>
      <w:pPr>
        <w:spacing w:before="0" w:after="80" w:line="276" w:lineRule="auto"/>
        <w:jc w:val="both"/>
      </w:pPr>
      <w:r>
        <w:rPr>
          <w:rFonts w:ascii="Calibri" w:hAnsi="Calibri"/>
          <w:color w:val="282D37"/>
          <w:sz w:val="19"/>
        </w:rPr>
        <w:t>6.2. All hardware fittings, hinges, and drawer telescopic channels shall be original branded components (Hettich / Hafele / Ozone / Blum). Surface finishes shall utilize 1.0mm high-pressure laminates (Merino / Century / Greenlam) or certified natural wood veneers.</w:t>
      </w:r>
    </w:p>
    <w:p>
      <w:pPr>
        <w:keepNext/>
        <w:spacing w:before="220" w:after="40"/>
      </w:pPr>
      <w:r>
        <w:rPr>
          <w:rFonts w:ascii="Arial" w:hAnsi="Arial"/>
          <w:b/>
          <w:color w:val="B8860B"/>
          <w:sz w:val="19"/>
        </w:rPr>
        <w:t xml:space="preserve">CLAUSE 7. </w:t>
      </w:r>
      <w:r>
        <w:rPr>
          <w:rFonts w:ascii="Georgia" w:hAnsi="Georgia"/>
          <w:b/>
          <w:color w:val="1A1C22"/>
          <w:sz w:val="19"/>
        </w:rPr>
        <w:t>VARIATIONS, ADDITIONS &amp; ALTERATIONS (VARIATION ORDER PROTOCOL)</w:t>
      </w:r>
    </w:p>
    <w:p>
      <w:pPr>
        <w:spacing w:before="0" w:after="80" w:line="276" w:lineRule="auto"/>
        <w:jc w:val="both"/>
      </w:pPr>
      <w:r>
        <w:rPr>
          <w:rFonts w:ascii="Calibri" w:hAnsi="Calibri"/>
          <w:color w:val="282D37"/>
          <w:sz w:val="19"/>
        </w:rPr>
        <w:t>7.1. No deviation, addition, or alteration to the approved drawings or BOQ shall be binding unless executed in writing via a mutual Variation Order (VO) specifying the cost differential and timeline extension.</w:t>
      </w:r>
    </w:p>
    <w:p>
      <w:pPr>
        <w:keepNext/>
        <w:spacing w:before="220" w:after="40"/>
      </w:pPr>
      <w:r>
        <w:rPr>
          <w:rFonts w:ascii="Arial" w:hAnsi="Arial"/>
          <w:b/>
          <w:color w:val="B8860B"/>
          <w:sz w:val="19"/>
        </w:rPr>
        <w:t xml:space="preserve">CLAUSE 8. </w:t>
      </w:r>
      <w:r>
        <w:rPr>
          <w:rFonts w:ascii="Georgia" w:hAnsi="Georgia"/>
          <w:b/>
          <w:color w:val="1A1C22"/>
          <w:sz w:val="19"/>
        </w:rPr>
        <w:t>CLIENT OBLIGATIONS, SITE UTILITIES &amp; STATUTORY PERMISSIONS</w:t>
      </w:r>
    </w:p>
    <w:p>
      <w:pPr>
        <w:spacing w:before="0" w:after="80" w:line="276" w:lineRule="auto"/>
        <w:jc w:val="both"/>
      </w:pPr>
      <w:r>
        <w:rPr>
          <w:rFonts w:ascii="Calibri" w:hAnsi="Calibri"/>
          <w:color w:val="282D37"/>
          <w:sz w:val="19"/>
        </w:rPr>
        <w:t>8.1. The Second Party shall provide continuous, uninterrupted 3-phase electrical supply and potable water at the Project Site at their cost.</w:t>
      </w:r>
    </w:p>
    <w:p>
      <w:pPr>
        <w:spacing w:before="0" w:after="80" w:line="276" w:lineRule="auto"/>
        <w:jc w:val="both"/>
      </w:pPr>
      <w:r>
        <w:rPr>
          <w:rFonts w:ascii="Calibri" w:hAnsi="Calibri"/>
          <w:color w:val="282D37"/>
          <w:sz w:val="19"/>
        </w:rPr>
        <w:t>8.2. The Second Party shall secure all necessary Resident Welfare Association (RWA) permissions, society gate passes, and municipal NOCs.</w:t>
      </w:r>
    </w:p>
    <w:p>
      <w:pPr>
        <w:keepNext/>
        <w:spacing w:before="220" w:after="40"/>
      </w:pPr>
      <w:r>
        <w:rPr>
          <w:rFonts w:ascii="Arial" w:hAnsi="Arial"/>
          <w:b/>
          <w:color w:val="B8860B"/>
          <w:sz w:val="19"/>
        </w:rPr>
        <w:t xml:space="preserve">CLAUSE 9. </w:t>
      </w:r>
      <w:r>
        <w:rPr>
          <w:rFonts w:ascii="Georgia" w:hAnsi="Georgia"/>
          <w:b/>
          <w:color w:val="1A1C22"/>
          <w:sz w:val="19"/>
        </w:rPr>
        <w:t>LABOR LAWS, SITE SAFETY &amp; WORKMEN COMPLIANCE</w:t>
      </w:r>
    </w:p>
    <w:p>
      <w:pPr>
        <w:spacing w:before="0" w:after="80" w:line="276" w:lineRule="auto"/>
        <w:jc w:val="both"/>
      </w:pPr>
      <w:r>
        <w:rPr>
          <w:rFonts w:ascii="Calibri" w:hAnsi="Calibri"/>
          <w:color w:val="282D37"/>
          <w:sz w:val="19"/>
        </w:rPr>
        <w:t>9.1. The First Party shall be solely responsible for the supervision, safety, and statutory compliance of its deployed workmen and subcontractors in accordance with the Workmen's Compensation Act, 1923, and applicable labor regulations.</w:t>
      </w:r>
    </w:p>
    <w:p>
      <w:pPr>
        <w:keepNext/>
        <w:spacing w:before="220" w:after="40"/>
      </w:pPr>
      <w:r>
        <w:rPr>
          <w:rFonts w:ascii="Arial" w:hAnsi="Arial"/>
          <w:b/>
          <w:color w:val="B8860B"/>
          <w:sz w:val="19"/>
        </w:rPr>
        <w:t xml:space="preserve">CLAUSE 10. </w:t>
      </w:r>
      <w:r>
        <w:rPr>
          <w:rFonts w:ascii="Georgia" w:hAnsi="Georgia"/>
          <w:b/>
          <w:color w:val="1A1C22"/>
          <w:sz w:val="19"/>
        </w:rPr>
        <w:t>10-YEAR STRUCTURAL MODULAR WARRANTY &amp; DEFECT LIABILITY</w:t>
      </w:r>
    </w:p>
    <w:p>
      <w:pPr>
        <w:spacing w:before="0" w:after="80" w:line="276" w:lineRule="auto"/>
        <w:jc w:val="both"/>
      </w:pPr>
      <w:r>
        <w:rPr>
          <w:rFonts w:ascii="Calibri" w:hAnsi="Calibri"/>
          <w:color w:val="282D37"/>
          <w:sz w:val="19"/>
        </w:rPr>
        <w:t>10.1. Decor8 India provides a 10-Year Structural Modular Warranty on factory-manufactured modular woodwork against delamination, borer/termite infestation, and manufacturing defects under normal residential usage.</w:t>
      </w:r>
    </w:p>
    <w:p>
      <w:pPr>
        <w:spacing w:before="0" w:after="80" w:line="276" w:lineRule="auto"/>
        <w:jc w:val="both"/>
      </w:pPr>
      <w:r>
        <w:rPr>
          <w:rFonts w:ascii="Calibri" w:hAnsi="Calibri"/>
          <w:color w:val="282D37"/>
          <w:sz w:val="19"/>
        </w:rPr>
        <w:t>10.2. During the 12-month Defect Liability Period (DLP), the First Party shall provide complimentary service and repair for movable hardware, hinges, and channels within 7 (seven) working days of written notification.</w:t>
      </w:r>
    </w:p>
    <w:p>
      <w:pPr>
        <w:keepNext/>
        <w:spacing w:before="220" w:after="40"/>
      </w:pPr>
      <w:r>
        <w:rPr>
          <w:rFonts w:ascii="Arial" w:hAnsi="Arial"/>
          <w:b/>
          <w:color w:val="B8860B"/>
          <w:sz w:val="19"/>
        </w:rPr>
        <w:t xml:space="preserve">CLAUSE 11. </w:t>
      </w:r>
      <w:r>
        <w:rPr>
          <w:rFonts w:ascii="Georgia" w:hAnsi="Georgia"/>
          <w:b/>
          <w:color w:val="1A1C22"/>
          <w:sz w:val="19"/>
        </w:rPr>
        <w:t>LIQUIDATED DAMAGES &amp; GENUINE PRE-ESTIMATE OF DELAY</w:t>
      </w:r>
    </w:p>
    <w:p>
      <w:pPr>
        <w:spacing w:before="0" w:after="80" w:line="276" w:lineRule="auto"/>
        <w:jc w:val="both"/>
      </w:pPr>
      <w:r>
        <w:rPr>
          <w:rFonts w:ascii="Calibri" w:hAnsi="Calibri"/>
          <w:color w:val="282D37"/>
          <w:sz w:val="19"/>
        </w:rPr>
        <w:t>11.1. If the Contractor fails to complete the Turnkey Works within the agreed timeline (including justified extensions), the Contractor shall pay liquidated damages of 0.5% of the delayed contract value per week of delay, capped at a maximum of 5% under Section 74 of the Indian Contract Act.</w:t>
      </w:r>
    </w:p>
    <w:p>
      <w:pPr>
        <w:keepNext/>
        <w:spacing w:before="220" w:after="40"/>
      </w:pPr>
      <w:r>
        <w:rPr>
          <w:rFonts w:ascii="Arial" w:hAnsi="Arial"/>
          <w:b/>
          <w:color w:val="B8860B"/>
          <w:sz w:val="19"/>
        </w:rPr>
        <w:t xml:space="preserve">CLAUSE 12. </w:t>
      </w:r>
      <w:r>
        <w:rPr>
          <w:rFonts w:ascii="Georgia" w:hAnsi="Georgia"/>
          <w:b/>
          <w:color w:val="1A1C22"/>
          <w:sz w:val="19"/>
        </w:rPr>
        <w:t>FORCE MAJEURE (SECTION 56, INDIAN CONTRACT ACT)</w:t>
      </w:r>
    </w:p>
    <w:p>
      <w:pPr>
        <w:spacing w:before="0" w:after="80" w:line="276" w:lineRule="auto"/>
        <w:jc w:val="both"/>
      </w:pPr>
      <w:r>
        <w:rPr>
          <w:rFonts w:ascii="Calibri" w:hAnsi="Calibri"/>
          <w:color w:val="282D37"/>
          <w:sz w:val="19"/>
        </w:rPr>
        <w:t>12.1. Neither Party shall be held liable for failure or delay in performance caused by Force Majeure events, including acts of God, floods, earthquakes, regional lockouts, government restrictions, pandemic measures, or civil unrest.</w:t>
      </w:r>
    </w:p>
    <w:p>
      <w:pPr>
        <w:keepNext/>
        <w:spacing w:before="220" w:after="40"/>
      </w:pPr>
      <w:r>
        <w:rPr>
          <w:rFonts w:ascii="Arial" w:hAnsi="Arial"/>
          <w:b/>
          <w:color w:val="B8860B"/>
          <w:sz w:val="19"/>
        </w:rPr>
        <w:t xml:space="preserve">CLAUSE 13. </w:t>
      </w:r>
      <w:r>
        <w:rPr>
          <w:rFonts w:ascii="Georgia" w:hAnsi="Georgia"/>
          <w:b/>
          <w:color w:val="1A1C22"/>
          <w:sz w:val="19"/>
        </w:rPr>
        <w:t>DEFAULT &amp; TERMINATION RIGHTS</w:t>
      </w:r>
    </w:p>
    <w:p>
      <w:pPr>
        <w:spacing w:before="0" w:after="80" w:line="276" w:lineRule="auto"/>
        <w:jc w:val="both"/>
      </w:pPr>
      <w:r>
        <w:rPr>
          <w:rFonts w:ascii="Calibri" w:hAnsi="Calibri"/>
          <w:color w:val="282D37"/>
          <w:sz w:val="19"/>
        </w:rPr>
        <w:t>13.1. Either Party may terminate this Agreement by giving 14 (fourteen) calendar days written notice in the event of a material breach not rectified within the notice window. Upon termination, a joint site audit shall determine the value of work executed and materials procured.</w:t>
      </w:r>
    </w:p>
    <w:p>
      <w:pPr>
        <w:keepNext/>
        <w:spacing w:before="220" w:after="40"/>
      </w:pPr>
      <w:r>
        <w:rPr>
          <w:rFonts w:ascii="Arial" w:hAnsi="Arial"/>
          <w:b/>
          <w:color w:val="B8860B"/>
          <w:sz w:val="19"/>
        </w:rPr>
        <w:t xml:space="preserve">CLAUSE 14. </w:t>
      </w:r>
      <w:r>
        <w:rPr>
          <w:rFonts w:ascii="Georgia" w:hAnsi="Georgia"/>
          <w:b/>
          <w:color w:val="1A1C22"/>
          <w:sz w:val="19"/>
        </w:rPr>
        <w:t>INTELLECTUAL PROPERTY RIGHTS</w:t>
      </w:r>
    </w:p>
    <w:p>
      <w:pPr>
        <w:spacing w:before="0" w:after="80" w:line="276" w:lineRule="auto"/>
        <w:jc w:val="both"/>
      </w:pPr>
      <w:r>
        <w:rPr>
          <w:rFonts w:ascii="Calibri" w:hAnsi="Calibri"/>
          <w:color w:val="282D37"/>
          <w:sz w:val="19"/>
        </w:rPr>
        <w:t>14.1. All architectural concepts, 3D renderings, CAD drawings, and custom modular engineering specifications developed by Decor8 India shall remain the intellectual property of the First Party. The Client is granted a non-exclusive license to use the designs solely for the Project Site.</w:t>
      </w:r>
    </w:p>
    <w:p>
      <w:pPr>
        <w:keepNext/>
        <w:spacing w:before="220" w:after="40"/>
      </w:pPr>
      <w:r>
        <w:rPr>
          <w:rFonts w:ascii="Arial" w:hAnsi="Arial"/>
          <w:b/>
          <w:color w:val="B8860B"/>
          <w:sz w:val="19"/>
        </w:rPr>
        <w:t xml:space="preserve">CLAUSE 15. </w:t>
      </w:r>
      <w:r>
        <w:rPr>
          <w:rFonts w:ascii="Georgia" w:hAnsi="Georgia"/>
          <w:b/>
          <w:color w:val="1A1C22"/>
          <w:sz w:val="19"/>
        </w:rPr>
        <w:t>INDEMNIFICATION &amp; LIMITATION OF LIABILITY</w:t>
      </w:r>
    </w:p>
    <w:p>
      <w:pPr>
        <w:spacing w:before="0" w:after="80" w:line="276" w:lineRule="auto"/>
        <w:jc w:val="both"/>
      </w:pPr>
      <w:r>
        <w:rPr>
          <w:rFonts w:ascii="Calibri" w:hAnsi="Calibri"/>
          <w:color w:val="282D37"/>
          <w:sz w:val="19"/>
        </w:rPr>
        <w:t>15.1. Each Party agrees to indemnify and hold harmless the other Party against direct losses, third-party claims, or statutory penalties arising directly out of wilful misconduct or breach of statutory obligations under this Agreement.</w:t>
      </w:r>
    </w:p>
    <w:p>
      <w:pPr>
        <w:keepNext/>
        <w:spacing w:before="220" w:after="40"/>
      </w:pPr>
      <w:r>
        <w:rPr>
          <w:rFonts w:ascii="Arial" w:hAnsi="Arial"/>
          <w:b/>
          <w:color w:val="B8860B"/>
          <w:sz w:val="19"/>
        </w:rPr>
        <w:t xml:space="preserve">CLAUSE 16. </w:t>
      </w:r>
      <w:r>
        <w:rPr>
          <w:rFonts w:ascii="Georgia" w:hAnsi="Georgia"/>
          <w:b/>
          <w:color w:val="1A1C22"/>
          <w:sz w:val="19"/>
        </w:rPr>
        <w:t>DISPUTE RESOLUTION &amp; ARBITRATION (ACT OF 1996)</w:t>
      </w:r>
    </w:p>
    <w:p>
      <w:pPr>
        <w:spacing w:before="0" w:after="80" w:line="276" w:lineRule="auto"/>
        <w:jc w:val="both"/>
      </w:pPr>
      <w:r>
        <w:rPr>
          <w:rFonts w:ascii="Calibri" w:hAnsi="Calibri"/>
          <w:color w:val="282D37"/>
          <w:sz w:val="19"/>
        </w:rPr>
        <w:t>16.1. In the event of any dispute or difference arising out of or in connection with this Agreement, the Parties shall first endeavor to settle the same amicably through mutual executive consultation within 15 (fifteen) days.</w:t>
      </w:r>
    </w:p>
    <w:p>
      <w:pPr>
        <w:spacing w:before="0" w:after="80" w:line="276" w:lineRule="auto"/>
        <w:jc w:val="both"/>
      </w:pPr>
      <w:r>
        <w:rPr>
          <w:rFonts w:ascii="Calibri" w:hAnsi="Calibri"/>
          <w:color w:val="282D37"/>
          <w:sz w:val="19"/>
        </w:rPr>
        <w:t>16.2. If unresolved, the dispute shall be referred to and finally resolved by a Sole Arbitrator mutually appointed by both Parties in accordance with the Arbitration and Conciliation Act, 1996. The seat and venue of arbitration shall be Sirsi, Uttara Kannada District, Karnataka. The arbitration proceedings shall be conducted in the English language.</w:t>
      </w:r>
    </w:p>
    <w:p>
      <w:pPr>
        <w:keepNext/>
        <w:spacing w:before="220" w:after="40"/>
      </w:pPr>
      <w:r>
        <w:rPr>
          <w:rFonts w:ascii="Arial" w:hAnsi="Arial"/>
          <w:b/>
          <w:color w:val="B8860B"/>
          <w:sz w:val="19"/>
        </w:rPr>
        <w:t xml:space="preserve">CLAUSE 17. </w:t>
      </w:r>
      <w:r>
        <w:rPr>
          <w:rFonts w:ascii="Georgia" w:hAnsi="Georgia"/>
          <w:b/>
          <w:color w:val="1A1C22"/>
          <w:sz w:val="19"/>
        </w:rPr>
        <w:t>GOVERNING LAW &amp; EXCLUSIVE JUDICIAL JURISDICTION</w:t>
      </w:r>
    </w:p>
    <w:p>
      <w:pPr>
        <w:spacing w:before="0" w:after="80" w:line="276" w:lineRule="auto"/>
        <w:jc w:val="both"/>
      </w:pPr>
      <w:r>
        <w:rPr>
          <w:rFonts w:ascii="Calibri" w:hAnsi="Calibri"/>
          <w:color w:val="282D37"/>
          <w:sz w:val="19"/>
        </w:rPr>
        <w:t>17.1. This Agreement shall be construed, interpreted, and governed in all respects in accordance with the substantive and procedural Laws of the Republic of India. Subject to the arbitration clause, the competent Civil Courts situated at Sirsi, Uttara Kannada District, State of Karnataka, India, shall have exclusive jurisdiction over all matters arising hereunder.</w:t>
      </w:r>
    </w:p>
    <w:p>
      <w:pPr>
        <w:keepNext/>
        <w:spacing w:before="220" w:after="40"/>
      </w:pPr>
      <w:r>
        <w:rPr>
          <w:rFonts w:ascii="Arial" w:hAnsi="Arial"/>
          <w:b/>
          <w:color w:val="B8860B"/>
          <w:sz w:val="19"/>
        </w:rPr>
        <w:t xml:space="preserve">CLAUSE 18. </w:t>
      </w:r>
      <w:r>
        <w:rPr>
          <w:rFonts w:ascii="Georgia" w:hAnsi="Georgia"/>
          <w:b/>
          <w:color w:val="1A1C22"/>
          <w:sz w:val="19"/>
        </w:rPr>
        <w:t>ENTIRE AGREEMENT, SEVERABILITY &amp; AMENDMENTS</w:t>
      </w:r>
    </w:p>
    <w:p>
      <w:pPr>
        <w:spacing w:before="0" w:after="80" w:line="276" w:lineRule="auto"/>
        <w:jc w:val="both"/>
      </w:pPr>
      <w:r>
        <w:rPr>
          <w:rFonts w:ascii="Calibri" w:hAnsi="Calibri"/>
          <w:color w:val="282D37"/>
          <w:sz w:val="19"/>
        </w:rPr>
        <w:t>18.1. This Agreement, along with Schedules I, II, III, and IV attached hereto, constitutes the entire understanding between the Parties and supersedes all prior oral or written negotiations, estimates, or representations.</w:t>
      </w:r>
    </w:p>
    <w:p>
      <w:pPr>
        <w:keepNext/>
        <w:spacing w:before="280" w:after="80"/>
        <w:pBdr>
          <w:bottom w:val="single" w:sz="10" w:space="2" w:color="B8860B"/>
        </w:pBdr>
      </w:pPr>
      <w:r>
        <w:rPr>
          <w:rFonts w:ascii="Georgia" w:hAnsi="Georgia"/>
          <w:b/>
          <w:color w:val="1A1C22"/>
          <w:sz w:val="22"/>
        </w:rPr>
        <w:t>TESTIMONIUM &amp; EXECUTION IN WITNESS WHEREOF</w:t>
      </w:r>
    </w:p>
    <w:p>
      <w:pPr>
        <w:spacing w:before="0" w:after="80" w:line="276" w:lineRule="auto"/>
        <w:jc w:val="both"/>
      </w:pPr>
      <w:r>
        <w:rPr>
          <w:rFonts w:ascii="Calibri" w:hAnsi="Calibri"/>
          <w:color w:val="282D37"/>
          <w:sz w:val="19"/>
        </w:rPr>
        <w:t>IN WITNESS WHEREOF, the First Party and the Second Party hereto have set and subscribed their respective hands and seals to this Agreement on the day, month, and year first hereinabove written, in the presence of the following subscribing witnesses: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pPr>
              <w:spacing w:before="120" w:after="0"/>
            </w:pPr>
            <w:r>
              <w:rPr>
                <w:rFonts w:ascii="Arial" w:hAnsi="Arial"/>
                <w:b/>
                <w:color w:val="B8860B"/>
                <w:sz w:val="17"/>
              </w:rPr>
              <w:t>SIGNED, SEALED &amp; DELIVERED BY THE FIRST PARTY:</w:t>
              <w:br/>
            </w:r>
            <w:r>
              <w:rPr>
                <w:rFonts w:ascii="Calibri" w:hAnsi="Calibri"/>
                <w:color w:val="1A1C22"/>
                <w:sz w:val="18"/>
              </w:rPr>
              <w:t>For DECOR8 INDIA INTERIORS PVT. LTD.</w:t>
              <w:br/>
              <w:t>GSTIN: 29AABCD8826K1Z1 | PAN: AABCD8826K</w:t>
              <w:br/>
              <w:br/>
              <w:br/>
              <w:br/>
              <w:t>_____________________________________________________</w:t>
              <w:br/>
              <w:t>MR. SATISH BHAT</w:t>
              <w:br/>
              <w:t>Chief Executive Officer &amp; Principal Architect</w:t>
              <w:br/>
              <w:t>Branch: Sirsi (Uttara Kannada) Studio, Karnataka</w:t>
              <w:br/>
              <w:t>(Authorized Signatory / Official Seal)</w:t>
            </w:r>
          </w:p>
        </w:tc>
        <w:tc>
          <w:tcPr>
            <w:tcW w:type="dxa" w:w="5018"/>
          </w:tcPr>
          <w:p>
            <w:pPr>
              <w:spacing w:before="120" w:after="0"/>
            </w:pPr>
            <w:r>
              <w:rPr>
                <w:rFonts w:ascii="Arial" w:hAnsi="Arial"/>
                <w:b/>
                <w:color w:val="B8860B"/>
                <w:sz w:val="17"/>
              </w:rPr>
              <w:t>SIGNED, SEALED &amp; DELIVERED BY THE SECOND PARTY:</w:t>
              <w:br/>
            </w:r>
            <w:r>
              <w:rPr>
                <w:rFonts w:ascii="Calibri" w:hAnsi="Calibri"/>
                <w:color w:val="1A1C22"/>
                <w:sz w:val="18"/>
              </w:rPr>
              <w:t>Client / Property Owner Signature:</w:t>
              <w:br/>
              <w:br/>
              <w:br/>
              <w:br/>
              <w:br/>
              <w:t>_____________________________________________________</w:t>
              <w:br/>
              <w:t>NAME: ______________________________________________</w:t>
              <w:br/>
              <w:t>Aadhaar No: _________________________________________</w:t>
              <w:br/>
              <w:t>PAN: ________________________________________________</w:t>
              <w:br/>
              <w:t>Contact No: +91 _____________________________________</w:t>
            </w:r>
          </w:p>
        </w:tc>
      </w:tr>
    </w:tbl>
    <w:p>
      <w:pPr>
        <w:keepNext/>
        <w:spacing w:before="320" w:after="80"/>
      </w:pPr>
      <w:r>
        <w:rPr>
          <w:rFonts w:ascii="Arial" w:hAnsi="Arial"/>
          <w:b/>
          <w:color w:val="B8860B"/>
          <w:sz w:val="17"/>
        </w:rPr>
        <w:t>IN THE PRESENCE OF INDEPENDENT WITNESSES: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r>
              <w:rPr>
                <w:rFonts w:ascii="Calibri" w:hAnsi="Calibri"/>
                <w:sz w:val="17"/>
              </w:rPr>
              <w:t>WITNESS 1:</w:t>
              <w:br/>
              <w:t>Signature: __________________________________________</w:t>
              <w:br/>
              <w:t>Full Name: __________________________________________</w:t>
              <w:br/>
              <w:t>S/o / D/o: __________________________________________</w:t>
              <w:br/>
              <w:t>Address: ____________________________________________</w:t>
              <w:br/>
              <w:t>ID / Aadhaar No: ____________________________________</w:t>
            </w:r>
          </w:p>
        </w:tc>
        <w:tc>
          <w:tcPr>
            <w:tcW w:type="dxa" w:w="5018"/>
          </w:tcPr>
          <w:p>
            <w:r>
              <w:rPr>
                <w:rFonts w:ascii="Calibri" w:hAnsi="Calibri"/>
                <w:sz w:val="17"/>
              </w:rPr>
              <w:t>WITNESS 2:</w:t>
              <w:br/>
              <w:t>Signature: __________________________________________</w:t>
              <w:br/>
              <w:t>Full Name: __________________________________________</w:t>
              <w:br/>
              <w:t>S/o / D/o: __________________________________________</w:t>
              <w:br/>
              <w:t>Address: ____________________________________________</w:t>
              <w:br/>
              <w:t>ID / Aadhaar No: ____________________________________</w:t>
            </w:r>
          </w:p>
        </w:tc>
      </w:tr>
    </w:tbl>
    <w:p>
      <w:pPr>
        <w:keepNext/>
        <w:spacing w:before="280" w:after="80"/>
        <w:pBdr>
          <w:bottom w:val="single" w:sz="10" w:space="2" w:color="B8860B"/>
        </w:pBdr>
      </w:pPr>
      <w:r>
        <w:rPr>
          <w:rFonts w:ascii="Georgia" w:hAnsi="Georgia"/>
          <w:b/>
          <w:color w:val="1A1C22"/>
          <w:sz w:val="22"/>
        </w:rPr>
        <w:t>SCHEDULES &amp; TECHNICAL ANNEXURES</w:t>
      </w:r>
    </w:p>
    <w:p>
      <w:pPr>
        <w:spacing w:before="0" w:after="80" w:line="276" w:lineRule="auto"/>
        <w:jc w:val="both"/>
      </w:pPr>
      <w:r>
        <w:rPr>
          <w:rFonts w:ascii="Calibri" w:hAnsi="Calibri"/>
          <w:b/>
          <w:color w:val="1A1C22"/>
          <w:sz w:val="19"/>
        </w:rPr>
        <w:t xml:space="preserve">SCHEDULE I: </w:t>
      </w:r>
      <w:r>
        <w:rPr>
          <w:rFonts w:ascii="Calibri" w:hAnsi="Calibri"/>
          <w:color w:val="282D37"/>
          <w:sz w:val="19"/>
        </w:rPr>
        <w:t>SCHEDULE I: PROJECT SITE PARTICULARS</w:t>
        <w:br/>
        <w:t>• Project Name: ___________________________________________________</w:t>
        <w:br/>
        <w:t>• Site Address: ___________________________________________________</w:t>
        <w:br/>
        <w:t>• Super Built-up Area: ____________ Sq. Ft. | Carpet Area: ____________ Sq. Ft.</w:t>
        <w:br/>
        <w:t>• Configuration: [ ] 2BHK  [ ] 3BHK  [ ] 4BHK / Penthouse  [ ] Villa  [ ] Commercial Office</w:t>
      </w:r>
    </w:p>
    <w:p>
      <w:pPr>
        <w:spacing w:before="0" w:after="80" w:line="276" w:lineRule="auto"/>
        <w:jc w:val="both"/>
      </w:pPr>
      <w:r>
        <w:rPr>
          <w:rFonts w:ascii="Calibri" w:hAnsi="Calibri"/>
          <w:b/>
          <w:color w:val="1A1C22"/>
          <w:sz w:val="19"/>
        </w:rPr>
        <w:t xml:space="preserve">SCHEDULE II: </w:t>
      </w:r>
      <w:r>
        <w:rPr>
          <w:rFonts w:ascii="Calibri" w:hAnsi="Calibri"/>
          <w:color w:val="282D37"/>
          <w:sz w:val="19"/>
        </w:rPr>
        <w:t>SCHEDULE II: SCOPE OF TURNKEY DELIVERABLES</w:t>
        <w:br/>
        <w:t>• 2D/3D Architectural Design &amp; CAD layout sets with material palettes.</w:t>
        <w:br/>
        <w:t>• Foyer, Living &amp; Dining: Shoe console, TV unit, wall paneling, false ceiling with warm LED coves.</w:t>
        <w:br/>
        <w:t>• Modular Kitchen: BWP Marine Grade carcass, soft-close tandem boxes, acrylic / PU shutters, quartz counter.</w:t>
        <w:br/>
        <w:t>• Master &amp; Guest Bedrooms: Floor-to-ceiling wardrobes with loft, dresser unit, headboard acoustic paneling.</w:t>
        <w:br/>
        <w:t>• Electrical &amp; Plumbing: Concealed wiring (Polycab/Havells), modular switches (Schneider/Legrand), CP fittings.</w:t>
        <w:br/>
        <w:t>• Surface Finishing: 2 coats putty, 1 coat primer, 2 coats Asian Paints Royale luxury emulsion.</w:t>
      </w:r>
    </w:p>
    <w:p>
      <w:pPr>
        <w:spacing w:before="0" w:after="80" w:line="276" w:lineRule="auto"/>
        <w:jc w:val="both"/>
      </w:pPr>
      <w:r>
        <w:rPr>
          <w:rFonts w:ascii="Calibri" w:hAnsi="Calibri"/>
          <w:b/>
          <w:color w:val="1A1C22"/>
          <w:sz w:val="19"/>
        </w:rPr>
        <w:t xml:space="preserve">SCHEDULE III: </w:t>
      </w:r>
      <w:r>
        <w:rPr>
          <w:rFonts w:ascii="Calibri" w:hAnsi="Calibri"/>
          <w:color w:val="282D37"/>
          <w:sz w:val="19"/>
        </w:rPr>
        <w:t>SCHEDULE III: APPROVED MATERIAL GRADE MATRIX</w:t>
        <w:br/>
        <w:t>• Core Woodwork: IS:710 Boiling Water Proof (BWP) Marine Plywood (Century / Greenply / Kitply).</w:t>
        <w:br/>
        <w:t>• Surface Laminates: 1.0mm / 1.5mm High-Pressure Laminates (Merino / Greenlam / CenturyLaminates).</w:t>
        <w:br/>
        <w:t>• Hardware &amp; Channels: Hettich Sensys 110° Soft-Close Hinges &amp; InnoTech Atira Drawer Systems / Hafele.</w:t>
        <w:br/>
        <w:t>• Paints &amp; Polishes: Asian Paints Royale Luxury Emulsion / PU Italian Wood Polish.</w:t>
      </w:r>
    </w:p>
    <w:p>
      <w:pPr>
        <w:spacing w:before="40" w:after="120"/>
        <w:pBdr>
          <w:bottom w:val="single" w:sz="8" w:space="1" w:color="D4AF37"/>
        </w:pBdr>
      </w:pPr>
    </w:p>
    <w:p>
      <w:pPr>
        <w:spacing w:before="40" w:after="0"/>
        <w:jc w:val="center"/>
      </w:pPr>
      <w:r>
        <w:rPr>
          <w:rFonts w:ascii="Arial" w:hAnsi="Arial"/>
          <w:b/>
          <w:color w:val="8C8C8C"/>
          <w:sz w:val="14"/>
        </w:rPr>
        <w:t>Decor8 India Turnkey Contract Agreement • GSTIN: 29AABCD8826K1Z1 • Sirsi (Uttara Kannada) Branch • www.decor8india.com</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