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34"/>
        </w:rPr>
        <w:t>LOGFORGE: Universal Log Pre-processing Framework (ULPF)</w:t>
      </w:r>
    </w:p>
    <w:p>
      <w:pPr>
        <w:spacing w:before="0" w:after="120"/>
      </w:pPr>
      <w:r>
        <w:rPr>
          <w:rFonts w:ascii="Calibri" w:hAnsi="Calibri"/>
          <w:b/>
          <w:color w:val="475569"/>
          <w:sz w:val="20"/>
        </w:rPr>
        <w:t>System Architecture &amp; Engineering Specification | SIH Problem Statement ID: 26156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0F172A"/>
                <w:sz w:val="18"/>
              </w:rPr>
              <w:t>Scope: Ingest heterogeneous perimeter security logs (Syslog RFC 5424/3164, ArcSight CEF, IBM QRadar LEEF, Suricata EVE JSON, Cisco ASA, CSV) and normalize them into an analytics-ready Universal Schema with 100 percent lossless forensic retention and air-gapped GIGW 3.0 compliance.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3366"/>
          <w:sz w:val="23"/>
        </w:rPr>
        <w:t>1. High-Level 4-Tier Pipeline Architecture</w:t>
      </w:r>
    </w:p>
    <w:p>
      <w:pPr>
        <w:spacing w:after="40"/>
      </w:pPr>
      <w:r>
        <w:t>LOGFORGE is engineered as a decoupled, multi-tier streaming appliance to ensure bounded memory and zero dropped packets: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3366"/>
          <w:sz w:val="18"/>
        </w:rPr>
        <w:t xml:space="preserve">Tier 1 — High-Speed Ingestion &amp; Dispatcher: </w:t>
      </w:r>
      <w:r>
        <w:rPr>
          <w:rFonts w:ascii="Calibri" w:hAnsi="Calibri"/>
          <w:color w:val="0F172A"/>
          <w:sz w:val="18"/>
        </w:rPr>
        <w:t>Accepts streaming multi-vendor log files, network Syslog UDP/TCP feeds, and raw stream inputs using memory-bounded O(1) Python generators.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3366"/>
          <w:sz w:val="18"/>
        </w:rPr>
        <w:t xml:space="preserve">Tier 2 — Intelligent Parser Registry &amp; Auto-Detection: </w:t>
      </w:r>
      <w:r>
        <w:rPr>
          <w:rFonts w:ascii="Calibri" w:hAnsi="Calibri"/>
          <w:color w:val="0F172A"/>
          <w:sz w:val="18"/>
        </w:rPr>
        <w:t>A multi-token confidence scoring matrix (0.0 to 1.0) automatically identifies RFC 5424/3164, CEF, LEEF, JSON, and Cisco ASA syntax. Corrupt lines are routed to a Quarantined Forensic Repository without disrupting the pipeline.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3366"/>
          <w:sz w:val="18"/>
        </w:rPr>
        <w:t xml:space="preserve">Tier 3 — Universal Normalization &amp; Taxonomy Harmonization: </w:t>
      </w:r>
      <w:r>
        <w:rPr>
          <w:rFonts w:ascii="Calibri" w:hAnsi="Calibri"/>
          <w:color w:val="0F172A"/>
          <w:sz w:val="18"/>
        </w:rPr>
        <w:t>Extracts standard network 5-tuples (src/dst IP, src/dst port, protocol), canonical security actions (ALLOW / DENY / ALERT), 5-tier severity levels, and ISO-8601 UTC microsecond timestamps.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3366"/>
          <w:sz w:val="18"/>
        </w:rPr>
        <w:t xml:space="preserve">Tier 4 — Zero-Loss Storage &amp; SIEM / AI Export: </w:t>
      </w:r>
      <w:r>
        <w:rPr>
          <w:rFonts w:ascii="Calibri" w:hAnsi="Calibri"/>
          <w:color w:val="0F172A"/>
          <w:sz w:val="18"/>
        </w:rPr>
        <w:t>SQLite WAL engine with B-Tree indexes enables sub-millisecond query filtering. Downstream connectors stream directly to JSONL (Splunk, OpenSearch, BigQuery) and CSV (Pandas, PySpark, Scikit-learn).</w:t>
      </w:r>
    </w:p>
    <w:p>
      <w:pPr>
        <w:spacing w:before="140" w:after="40"/>
      </w:pPr>
      <w:r>
        <w:rPr>
          <w:rFonts w:ascii="Calibri" w:hAnsi="Calibri"/>
          <w:b/>
          <w:color w:val="003366"/>
          <w:sz w:val="23"/>
        </w:rPr>
        <w:t>2. Core Architectural Pillars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F172A"/>
          <w:sz w:val="18"/>
        </w:rPr>
        <w:t xml:space="preserve">100% Lossless Forensic Guarantee: </w:t>
      </w:r>
      <w:r>
        <w:rPr>
          <w:rFonts w:ascii="Calibri" w:hAnsi="Calibri"/>
          <w:color w:val="0F172A"/>
          <w:sz w:val="18"/>
        </w:rPr>
        <w:t>Unlike traditional forwarders that drop unrecognized fields to conserve storage, LOGFORGE permanently preserves the exact byte-for-byte uncompressed raw log in raw_event alongside normalized attributes for strict evidentiary admissibility under CERT-In and Indian IT Act standards.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F172A"/>
          <w:sz w:val="18"/>
        </w:rPr>
        <w:t xml:space="preserve">O(1) Bounded Memory Architecture: </w:t>
      </w:r>
      <w:r>
        <w:rPr>
          <w:rFonts w:ascii="Calibri" w:hAnsi="Calibri"/>
          <w:color w:val="0F172A"/>
          <w:sz w:val="18"/>
        </w:rPr>
        <w:t>Processing millions of logs typically crashes log parsers with Out-Of-Memory (OOM) errors. LOGFORGE processes streams in bounded chunk batches (5,000 to 25,000 events) coupled with periodic SQLite WAL flushes, guaranteeing flat RAM usage (&lt; 80 MB) up to 1,000,000 events.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F172A"/>
          <w:sz w:val="18"/>
        </w:rPr>
        <w:t xml:space="preserve">GIGW 3.0 &amp; WCAG 2.1 AA Compliance: </w:t>
      </w:r>
      <w:r>
        <w:rPr>
          <w:rFonts w:ascii="Calibri" w:hAnsi="Calibri"/>
          <w:color w:val="0F172A"/>
          <w:sz w:val="18"/>
        </w:rPr>
        <w:t>The web portal features bilingual Indian Government identity, live font sizing controls (A-, A, A+), high-contrast accessibility mode (yellow-on-black), and screen reader bypass links (#main-content).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F172A"/>
          <w:sz w:val="18"/>
        </w:rPr>
        <w:t xml:space="preserve">Air-Gapped Sovereign Readiness: </w:t>
      </w:r>
      <w:r>
        <w:rPr>
          <w:rFonts w:ascii="Calibri" w:hAnsi="Calibri"/>
          <w:color w:val="0F172A"/>
          <w:sz w:val="18"/>
        </w:rPr>
        <w:t>Operates 100% offline with zero external cloud dependencies, zero external telemetry phone-home, and complete Docker containerization.</w:t>
      </w:r>
    </w:p>
    <w:p>
      <w:pPr>
        <w:spacing w:before="140" w:after="60"/>
      </w:pPr>
      <w:r>
        <w:rPr>
          <w:rFonts w:ascii="Calibri" w:hAnsi="Calibri"/>
          <w:b/>
          <w:color w:val="003366"/>
          <w:sz w:val="23"/>
        </w:rPr>
        <w:t>3. Empirical Scalability &amp; Performance Benchmarks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Workload Tier</w:t>
            </w:r>
          </w:p>
        </w:tc>
        <w:tc>
          <w:tcPr>
            <w:tcW w:type="dxa" w:w="1872"/>
            <w:shd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Processing Latency</w:t>
            </w:r>
          </w:p>
        </w:tc>
        <w:tc>
          <w:tcPr>
            <w:tcW w:type="dxa" w:w="2304"/>
            <w:shd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Sustained Throughput</w:t>
            </w:r>
          </w:p>
        </w:tc>
        <w:tc>
          <w:tcPr>
            <w:tcW w:type="dxa" w:w="2016"/>
            <w:shd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Lossless Retention</w:t>
            </w:r>
          </w:p>
        </w:tc>
        <w:tc>
          <w:tcPr>
            <w:tcW w:type="dxa" w:w="2016"/>
            <w:shd w:fill="0033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Memory Footprint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1,000 Logs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0.058 seconds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17,169.71 eps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100% Retained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&lt; 15 MB RAM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10,000 Logs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0.579 seconds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17,268.39 eps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100% Retained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&lt; 25 MB RAM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50,000 Logs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2.869 seconds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17,426.36 eps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100% Retained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&lt; 35 MB RAM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100,000 Logs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6.197 seconds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16,136.10 eps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100% Retained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&lt; 45 MB RAM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1,000,000 Logs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71.24 seconds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14,043.62 eps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100% Retained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6"/>
              </w:rPr>
              <w:t>O(1) Chunked (&lt; 80 MB)</w:t>
            </w:r>
          </w:p>
        </w:tc>
      </w:tr>
    </w:tbl>
    <w:p>
      <w:pPr>
        <w:spacing w:before="140" w:after="40"/>
      </w:pPr>
      <w:r>
        <w:rPr>
          <w:rFonts w:ascii="Calibri" w:hAnsi="Calibri"/>
          <w:b/>
          <w:color w:val="003366"/>
          <w:sz w:val="23"/>
        </w:rPr>
        <w:t>4. Canonical Universal Schema Data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03366"/>
                <w:sz w:val="15"/>
              </w:rPr>
              <w:t>{</w:t>
              <w:br/>
              <w:t xml:space="preserve">  "event_id": "uuid-v4-unique-identifier",</w:t>
              <w:br/>
              <w:t xml:space="preserve">  "timestamp": "2026-09-28T14:30:01.000000Z",  // Normalized ISO-8601 UTC</w:t>
              <w:br/>
              <w:t xml:space="preserve">  "source": { "vendor": "Palo Alto", "device_type": "firewall", "hostname": "PA-5220-FW01" },</w:t>
              <w:br/>
              <w:t xml:space="preserve">  "network": {</w:t>
              <w:br/>
              <w:t xml:space="preserve">    "source_ip": "192.168.1.105", "destination_ip": "8.8.8.8",</w:t>
              <w:br/>
              <w:t xml:space="preserve">    "source_port": 52341, "destination_port": 443, "protocol": "TCP"</w:t>
              <w:br/>
              <w:t xml:space="preserve">  },</w:t>
              <w:br/>
              <w:t xml:space="preserve">  "event": { "category": "network", "action": "ALLOW", "severity": "INFORMATIONAL" },</w:t>
              <w:br/>
              <w:t xml:space="preserve">  "metadata": { "parser": "SyslogParser", "source_format": "syslog_rfc5424", "confidence": 0.95 },</w:t>
              <w:br/>
              <w:t xml:space="preserve">  "raw_event": "&lt;14&gt;1 2026-09-28T14:30:01Z PA-5220-FW01 ... (100% Lossless Original String)"</w:t>
              <w:br/>
              <w:t>}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color w:val="475569"/>
          <w:sz w:val="16"/>
        </w:rPr>
        <w:t>LOGFORGE (SIH26156) • Repository: https://github.com/goutham-11-16/LOGFORGE • Sovereign Air-Gapped Architecture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