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7D55" w14:textId="24CA6AC1" w:rsidR="001F44CA" w:rsidRPr="001D4392" w:rsidRDefault="001F44CA" w:rsidP="002A7F4E">
      <w:pPr>
        <w:rPr>
          <w:rFonts w:cstheme="minorHAnsi"/>
          <w:b/>
          <w:sz w:val="24"/>
          <w:szCs w:val="24"/>
        </w:rPr>
      </w:pPr>
      <w:r w:rsidRPr="001D4392">
        <w:rPr>
          <w:rFonts w:cstheme="minorHAnsi"/>
          <w:b/>
          <w:sz w:val="24"/>
          <w:szCs w:val="24"/>
        </w:rPr>
        <w:t>HR Excellence in Research: Action Plan 201</w:t>
      </w:r>
      <w:r w:rsidR="00EB6322">
        <w:rPr>
          <w:rFonts w:cstheme="minorHAnsi"/>
          <w:b/>
          <w:sz w:val="24"/>
          <w:szCs w:val="24"/>
        </w:rPr>
        <w:t>9-2021</w:t>
      </w:r>
    </w:p>
    <w:p w14:paraId="6B8AD464" w14:textId="283B0686" w:rsidR="00C92178" w:rsidRPr="001D4392" w:rsidRDefault="00C92178" w:rsidP="00C92178">
      <w:pPr>
        <w:rPr>
          <w:rFonts w:ascii="Calibri" w:hAnsi="Calibri" w:cs="Calibri"/>
          <w:color w:val="000000"/>
          <w:sz w:val="24"/>
          <w:szCs w:val="24"/>
        </w:rPr>
      </w:pPr>
      <w:r w:rsidRPr="001D4392">
        <w:rPr>
          <w:rStyle w:val="Hyperlink"/>
          <w:rFonts w:cstheme="minorHAnsi"/>
          <w:color w:val="auto"/>
          <w:sz w:val="24"/>
          <w:szCs w:val="24"/>
          <w:u w:val="none"/>
        </w:rPr>
        <w:t xml:space="preserve">This document </w:t>
      </w:r>
      <w:r>
        <w:rPr>
          <w:rStyle w:val="Hyperlink"/>
          <w:rFonts w:cstheme="minorHAnsi"/>
          <w:color w:val="auto"/>
          <w:sz w:val="24"/>
          <w:szCs w:val="24"/>
          <w:u w:val="none"/>
        </w:rPr>
        <w:t>forms our</w:t>
      </w:r>
      <w:r w:rsidRPr="001D4392">
        <w:rPr>
          <w:rStyle w:val="Hyperlink"/>
          <w:rFonts w:cstheme="minorHAnsi"/>
          <w:color w:val="auto"/>
          <w:sz w:val="24"/>
          <w:szCs w:val="24"/>
          <w:u w:val="none"/>
        </w:rPr>
        <w:t xml:space="preserve"> new and on-going actions for 2019</w:t>
      </w:r>
      <w:r>
        <w:rPr>
          <w:rStyle w:val="Hyperlink"/>
          <w:rFonts w:cstheme="minorHAnsi"/>
          <w:color w:val="auto"/>
          <w:sz w:val="24"/>
          <w:szCs w:val="24"/>
          <w:u w:val="none"/>
        </w:rPr>
        <w:t>-21</w:t>
      </w:r>
      <w:r w:rsidRPr="001D4392">
        <w:rPr>
          <w:rStyle w:val="Hyperlink"/>
          <w:rFonts w:cstheme="minorHAnsi"/>
          <w:color w:val="auto"/>
          <w:sz w:val="24"/>
          <w:szCs w:val="24"/>
          <w:u w:val="none"/>
        </w:rPr>
        <w:t>.</w:t>
      </w:r>
      <w:r>
        <w:rPr>
          <w:rStyle w:val="Hyperlink"/>
          <w:rFonts w:cstheme="minorHAnsi"/>
          <w:color w:val="auto"/>
          <w:sz w:val="24"/>
          <w:szCs w:val="24"/>
          <w:u w:val="none"/>
        </w:rPr>
        <w:t xml:space="preserve">  </w:t>
      </w:r>
      <w:r w:rsidRPr="001D4392">
        <w:rPr>
          <w:rFonts w:ascii="Calibri" w:hAnsi="Calibri" w:cs="Calibri"/>
          <w:color w:val="000000"/>
          <w:sz w:val="24"/>
          <w:szCs w:val="24"/>
        </w:rPr>
        <w:t>The University of Stirling received the HR Excell</w:t>
      </w:r>
      <w:r>
        <w:rPr>
          <w:rFonts w:ascii="Calibri" w:hAnsi="Calibri" w:cs="Calibri"/>
          <w:color w:val="000000"/>
          <w:sz w:val="24"/>
          <w:szCs w:val="24"/>
        </w:rPr>
        <w:t>ence in Research Award in 2011, and successfully retained it in 2013, 2015 and 2017.</w:t>
      </w:r>
    </w:p>
    <w:p w14:paraId="348BE680" w14:textId="256212CC" w:rsidR="00C92178" w:rsidRPr="001D4392" w:rsidRDefault="00C92178" w:rsidP="00C92178">
      <w:pPr>
        <w:autoSpaceDE w:val="0"/>
        <w:autoSpaceDN w:val="0"/>
        <w:adjustRightInd w:val="0"/>
        <w:spacing w:after="0" w:line="240" w:lineRule="auto"/>
        <w:rPr>
          <w:rFonts w:ascii="Calibri" w:hAnsi="Calibri" w:cs="Calibri"/>
          <w:color w:val="000000"/>
          <w:sz w:val="24"/>
          <w:szCs w:val="24"/>
        </w:rPr>
      </w:pPr>
      <w:r w:rsidRPr="001D4392">
        <w:rPr>
          <w:rFonts w:ascii="Calibri" w:hAnsi="Calibri" w:cs="Calibri"/>
          <w:color w:val="000000"/>
          <w:sz w:val="24"/>
          <w:szCs w:val="24"/>
        </w:rPr>
        <w:t xml:space="preserve">This document and the associated report form the basis of the </w:t>
      </w:r>
      <w:r>
        <w:rPr>
          <w:rFonts w:ascii="Calibri" w:hAnsi="Calibri" w:cs="Calibri"/>
          <w:color w:val="000000"/>
          <w:sz w:val="24"/>
          <w:szCs w:val="24"/>
        </w:rPr>
        <w:t>eight</w:t>
      </w:r>
      <w:r w:rsidRPr="001D4392">
        <w:rPr>
          <w:rFonts w:ascii="Calibri" w:hAnsi="Calibri" w:cs="Calibri"/>
          <w:color w:val="000000"/>
          <w:sz w:val="24"/>
          <w:szCs w:val="24"/>
        </w:rPr>
        <w:t>-year review process which reviews our progress over the past two years and sets out our plans to further support the principles of the Concordat to Support the Career Development of Researchers.  We see these documents, and the HR Excellence in Research Award, as being key in the support and development of our Research Environment more widely.</w:t>
      </w:r>
      <w:r>
        <w:rPr>
          <w:rFonts w:ascii="Calibri" w:hAnsi="Calibri" w:cs="Calibri"/>
          <w:color w:val="000000"/>
          <w:sz w:val="24"/>
          <w:szCs w:val="24"/>
        </w:rPr>
        <w:t xml:space="preserve">  We will revisit this action plan regularly, and amend as appropriate in the light of the revised Researchers Concordat.</w:t>
      </w:r>
    </w:p>
    <w:p w14:paraId="76167DAF" w14:textId="77777777" w:rsidR="00C92178" w:rsidRPr="001D4392" w:rsidRDefault="00C92178" w:rsidP="00C92178">
      <w:pPr>
        <w:autoSpaceDE w:val="0"/>
        <w:autoSpaceDN w:val="0"/>
        <w:adjustRightInd w:val="0"/>
        <w:spacing w:after="0" w:line="240" w:lineRule="auto"/>
        <w:rPr>
          <w:rFonts w:ascii="Calibri" w:hAnsi="Calibri" w:cs="Calibri"/>
          <w:color w:val="000000"/>
          <w:sz w:val="24"/>
          <w:szCs w:val="24"/>
        </w:rPr>
      </w:pPr>
    </w:p>
    <w:p w14:paraId="2993D80E" w14:textId="77777777" w:rsidR="00C83DEE" w:rsidRDefault="00C92178" w:rsidP="00C92178">
      <w:pPr>
        <w:autoSpaceDE w:val="0"/>
        <w:autoSpaceDN w:val="0"/>
        <w:adjustRightInd w:val="0"/>
        <w:spacing w:after="0" w:line="240" w:lineRule="auto"/>
        <w:rPr>
          <w:rFonts w:ascii="Calibri" w:hAnsi="Calibri" w:cs="Calibri"/>
          <w:color w:val="000000"/>
          <w:sz w:val="24"/>
          <w:szCs w:val="24"/>
        </w:rPr>
      </w:pPr>
      <w:r w:rsidRPr="001D4392">
        <w:rPr>
          <w:rFonts w:ascii="Calibri" w:hAnsi="Calibri" w:cs="Calibri"/>
          <w:color w:val="000000"/>
          <w:sz w:val="24"/>
          <w:szCs w:val="24"/>
        </w:rPr>
        <w:t xml:space="preserve">All relevant documents, including the Concordat to Support the Career Development of Researchers, are available at </w:t>
      </w:r>
    </w:p>
    <w:p w14:paraId="2733AE38" w14:textId="51A45D15" w:rsidR="00C92178" w:rsidRDefault="000A413E" w:rsidP="00C92178">
      <w:pPr>
        <w:autoSpaceDE w:val="0"/>
        <w:autoSpaceDN w:val="0"/>
        <w:adjustRightInd w:val="0"/>
        <w:spacing w:after="0" w:line="240" w:lineRule="auto"/>
      </w:pPr>
      <w:hyperlink r:id="rId11" w:history="1">
        <w:r w:rsidR="00C83DEE" w:rsidRPr="00C83DEE">
          <w:rPr>
            <w:rStyle w:val="Hyperlink"/>
            <w:rFonts w:ascii="Calibri" w:hAnsi="Calibri" w:cs="Calibri"/>
            <w:sz w:val="24"/>
            <w:szCs w:val="24"/>
          </w:rPr>
          <w:t>HR Excellence in Research Award</w:t>
        </w:r>
      </w:hyperlink>
    </w:p>
    <w:p w14:paraId="52D8BF5B" w14:textId="77777777" w:rsidR="00212C61" w:rsidRPr="001D4392" w:rsidRDefault="00212C61" w:rsidP="00C92178">
      <w:pPr>
        <w:autoSpaceDE w:val="0"/>
        <w:autoSpaceDN w:val="0"/>
        <w:adjustRightInd w:val="0"/>
        <w:spacing w:after="0" w:line="240" w:lineRule="auto"/>
        <w:rPr>
          <w:rFonts w:ascii="Calibri" w:hAnsi="Calibri" w:cs="Calibri"/>
          <w:color w:val="000000"/>
          <w:sz w:val="24"/>
          <w:szCs w:val="24"/>
        </w:rPr>
      </w:pPr>
    </w:p>
    <w:p w14:paraId="04AF5B89" w14:textId="77777777" w:rsidR="00C92178" w:rsidRPr="001D4392" w:rsidRDefault="00C92178" w:rsidP="00C92178">
      <w:pPr>
        <w:autoSpaceDE w:val="0"/>
        <w:autoSpaceDN w:val="0"/>
        <w:adjustRightInd w:val="0"/>
        <w:spacing w:after="0" w:line="240" w:lineRule="auto"/>
        <w:rPr>
          <w:rFonts w:ascii="Calibri" w:hAnsi="Calibri" w:cs="Calibri"/>
          <w:color w:val="000000"/>
          <w:sz w:val="24"/>
          <w:szCs w:val="24"/>
        </w:rPr>
      </w:pPr>
      <w:r w:rsidRPr="001D4392">
        <w:rPr>
          <w:rFonts w:ascii="Calibri" w:hAnsi="Calibri" w:cs="Calibri"/>
          <w:color w:val="000000"/>
          <w:sz w:val="24"/>
          <w:szCs w:val="24"/>
        </w:rPr>
        <w:t xml:space="preserve">A glossary of terms and abbreviations is provided at the end of the document. </w:t>
      </w:r>
    </w:p>
    <w:p w14:paraId="56574B4B" w14:textId="77777777" w:rsidR="00C92178" w:rsidRPr="001D4392" w:rsidRDefault="00C92178" w:rsidP="00C92178">
      <w:pPr>
        <w:autoSpaceDE w:val="0"/>
        <w:autoSpaceDN w:val="0"/>
        <w:adjustRightInd w:val="0"/>
        <w:spacing w:after="0" w:line="240" w:lineRule="auto"/>
        <w:rPr>
          <w:rFonts w:ascii="Calibri" w:hAnsi="Calibri" w:cs="Calibri"/>
          <w:color w:val="000000"/>
          <w:sz w:val="24"/>
          <w:szCs w:val="24"/>
        </w:rPr>
      </w:pPr>
    </w:p>
    <w:p w14:paraId="2E87CE21" w14:textId="44B988CE" w:rsidR="00C21439" w:rsidRDefault="00C92178" w:rsidP="002A7F4E">
      <w:pPr>
        <w:rPr>
          <w:rFonts w:ascii="Calibri" w:hAnsi="Calibri" w:cs="Calibri"/>
          <w:color w:val="000000"/>
          <w:sz w:val="24"/>
          <w:szCs w:val="24"/>
        </w:rPr>
      </w:pPr>
      <w:r w:rsidRPr="001D4392">
        <w:rPr>
          <w:rFonts w:ascii="Calibri" w:hAnsi="Calibri" w:cs="Calibri"/>
          <w:color w:val="000000"/>
          <w:sz w:val="24"/>
          <w:szCs w:val="24"/>
        </w:rPr>
        <w:t xml:space="preserve">For further information please contact Dr Katharine Reibig </w:t>
      </w:r>
      <w:hyperlink r:id="rId12" w:history="1">
        <w:r w:rsidRPr="001D4392">
          <w:rPr>
            <w:rStyle w:val="Hyperlink"/>
            <w:rFonts w:ascii="Calibri" w:hAnsi="Calibri" w:cs="Calibri"/>
            <w:sz w:val="24"/>
            <w:szCs w:val="24"/>
          </w:rPr>
          <w:t>k.m.reibig@stir.ac.uk</w:t>
        </w:r>
      </w:hyperlink>
      <w:r w:rsidR="009D5C82">
        <w:rPr>
          <w:rFonts w:ascii="Calibri" w:hAnsi="Calibri" w:cs="Calibri"/>
          <w:color w:val="000000"/>
          <w:sz w:val="24"/>
          <w:szCs w:val="24"/>
        </w:rPr>
        <w:t xml:space="preserve"> </w:t>
      </w:r>
      <w:r>
        <w:rPr>
          <w:rFonts w:ascii="Calibri" w:hAnsi="Calibri" w:cs="Calibri"/>
          <w:color w:val="000000"/>
          <w:sz w:val="24"/>
          <w:szCs w:val="24"/>
        </w:rPr>
        <w:t>or Dr Edward Duncan (</w:t>
      </w:r>
      <w:hyperlink r:id="rId13" w:history="1">
        <w:r w:rsidR="005C539B" w:rsidRPr="0049192B">
          <w:rPr>
            <w:rStyle w:val="Hyperlink"/>
            <w:rFonts w:ascii="Calibri" w:hAnsi="Calibri" w:cs="Calibri"/>
            <w:sz w:val="24"/>
            <w:szCs w:val="24"/>
          </w:rPr>
          <w:t>edward.duncan@stir.ac.uk</w:t>
        </w:r>
      </w:hyperlink>
      <w:r>
        <w:rPr>
          <w:rFonts w:ascii="Calibri" w:hAnsi="Calibri" w:cs="Calibri"/>
          <w:color w:val="000000"/>
          <w:sz w:val="24"/>
          <w:szCs w:val="24"/>
        </w:rPr>
        <w:t xml:space="preserve">) </w:t>
      </w:r>
    </w:p>
    <w:p w14:paraId="44103873" w14:textId="77777777" w:rsidR="002C16E2" w:rsidRDefault="002C16E2" w:rsidP="002C16E2">
      <w:pPr>
        <w:rPr>
          <w:b/>
          <w:sz w:val="28"/>
          <w:szCs w:val="28"/>
        </w:rPr>
      </w:pPr>
    </w:p>
    <w:p w14:paraId="414014F6" w14:textId="35BA3857" w:rsidR="002C16E2" w:rsidRPr="00FD449E" w:rsidRDefault="002C16E2" w:rsidP="002C16E2">
      <w:pPr>
        <w:rPr>
          <w:b/>
          <w:sz w:val="28"/>
          <w:szCs w:val="28"/>
        </w:rPr>
      </w:pPr>
      <w:r w:rsidRPr="00FD449E">
        <w:rPr>
          <w:b/>
          <w:sz w:val="28"/>
          <w:szCs w:val="28"/>
        </w:rPr>
        <w:t>Principle 1: Recruitment and Selection</w:t>
      </w:r>
    </w:p>
    <w:p w14:paraId="1CC21CA2" w14:textId="5270EEFE" w:rsidR="002C16E2" w:rsidRPr="00282030" w:rsidRDefault="002C16E2" w:rsidP="002C16E2">
      <w:pPr>
        <w:rPr>
          <w:sz w:val="24"/>
          <w:szCs w:val="24"/>
        </w:rPr>
      </w:pPr>
      <w:r w:rsidRPr="00FD449E">
        <w:rPr>
          <w:i/>
          <w:sz w:val="28"/>
          <w:szCs w:val="28"/>
        </w:rPr>
        <w:t>Recognition of the importance of recruiting, selection and retaining researchers with the highest potential to achieve excellence in research.</w:t>
      </w:r>
    </w:p>
    <w:tbl>
      <w:tblPr>
        <w:tblStyle w:val="TableGrid"/>
        <w:tblW w:w="13603" w:type="dxa"/>
        <w:tblLook w:val="00A0" w:firstRow="1" w:lastRow="0" w:firstColumn="1" w:lastColumn="0" w:noHBand="0" w:noVBand="0"/>
        <w:tblCaption w:val="Principle 1: Recruitment and Selection "/>
        <w:tblDescription w:val="Recognition of the importance of recruiting, selection and retaining researchers with the highest potential to achieve excellence in research."/>
      </w:tblPr>
      <w:tblGrid>
        <w:gridCol w:w="4430"/>
        <w:gridCol w:w="1545"/>
        <w:gridCol w:w="2625"/>
        <w:gridCol w:w="5003"/>
      </w:tblGrid>
      <w:tr w:rsidR="000A55CC" w:rsidRPr="001F44CA" w14:paraId="3CAB70E0" w14:textId="650AB162" w:rsidTr="002C16E2">
        <w:trPr>
          <w:tblHeader/>
        </w:trPr>
        <w:tc>
          <w:tcPr>
            <w:tcW w:w="4430" w:type="dxa"/>
          </w:tcPr>
          <w:p w14:paraId="6B696D27" w14:textId="5915A2B7" w:rsidR="000A55CC" w:rsidRDefault="000A55CC" w:rsidP="002A7F4E">
            <w:pPr>
              <w:rPr>
                <w:rFonts w:cstheme="minorHAnsi"/>
                <w:sz w:val="20"/>
                <w:szCs w:val="20"/>
              </w:rPr>
            </w:pPr>
            <w:r w:rsidRPr="001F44CA">
              <w:rPr>
                <w:b/>
                <w:sz w:val="20"/>
                <w:szCs w:val="20"/>
              </w:rPr>
              <w:t>Issue to be addressed</w:t>
            </w:r>
          </w:p>
        </w:tc>
        <w:tc>
          <w:tcPr>
            <w:tcW w:w="1545" w:type="dxa"/>
          </w:tcPr>
          <w:p w14:paraId="393AD2BE" w14:textId="3CA35F1D" w:rsidR="000A55CC" w:rsidRDefault="000A55CC" w:rsidP="002A7F4E">
            <w:pPr>
              <w:rPr>
                <w:rFonts w:cstheme="minorHAnsi"/>
                <w:sz w:val="20"/>
                <w:szCs w:val="20"/>
              </w:rPr>
            </w:pPr>
            <w:r w:rsidRPr="001F44CA">
              <w:rPr>
                <w:b/>
                <w:sz w:val="20"/>
                <w:szCs w:val="20"/>
              </w:rPr>
              <w:t>Responsibility for action</w:t>
            </w:r>
          </w:p>
        </w:tc>
        <w:tc>
          <w:tcPr>
            <w:tcW w:w="2625" w:type="dxa"/>
          </w:tcPr>
          <w:p w14:paraId="20B394FF" w14:textId="6284B359" w:rsidR="000A55CC" w:rsidRDefault="000A55CC" w:rsidP="002A7F4E">
            <w:pPr>
              <w:rPr>
                <w:rFonts w:cstheme="minorHAnsi"/>
                <w:sz w:val="20"/>
                <w:szCs w:val="20"/>
              </w:rPr>
            </w:pPr>
            <w:r w:rsidRPr="001F44CA">
              <w:rPr>
                <w:b/>
                <w:sz w:val="20"/>
                <w:szCs w:val="20"/>
              </w:rPr>
              <w:t>Success Criteria</w:t>
            </w:r>
          </w:p>
        </w:tc>
        <w:tc>
          <w:tcPr>
            <w:tcW w:w="5003" w:type="dxa"/>
          </w:tcPr>
          <w:p w14:paraId="2467C98A" w14:textId="17E1590B" w:rsidR="000A55CC" w:rsidRPr="5618F76D" w:rsidRDefault="000A55CC" w:rsidP="002A7F4E">
            <w:pPr>
              <w:rPr>
                <w:sz w:val="20"/>
                <w:szCs w:val="20"/>
              </w:rPr>
            </w:pPr>
            <w:r w:rsidRPr="001F44CA">
              <w:rPr>
                <w:b/>
                <w:sz w:val="20"/>
                <w:szCs w:val="20"/>
              </w:rPr>
              <w:t>Timescale</w:t>
            </w:r>
          </w:p>
        </w:tc>
      </w:tr>
      <w:tr w:rsidR="002435CA" w:rsidRPr="001F44CA" w14:paraId="6EB5E49F" w14:textId="77777777" w:rsidTr="00282030">
        <w:tc>
          <w:tcPr>
            <w:tcW w:w="4430" w:type="dxa"/>
          </w:tcPr>
          <w:p w14:paraId="04B704FB" w14:textId="0FF109D1" w:rsidR="002435CA" w:rsidRDefault="002435CA" w:rsidP="00897D87">
            <w:pPr>
              <w:rPr>
                <w:rFonts w:cstheme="minorHAnsi"/>
                <w:sz w:val="20"/>
                <w:szCs w:val="20"/>
              </w:rPr>
            </w:pPr>
            <w:r>
              <w:rPr>
                <w:rFonts w:cstheme="minorHAnsi"/>
                <w:sz w:val="20"/>
                <w:szCs w:val="20"/>
              </w:rPr>
              <w:t>Good practice in recruitment at Faculty/Divisional level.  Our Faculty of Arts &amp; Humanities has devised a model of best practice re recruitment for academic posts, incorporating blog posts, and mechanisms to clear career paths and promote career flexibility.</w:t>
            </w:r>
          </w:p>
        </w:tc>
        <w:tc>
          <w:tcPr>
            <w:tcW w:w="1545" w:type="dxa"/>
          </w:tcPr>
          <w:p w14:paraId="7C46C927" w14:textId="63BD5B19" w:rsidR="002435CA" w:rsidRDefault="002435CA" w:rsidP="002A7F4E">
            <w:pPr>
              <w:rPr>
                <w:sz w:val="20"/>
                <w:szCs w:val="20"/>
              </w:rPr>
            </w:pPr>
            <w:r>
              <w:rPr>
                <w:sz w:val="20"/>
                <w:szCs w:val="20"/>
              </w:rPr>
              <w:t>Chair REWG</w:t>
            </w:r>
          </w:p>
        </w:tc>
        <w:tc>
          <w:tcPr>
            <w:tcW w:w="2625" w:type="dxa"/>
          </w:tcPr>
          <w:p w14:paraId="0EAEAEE4" w14:textId="77777777" w:rsidR="002435CA" w:rsidRDefault="002435CA" w:rsidP="002A7F4E">
            <w:pPr>
              <w:rPr>
                <w:sz w:val="20"/>
                <w:szCs w:val="20"/>
              </w:rPr>
            </w:pPr>
            <w:r>
              <w:rPr>
                <w:sz w:val="20"/>
                <w:szCs w:val="20"/>
              </w:rPr>
              <w:t>Good practice adopted and implemented in roles advertised in 2020 onwards</w:t>
            </w:r>
          </w:p>
          <w:p w14:paraId="0BF72C8A" w14:textId="2EC13469" w:rsidR="00537499" w:rsidRPr="00537499" w:rsidRDefault="00537499" w:rsidP="00537499">
            <w:pPr>
              <w:rPr>
                <w:color w:val="FF0000"/>
                <w:sz w:val="20"/>
                <w:szCs w:val="20"/>
              </w:rPr>
            </w:pPr>
          </w:p>
          <w:p w14:paraId="429FDCCE" w14:textId="284F8BB0" w:rsidR="00537499" w:rsidRDefault="00537499" w:rsidP="002A7F4E">
            <w:pPr>
              <w:rPr>
                <w:sz w:val="20"/>
                <w:szCs w:val="20"/>
              </w:rPr>
            </w:pPr>
          </w:p>
        </w:tc>
        <w:tc>
          <w:tcPr>
            <w:tcW w:w="5003" w:type="dxa"/>
          </w:tcPr>
          <w:p w14:paraId="7C6982EE" w14:textId="3B224B5B" w:rsidR="002435CA" w:rsidRDefault="002435CA" w:rsidP="002A7F4E">
            <w:pPr>
              <w:rPr>
                <w:sz w:val="20"/>
                <w:szCs w:val="20"/>
              </w:rPr>
            </w:pPr>
            <w:r>
              <w:rPr>
                <w:sz w:val="20"/>
                <w:szCs w:val="20"/>
              </w:rPr>
              <w:t>Share examples of good practice at REWG in November 2019; dissemination to/discussion with faculties via REWG and faculty events; adoption during 2020 recruitment.</w:t>
            </w:r>
          </w:p>
          <w:p w14:paraId="6B569C21" w14:textId="77777777" w:rsidR="00DD0520" w:rsidRDefault="00DD0520" w:rsidP="002A7F4E">
            <w:pPr>
              <w:rPr>
                <w:sz w:val="20"/>
                <w:szCs w:val="20"/>
              </w:rPr>
            </w:pPr>
          </w:p>
          <w:p w14:paraId="72CFCDC2" w14:textId="77777777" w:rsidR="00DD0520" w:rsidRDefault="00DD0520" w:rsidP="002A7F4E">
            <w:pPr>
              <w:rPr>
                <w:sz w:val="20"/>
                <w:szCs w:val="20"/>
              </w:rPr>
            </w:pPr>
          </w:p>
          <w:p w14:paraId="09E69A30" w14:textId="2864AF0B" w:rsidR="00DD0520" w:rsidRDefault="00DD0520" w:rsidP="002A7F4E">
            <w:pPr>
              <w:rPr>
                <w:sz w:val="20"/>
                <w:szCs w:val="20"/>
              </w:rPr>
            </w:pPr>
            <w:r>
              <w:rPr>
                <w:sz w:val="20"/>
                <w:szCs w:val="20"/>
              </w:rPr>
              <w:t>(also included under Principle 6)</w:t>
            </w:r>
          </w:p>
        </w:tc>
      </w:tr>
      <w:tr w:rsidR="00304074" w:rsidRPr="001F44CA" w14:paraId="28790630" w14:textId="1352A535" w:rsidTr="00282030">
        <w:tc>
          <w:tcPr>
            <w:tcW w:w="4430" w:type="dxa"/>
          </w:tcPr>
          <w:p w14:paraId="4EB4A196" w14:textId="77777777" w:rsidR="00304074" w:rsidRDefault="00304074" w:rsidP="00304074">
            <w:pPr>
              <w:rPr>
                <w:rFonts w:cstheme="minorHAnsi"/>
                <w:sz w:val="20"/>
                <w:szCs w:val="20"/>
              </w:rPr>
            </w:pPr>
            <w:r>
              <w:rPr>
                <w:rFonts w:cstheme="minorHAnsi"/>
                <w:sz w:val="20"/>
                <w:szCs w:val="20"/>
              </w:rPr>
              <w:lastRenderedPageBreak/>
              <w:t>Creation of a centralised Recruitment and Resourcing Team within HR Services.</w:t>
            </w:r>
          </w:p>
          <w:p w14:paraId="02A7CC3D" w14:textId="77777777" w:rsidR="00304074" w:rsidRDefault="00304074" w:rsidP="00304074">
            <w:pPr>
              <w:rPr>
                <w:rFonts w:cstheme="minorHAnsi"/>
                <w:sz w:val="20"/>
                <w:szCs w:val="20"/>
              </w:rPr>
            </w:pPr>
          </w:p>
          <w:p w14:paraId="7A530457" w14:textId="77777777" w:rsidR="00304074" w:rsidRDefault="00304074" w:rsidP="00304074">
            <w:pPr>
              <w:rPr>
                <w:rFonts w:cstheme="minorHAnsi"/>
                <w:sz w:val="20"/>
                <w:szCs w:val="20"/>
              </w:rPr>
            </w:pPr>
            <w:r>
              <w:rPr>
                <w:rFonts w:cstheme="minorHAnsi"/>
                <w:sz w:val="20"/>
                <w:szCs w:val="20"/>
              </w:rPr>
              <w:t xml:space="preserve">This team will manage the centralising of recruitment and resourcing activity back into HR services along with reviewing processes ensuring consistency across the institution. </w:t>
            </w:r>
          </w:p>
          <w:p w14:paraId="185B53EF" w14:textId="77777777" w:rsidR="00304074" w:rsidRDefault="00304074" w:rsidP="00304074">
            <w:pPr>
              <w:rPr>
                <w:rFonts w:cstheme="minorHAnsi"/>
                <w:sz w:val="20"/>
                <w:szCs w:val="20"/>
              </w:rPr>
            </w:pPr>
          </w:p>
        </w:tc>
        <w:tc>
          <w:tcPr>
            <w:tcW w:w="1545" w:type="dxa"/>
          </w:tcPr>
          <w:p w14:paraId="5DDA890C" w14:textId="77777777" w:rsidR="00304074" w:rsidRDefault="00304074" w:rsidP="00304074">
            <w:pPr>
              <w:rPr>
                <w:rFonts w:cstheme="minorHAnsi"/>
                <w:sz w:val="20"/>
                <w:szCs w:val="20"/>
              </w:rPr>
            </w:pPr>
            <w:r>
              <w:rPr>
                <w:rFonts w:cstheme="minorHAnsi"/>
                <w:sz w:val="20"/>
                <w:szCs w:val="20"/>
              </w:rPr>
              <w:t>Head of HR Services</w:t>
            </w:r>
          </w:p>
          <w:p w14:paraId="23C8837A" w14:textId="77777777" w:rsidR="00304074" w:rsidRDefault="00304074" w:rsidP="00304074">
            <w:pPr>
              <w:rPr>
                <w:rFonts w:cstheme="minorHAnsi"/>
                <w:sz w:val="20"/>
                <w:szCs w:val="20"/>
              </w:rPr>
            </w:pPr>
          </w:p>
          <w:p w14:paraId="5E68AB4C" w14:textId="77777777" w:rsidR="00304074" w:rsidRDefault="00304074" w:rsidP="00304074">
            <w:pPr>
              <w:rPr>
                <w:rFonts w:cstheme="minorHAnsi"/>
                <w:sz w:val="20"/>
                <w:szCs w:val="20"/>
              </w:rPr>
            </w:pPr>
          </w:p>
          <w:p w14:paraId="02AFB844" w14:textId="77777777" w:rsidR="00304074" w:rsidRDefault="00304074" w:rsidP="00304074">
            <w:pPr>
              <w:rPr>
                <w:sz w:val="20"/>
                <w:szCs w:val="20"/>
              </w:rPr>
            </w:pPr>
          </w:p>
        </w:tc>
        <w:tc>
          <w:tcPr>
            <w:tcW w:w="2625" w:type="dxa"/>
          </w:tcPr>
          <w:p w14:paraId="2A3CC446" w14:textId="1C91367E" w:rsidR="00304074" w:rsidRPr="00537499" w:rsidRDefault="00304074" w:rsidP="00304074">
            <w:pPr>
              <w:rPr>
                <w:color w:val="FF0000"/>
                <w:sz w:val="20"/>
                <w:szCs w:val="20"/>
              </w:rPr>
            </w:pPr>
            <w:r>
              <w:rPr>
                <w:rFonts w:cstheme="minorHAnsi"/>
                <w:sz w:val="20"/>
                <w:szCs w:val="20"/>
              </w:rPr>
              <w:t>Team in post and reviews in process.  All relevant web resources/processed to be reviewed and updated.</w:t>
            </w:r>
          </w:p>
        </w:tc>
        <w:tc>
          <w:tcPr>
            <w:tcW w:w="5003" w:type="dxa"/>
          </w:tcPr>
          <w:p w14:paraId="3FD9A108" w14:textId="235A2B63" w:rsidR="00304074" w:rsidRDefault="00304074" w:rsidP="00304074">
            <w:pPr>
              <w:rPr>
                <w:sz w:val="20"/>
                <w:szCs w:val="20"/>
              </w:rPr>
            </w:pPr>
            <w:r>
              <w:rPr>
                <w:sz w:val="20"/>
                <w:szCs w:val="20"/>
              </w:rPr>
              <w:t>ONGOING: An HR Service Manager</w:t>
            </w:r>
            <w:r w:rsidR="00F8200A">
              <w:rPr>
                <w:sz w:val="20"/>
                <w:szCs w:val="20"/>
              </w:rPr>
              <w:t xml:space="preserve"> </w:t>
            </w:r>
            <w:r>
              <w:rPr>
                <w:sz w:val="20"/>
                <w:szCs w:val="20"/>
              </w:rPr>
              <w:t>is in post and working on centralised recruitment.</w:t>
            </w:r>
          </w:p>
          <w:p w14:paraId="1B039403" w14:textId="77777777" w:rsidR="00304074" w:rsidRDefault="00304074" w:rsidP="00304074">
            <w:pPr>
              <w:rPr>
                <w:sz w:val="20"/>
                <w:szCs w:val="20"/>
              </w:rPr>
            </w:pPr>
          </w:p>
          <w:p w14:paraId="73520457" w14:textId="77777777" w:rsidR="00304074" w:rsidRDefault="00304074" w:rsidP="00304074">
            <w:pPr>
              <w:rPr>
                <w:sz w:val="20"/>
                <w:szCs w:val="20"/>
              </w:rPr>
            </w:pPr>
            <w:r>
              <w:rPr>
                <w:sz w:val="20"/>
                <w:szCs w:val="20"/>
              </w:rPr>
              <w:t xml:space="preserve">To date: re academic appointments there is a new standardised approvals process and job descriptions, creation of shortlisting grids and standardised interview questions. </w:t>
            </w:r>
          </w:p>
          <w:p w14:paraId="2C7D61DC" w14:textId="77777777" w:rsidR="00304074" w:rsidRDefault="00304074" w:rsidP="00304074">
            <w:pPr>
              <w:rPr>
                <w:sz w:val="20"/>
                <w:szCs w:val="20"/>
              </w:rPr>
            </w:pPr>
          </w:p>
          <w:p w14:paraId="7842746A" w14:textId="7CE3370B" w:rsidR="00304074" w:rsidRDefault="00304074" w:rsidP="00304074">
            <w:pPr>
              <w:rPr>
                <w:sz w:val="20"/>
                <w:szCs w:val="20"/>
              </w:rPr>
            </w:pPr>
            <w:r>
              <w:rPr>
                <w:sz w:val="20"/>
                <w:szCs w:val="20"/>
              </w:rPr>
              <w:t>(</w:t>
            </w:r>
            <w:proofErr w:type="gramStart"/>
            <w:r w:rsidR="00282030">
              <w:rPr>
                <w:sz w:val="20"/>
                <w:szCs w:val="20"/>
              </w:rPr>
              <w:t>carried</w:t>
            </w:r>
            <w:proofErr w:type="gramEnd"/>
            <w:r w:rsidR="00282030">
              <w:rPr>
                <w:sz w:val="20"/>
                <w:szCs w:val="20"/>
              </w:rPr>
              <w:t xml:space="preserve"> forward from 17-19 plan.</w:t>
            </w:r>
          </w:p>
        </w:tc>
      </w:tr>
    </w:tbl>
    <w:p w14:paraId="2FA16241" w14:textId="713354F2" w:rsidR="004B59EB" w:rsidRDefault="004B59EB" w:rsidP="002A7F4E"/>
    <w:p w14:paraId="164A408F" w14:textId="77777777" w:rsidR="002C16E2" w:rsidRPr="007121E2" w:rsidRDefault="002C16E2" w:rsidP="002C16E2">
      <w:pPr>
        <w:rPr>
          <w:b/>
          <w:sz w:val="28"/>
          <w:szCs w:val="28"/>
        </w:rPr>
      </w:pPr>
      <w:r w:rsidRPr="007121E2">
        <w:rPr>
          <w:b/>
          <w:sz w:val="28"/>
          <w:szCs w:val="28"/>
        </w:rPr>
        <w:t>Principle 2: Recognition and Value</w:t>
      </w:r>
    </w:p>
    <w:p w14:paraId="594ECA23" w14:textId="399B6253" w:rsidR="002C16E2" w:rsidRDefault="002C16E2" w:rsidP="002C16E2">
      <w:r w:rsidRPr="007121E2">
        <w:rPr>
          <w:i/>
          <w:sz w:val="28"/>
          <w:szCs w:val="28"/>
        </w:rPr>
        <w:t>Researchers are recognised and valued by their employing organisation as an essential part of their organisation’s human resources and a key component of their overall strategy to develop and deliver world-class research.</w:t>
      </w:r>
    </w:p>
    <w:tbl>
      <w:tblPr>
        <w:tblStyle w:val="TableGrid"/>
        <w:tblW w:w="0" w:type="auto"/>
        <w:tblLook w:val="00A0" w:firstRow="1" w:lastRow="0" w:firstColumn="1" w:lastColumn="0" w:noHBand="0" w:noVBand="0"/>
        <w:tblCaption w:val="Principle 2: Recognition and Value"/>
        <w:tblDescription w:val="Researchers are recognised and valued by their employing organisation as an essential part of their organisation’s human resources and a key component of their overall strategy to develop and deliver world-class research.&#10;"/>
      </w:tblPr>
      <w:tblGrid>
        <w:gridCol w:w="4333"/>
        <w:gridCol w:w="1553"/>
        <w:gridCol w:w="4599"/>
        <w:gridCol w:w="3118"/>
      </w:tblGrid>
      <w:tr w:rsidR="000A55CC" w:rsidRPr="001F44CA" w14:paraId="740FD0D4" w14:textId="02B584FC" w:rsidTr="002C16E2">
        <w:trPr>
          <w:tblHeader/>
        </w:trPr>
        <w:tc>
          <w:tcPr>
            <w:tcW w:w="4333" w:type="dxa"/>
            <w:shd w:val="clear" w:color="auto" w:fill="auto"/>
          </w:tcPr>
          <w:p w14:paraId="7F8D53B6" w14:textId="300119A5" w:rsidR="000A55CC" w:rsidRPr="00B22261" w:rsidRDefault="000A55CC" w:rsidP="002A7F4E">
            <w:pPr>
              <w:rPr>
                <w:rFonts w:cstheme="minorHAnsi"/>
                <w:sz w:val="20"/>
                <w:szCs w:val="20"/>
              </w:rPr>
            </w:pPr>
            <w:r w:rsidRPr="001F44CA">
              <w:rPr>
                <w:b/>
                <w:sz w:val="20"/>
                <w:szCs w:val="20"/>
              </w:rPr>
              <w:t>Issue to be addressed</w:t>
            </w:r>
          </w:p>
        </w:tc>
        <w:tc>
          <w:tcPr>
            <w:tcW w:w="1553" w:type="dxa"/>
            <w:shd w:val="clear" w:color="auto" w:fill="auto"/>
          </w:tcPr>
          <w:p w14:paraId="5C2DB69B" w14:textId="32A17614" w:rsidR="000A55CC" w:rsidRPr="00B22261" w:rsidRDefault="000A55CC" w:rsidP="002A7F4E">
            <w:pPr>
              <w:rPr>
                <w:rFonts w:cstheme="minorHAnsi"/>
                <w:sz w:val="20"/>
                <w:szCs w:val="20"/>
              </w:rPr>
            </w:pPr>
            <w:r w:rsidRPr="001F44CA">
              <w:rPr>
                <w:b/>
                <w:sz w:val="20"/>
                <w:szCs w:val="20"/>
              </w:rPr>
              <w:t>Responsibility for action</w:t>
            </w:r>
          </w:p>
        </w:tc>
        <w:tc>
          <w:tcPr>
            <w:tcW w:w="4599" w:type="dxa"/>
            <w:shd w:val="clear" w:color="auto" w:fill="auto"/>
          </w:tcPr>
          <w:p w14:paraId="60C32DF3" w14:textId="773BBB13" w:rsidR="000A55CC" w:rsidRDefault="000A55CC" w:rsidP="002A7F4E">
            <w:pPr>
              <w:rPr>
                <w:rFonts w:cstheme="minorHAnsi"/>
                <w:sz w:val="20"/>
                <w:szCs w:val="20"/>
              </w:rPr>
            </w:pPr>
            <w:r w:rsidRPr="001F44CA">
              <w:rPr>
                <w:b/>
                <w:sz w:val="20"/>
                <w:szCs w:val="20"/>
              </w:rPr>
              <w:t>Success Criteria</w:t>
            </w:r>
          </w:p>
        </w:tc>
        <w:tc>
          <w:tcPr>
            <w:tcW w:w="3118" w:type="dxa"/>
            <w:shd w:val="clear" w:color="auto" w:fill="auto"/>
          </w:tcPr>
          <w:p w14:paraId="3AC6B4B8" w14:textId="4984B1A0" w:rsidR="000A55CC" w:rsidRPr="5618F76D" w:rsidRDefault="000A55CC" w:rsidP="002A7F4E">
            <w:pPr>
              <w:rPr>
                <w:sz w:val="20"/>
                <w:szCs w:val="20"/>
              </w:rPr>
            </w:pPr>
            <w:r w:rsidRPr="001F44CA">
              <w:rPr>
                <w:b/>
                <w:sz w:val="20"/>
                <w:szCs w:val="20"/>
              </w:rPr>
              <w:t>Timescale</w:t>
            </w:r>
          </w:p>
        </w:tc>
      </w:tr>
      <w:tr w:rsidR="000A55CC" w:rsidRPr="00E15DB7" w14:paraId="400879D5" w14:textId="18843CAD" w:rsidTr="002C16E2">
        <w:tc>
          <w:tcPr>
            <w:tcW w:w="4333" w:type="dxa"/>
          </w:tcPr>
          <w:p w14:paraId="7ABE7C95" w14:textId="3393C3B9" w:rsidR="000A55CC" w:rsidRPr="00E15DB7" w:rsidRDefault="000A55CC" w:rsidP="002A7F4E">
            <w:pPr>
              <w:rPr>
                <w:rFonts w:cstheme="minorHAnsi"/>
                <w:sz w:val="20"/>
                <w:szCs w:val="20"/>
              </w:rPr>
            </w:pPr>
            <w:r w:rsidRPr="00E15DB7">
              <w:rPr>
                <w:rFonts w:cstheme="minorHAnsi"/>
                <w:sz w:val="20"/>
                <w:szCs w:val="20"/>
              </w:rPr>
              <w:t>Ensure that</w:t>
            </w:r>
            <w:r>
              <w:rPr>
                <w:rFonts w:cstheme="minorHAnsi"/>
                <w:sz w:val="20"/>
                <w:szCs w:val="20"/>
              </w:rPr>
              <w:t xml:space="preserve"> success and effort at grant capture are recognised and celebrated by the University.</w:t>
            </w:r>
          </w:p>
        </w:tc>
        <w:tc>
          <w:tcPr>
            <w:tcW w:w="1553" w:type="dxa"/>
          </w:tcPr>
          <w:p w14:paraId="037825A2" w14:textId="13CADE9F" w:rsidR="000A55CC" w:rsidRPr="00E15DB7" w:rsidRDefault="000A55CC" w:rsidP="00BC5BFC">
            <w:pPr>
              <w:rPr>
                <w:sz w:val="20"/>
                <w:szCs w:val="20"/>
              </w:rPr>
            </w:pPr>
            <w:r>
              <w:rPr>
                <w:sz w:val="20"/>
                <w:szCs w:val="20"/>
              </w:rPr>
              <w:t>Dean RE</w:t>
            </w:r>
          </w:p>
        </w:tc>
        <w:tc>
          <w:tcPr>
            <w:tcW w:w="4599" w:type="dxa"/>
          </w:tcPr>
          <w:p w14:paraId="4F5442B4" w14:textId="71452436" w:rsidR="000A55CC" w:rsidRPr="00E15DB7" w:rsidRDefault="002B1F6D" w:rsidP="002A7F4E">
            <w:pPr>
              <w:rPr>
                <w:rFonts w:cstheme="minorHAnsi"/>
                <w:sz w:val="20"/>
                <w:szCs w:val="20"/>
              </w:rPr>
            </w:pPr>
            <w:r>
              <w:rPr>
                <w:rFonts w:cstheme="minorHAnsi"/>
                <w:sz w:val="20"/>
                <w:szCs w:val="20"/>
              </w:rPr>
              <w:t>Letters to be sent</w:t>
            </w:r>
            <w:r w:rsidR="000A55CC">
              <w:rPr>
                <w:rFonts w:cstheme="minorHAnsi"/>
                <w:sz w:val="20"/>
                <w:szCs w:val="20"/>
              </w:rPr>
              <w:t xml:space="preserve"> by Dean RE to target successes of ECR staff, and new members of staff.  Letters to be issued within 2 weeks of grant award notification.  </w:t>
            </w:r>
          </w:p>
        </w:tc>
        <w:tc>
          <w:tcPr>
            <w:tcW w:w="3118" w:type="dxa"/>
          </w:tcPr>
          <w:p w14:paraId="76EF2886" w14:textId="2C55AE4E" w:rsidR="000A55CC" w:rsidRPr="00E15DB7" w:rsidRDefault="000A55CC" w:rsidP="002A7F4E">
            <w:pPr>
              <w:rPr>
                <w:sz w:val="20"/>
                <w:szCs w:val="20"/>
              </w:rPr>
            </w:pPr>
            <w:r>
              <w:rPr>
                <w:sz w:val="20"/>
                <w:szCs w:val="20"/>
              </w:rPr>
              <w:t>To commence January 2020</w:t>
            </w:r>
          </w:p>
        </w:tc>
      </w:tr>
      <w:tr w:rsidR="000A55CC" w:rsidRPr="00E15DB7" w14:paraId="09C90EFF" w14:textId="01DBC341" w:rsidTr="002C16E2">
        <w:trPr>
          <w:trHeight w:val="77"/>
        </w:trPr>
        <w:tc>
          <w:tcPr>
            <w:tcW w:w="4333" w:type="dxa"/>
          </w:tcPr>
          <w:p w14:paraId="26859DB4" w14:textId="0CD0AB6E" w:rsidR="000A55CC" w:rsidRPr="00E15DB7" w:rsidRDefault="000A55CC" w:rsidP="002A7F4E">
            <w:pPr>
              <w:rPr>
                <w:rFonts w:cstheme="minorHAnsi"/>
                <w:sz w:val="20"/>
                <w:szCs w:val="20"/>
              </w:rPr>
            </w:pPr>
            <w:r>
              <w:rPr>
                <w:rFonts w:cstheme="minorHAnsi"/>
                <w:sz w:val="20"/>
                <w:szCs w:val="20"/>
              </w:rPr>
              <w:t xml:space="preserve">Researchers’ induction: to support new staff to understand our structure and organisation </w:t>
            </w:r>
            <w:proofErr w:type="spellStart"/>
            <w:r>
              <w:rPr>
                <w:rFonts w:cstheme="minorHAnsi"/>
                <w:sz w:val="20"/>
                <w:szCs w:val="20"/>
              </w:rPr>
              <w:t>wrt</w:t>
            </w:r>
            <w:proofErr w:type="spellEnd"/>
            <w:r>
              <w:rPr>
                <w:rFonts w:cstheme="minorHAnsi"/>
                <w:sz w:val="20"/>
                <w:szCs w:val="20"/>
              </w:rPr>
              <w:t xml:space="preserve"> research.  </w:t>
            </w:r>
          </w:p>
        </w:tc>
        <w:tc>
          <w:tcPr>
            <w:tcW w:w="1553" w:type="dxa"/>
          </w:tcPr>
          <w:p w14:paraId="4F02FB00" w14:textId="55BC1291" w:rsidR="000A55CC" w:rsidRPr="00E15DB7" w:rsidRDefault="000A55CC" w:rsidP="00BC5BFC">
            <w:pPr>
              <w:rPr>
                <w:rFonts w:cstheme="minorHAnsi"/>
                <w:sz w:val="20"/>
                <w:szCs w:val="20"/>
              </w:rPr>
            </w:pPr>
            <w:r>
              <w:rPr>
                <w:sz w:val="20"/>
                <w:szCs w:val="20"/>
              </w:rPr>
              <w:t>Dean RE, Dean IAS</w:t>
            </w:r>
          </w:p>
        </w:tc>
        <w:tc>
          <w:tcPr>
            <w:tcW w:w="4599" w:type="dxa"/>
          </w:tcPr>
          <w:p w14:paraId="4972383F" w14:textId="150015DC" w:rsidR="000A55CC" w:rsidRPr="00E15DB7" w:rsidRDefault="21C67A5E" w:rsidP="008D6BA4">
            <w:pPr>
              <w:rPr>
                <w:sz w:val="20"/>
                <w:szCs w:val="20"/>
              </w:rPr>
            </w:pPr>
            <w:r w:rsidRPr="00184453">
              <w:rPr>
                <w:sz w:val="20"/>
                <w:szCs w:val="20"/>
              </w:rPr>
              <w:t>Induction even</w:t>
            </w:r>
            <w:r w:rsidR="008D6BA4" w:rsidRPr="00184453">
              <w:rPr>
                <w:sz w:val="20"/>
                <w:szCs w:val="20"/>
              </w:rPr>
              <w:t>ts/information created specifically for research staff to run in parallel to the University-wide welcome induction events for all new staff.  The University-wide induction events will be run 3 times a year (Sept, Jan and April with approx. 60-80 participants, and will include round table discussions, lunch and a Stirling “marketplace” with key service areas represented). I</w:t>
            </w:r>
            <w:r w:rsidRPr="00184453">
              <w:rPr>
                <w:sz w:val="20"/>
                <w:szCs w:val="20"/>
              </w:rPr>
              <w:t>ncrease in positive scores for induction at CROS survey by 25%</w:t>
            </w:r>
            <w:r w:rsidR="00184453">
              <w:rPr>
                <w:sz w:val="20"/>
                <w:szCs w:val="20"/>
              </w:rPr>
              <w:t>.</w:t>
            </w:r>
          </w:p>
        </w:tc>
        <w:tc>
          <w:tcPr>
            <w:tcW w:w="3118" w:type="dxa"/>
          </w:tcPr>
          <w:p w14:paraId="59991FBC" w14:textId="283E2DB9" w:rsidR="000A55CC" w:rsidRPr="00E15DB7" w:rsidRDefault="000A55CC" w:rsidP="002A7F4E">
            <w:pPr>
              <w:rPr>
                <w:sz w:val="20"/>
                <w:szCs w:val="20"/>
              </w:rPr>
            </w:pPr>
            <w:r>
              <w:rPr>
                <w:sz w:val="20"/>
                <w:szCs w:val="20"/>
              </w:rPr>
              <w:t>First events to run from October 2020</w:t>
            </w:r>
            <w:r w:rsidR="00655913">
              <w:rPr>
                <w:sz w:val="20"/>
                <w:szCs w:val="20"/>
              </w:rPr>
              <w:t>, and then to be offered twice per academic year (April and October</w:t>
            </w:r>
            <w:r w:rsidR="00A01D96">
              <w:rPr>
                <w:sz w:val="20"/>
                <w:szCs w:val="20"/>
              </w:rPr>
              <w:t>, in line with institutional welcome events)</w:t>
            </w:r>
            <w:r>
              <w:rPr>
                <w:sz w:val="20"/>
                <w:szCs w:val="20"/>
              </w:rPr>
              <w:t>.</w:t>
            </w:r>
          </w:p>
        </w:tc>
      </w:tr>
      <w:tr w:rsidR="000A55CC" w:rsidRPr="00E15DB7" w14:paraId="045E2368" w14:textId="77777777" w:rsidTr="002C16E2">
        <w:trPr>
          <w:trHeight w:val="77"/>
        </w:trPr>
        <w:tc>
          <w:tcPr>
            <w:tcW w:w="4333" w:type="dxa"/>
          </w:tcPr>
          <w:p w14:paraId="4441F55B" w14:textId="0799845F" w:rsidR="000A55CC" w:rsidRDefault="000A55CC" w:rsidP="002A7F4E">
            <w:pPr>
              <w:rPr>
                <w:rFonts w:cstheme="minorHAnsi"/>
                <w:sz w:val="20"/>
                <w:szCs w:val="20"/>
              </w:rPr>
            </w:pPr>
            <w:r>
              <w:rPr>
                <w:rFonts w:cstheme="minorHAnsi"/>
                <w:sz w:val="20"/>
                <w:szCs w:val="20"/>
              </w:rPr>
              <w:t>To recognise the range of experience which new staff may have, and to provide appropriate support and training for those different career paths.</w:t>
            </w:r>
          </w:p>
        </w:tc>
        <w:tc>
          <w:tcPr>
            <w:tcW w:w="1553" w:type="dxa"/>
          </w:tcPr>
          <w:p w14:paraId="746B2E8C" w14:textId="5B5B1BFC" w:rsidR="000A55CC" w:rsidRDefault="000A55CC" w:rsidP="00BC5BFC">
            <w:pPr>
              <w:rPr>
                <w:sz w:val="20"/>
                <w:szCs w:val="20"/>
              </w:rPr>
            </w:pPr>
            <w:r>
              <w:rPr>
                <w:sz w:val="20"/>
                <w:szCs w:val="20"/>
              </w:rPr>
              <w:t>Dean RE, Dean IAS</w:t>
            </w:r>
          </w:p>
        </w:tc>
        <w:tc>
          <w:tcPr>
            <w:tcW w:w="4599" w:type="dxa"/>
          </w:tcPr>
          <w:p w14:paraId="4EE59E67" w14:textId="2091DEAC" w:rsidR="000A55CC" w:rsidRDefault="000A55CC" w:rsidP="00360A47">
            <w:pPr>
              <w:rPr>
                <w:rFonts w:cstheme="minorHAnsi"/>
                <w:sz w:val="20"/>
                <w:szCs w:val="20"/>
              </w:rPr>
            </w:pPr>
            <w:r w:rsidRPr="00891847">
              <w:rPr>
                <w:rFonts w:cstheme="minorHAnsi"/>
                <w:sz w:val="20"/>
                <w:szCs w:val="20"/>
              </w:rPr>
              <w:t>Events/information created, and run.  Increase in positive scor</w:t>
            </w:r>
            <w:r w:rsidR="003B445A" w:rsidRPr="00891847">
              <w:rPr>
                <w:rFonts w:cstheme="minorHAnsi"/>
                <w:sz w:val="20"/>
                <w:szCs w:val="20"/>
              </w:rPr>
              <w:t xml:space="preserve">es for induction at CROS survey </w:t>
            </w:r>
            <w:r w:rsidR="00360A47" w:rsidRPr="00891847">
              <w:rPr>
                <w:rFonts w:cstheme="minorHAnsi"/>
                <w:sz w:val="20"/>
                <w:szCs w:val="20"/>
              </w:rPr>
              <w:t xml:space="preserve">by 25% </w:t>
            </w:r>
          </w:p>
        </w:tc>
        <w:tc>
          <w:tcPr>
            <w:tcW w:w="3118" w:type="dxa"/>
          </w:tcPr>
          <w:p w14:paraId="59FAC4D6" w14:textId="3521649C" w:rsidR="000A55CC" w:rsidRDefault="000A55CC" w:rsidP="002A7F4E">
            <w:pPr>
              <w:rPr>
                <w:sz w:val="20"/>
                <w:szCs w:val="20"/>
              </w:rPr>
            </w:pPr>
            <w:r>
              <w:rPr>
                <w:sz w:val="20"/>
                <w:szCs w:val="20"/>
              </w:rPr>
              <w:t>First events to run from October 2020.</w:t>
            </w:r>
          </w:p>
        </w:tc>
      </w:tr>
      <w:tr w:rsidR="000A55CC" w:rsidRPr="00E15DB7" w14:paraId="4B0E72B2" w14:textId="77777777" w:rsidTr="002C16E2">
        <w:trPr>
          <w:trHeight w:val="77"/>
        </w:trPr>
        <w:tc>
          <w:tcPr>
            <w:tcW w:w="4333" w:type="dxa"/>
          </w:tcPr>
          <w:p w14:paraId="6CD728A0" w14:textId="18D52CE5" w:rsidR="000A55CC" w:rsidRDefault="000A55CC" w:rsidP="007600E2">
            <w:pPr>
              <w:rPr>
                <w:rFonts w:cstheme="minorHAnsi"/>
                <w:sz w:val="20"/>
                <w:szCs w:val="20"/>
              </w:rPr>
            </w:pPr>
            <w:r>
              <w:rPr>
                <w:rFonts w:cstheme="minorHAnsi"/>
                <w:sz w:val="20"/>
                <w:szCs w:val="20"/>
              </w:rPr>
              <w:lastRenderedPageBreak/>
              <w:t xml:space="preserve">To hold informal welcome lunches </w:t>
            </w:r>
            <w:r w:rsidR="007600E2">
              <w:rPr>
                <w:rFonts w:cstheme="minorHAnsi"/>
                <w:sz w:val="20"/>
                <w:szCs w:val="20"/>
              </w:rPr>
              <w:t>for new research/academic staff</w:t>
            </w:r>
            <w:r>
              <w:rPr>
                <w:rFonts w:cstheme="minorHAnsi"/>
                <w:sz w:val="20"/>
                <w:szCs w:val="20"/>
              </w:rPr>
              <w:t>.</w:t>
            </w:r>
          </w:p>
        </w:tc>
        <w:tc>
          <w:tcPr>
            <w:tcW w:w="1553" w:type="dxa"/>
          </w:tcPr>
          <w:p w14:paraId="195FCABF" w14:textId="63E5B844" w:rsidR="000A55CC" w:rsidRDefault="000A55CC" w:rsidP="00BC5BFC">
            <w:pPr>
              <w:rPr>
                <w:sz w:val="20"/>
                <w:szCs w:val="20"/>
              </w:rPr>
            </w:pPr>
            <w:r>
              <w:rPr>
                <w:sz w:val="20"/>
                <w:szCs w:val="20"/>
              </w:rPr>
              <w:t>Dean RE, Dean IAS</w:t>
            </w:r>
          </w:p>
        </w:tc>
        <w:tc>
          <w:tcPr>
            <w:tcW w:w="4599" w:type="dxa"/>
          </w:tcPr>
          <w:p w14:paraId="0AF1C1AE" w14:textId="21A142F6" w:rsidR="000A55CC" w:rsidRPr="00675186" w:rsidRDefault="000A55CC" w:rsidP="002A7F4E">
            <w:pPr>
              <w:rPr>
                <w:rFonts w:cstheme="minorHAnsi"/>
                <w:color w:val="FF0000"/>
                <w:sz w:val="20"/>
                <w:szCs w:val="20"/>
              </w:rPr>
            </w:pPr>
            <w:r>
              <w:rPr>
                <w:rFonts w:cstheme="minorHAnsi"/>
                <w:sz w:val="20"/>
                <w:szCs w:val="20"/>
              </w:rPr>
              <w:t xml:space="preserve">Regular programme </w:t>
            </w:r>
            <w:r w:rsidR="0038503F">
              <w:rPr>
                <w:rFonts w:cstheme="minorHAnsi"/>
                <w:sz w:val="20"/>
                <w:szCs w:val="20"/>
              </w:rPr>
              <w:t>of welcome lunches held, and uptake</w:t>
            </w:r>
            <w:r>
              <w:rPr>
                <w:rFonts w:cstheme="minorHAnsi"/>
                <w:sz w:val="20"/>
                <w:szCs w:val="20"/>
              </w:rPr>
              <w:t xml:space="preserve"> is 50% of new starts in relevant roles.</w:t>
            </w:r>
            <w:r w:rsidR="00675186">
              <w:rPr>
                <w:rFonts w:cstheme="minorHAnsi"/>
                <w:sz w:val="20"/>
                <w:szCs w:val="20"/>
              </w:rPr>
              <w:t xml:space="preserve"> </w:t>
            </w:r>
            <w:r w:rsidR="00675186" w:rsidRPr="00891847">
              <w:rPr>
                <w:rFonts w:cstheme="minorHAnsi"/>
                <w:sz w:val="20"/>
                <w:szCs w:val="20"/>
              </w:rPr>
              <w:t>Gather data on attendance and feedback via survey following on from welcome lunches. This feedback will serve to improve on uptake (reach) and value of welcome initiatives.</w:t>
            </w:r>
          </w:p>
        </w:tc>
        <w:tc>
          <w:tcPr>
            <w:tcW w:w="3118" w:type="dxa"/>
          </w:tcPr>
          <w:p w14:paraId="779FDDD7" w14:textId="44737D94" w:rsidR="000A55CC" w:rsidRDefault="000A55CC" w:rsidP="002A7F4E">
            <w:pPr>
              <w:rPr>
                <w:sz w:val="20"/>
                <w:szCs w:val="20"/>
              </w:rPr>
            </w:pPr>
            <w:r>
              <w:rPr>
                <w:sz w:val="20"/>
                <w:szCs w:val="20"/>
              </w:rPr>
              <w:t>To run three times per year (depending on numbers) commencing April 2020.</w:t>
            </w:r>
          </w:p>
        </w:tc>
      </w:tr>
      <w:tr w:rsidR="000A55CC" w:rsidRPr="00E15DB7" w14:paraId="4183F65F" w14:textId="77777777" w:rsidTr="002C16E2">
        <w:trPr>
          <w:trHeight w:val="77"/>
        </w:trPr>
        <w:tc>
          <w:tcPr>
            <w:tcW w:w="4333" w:type="dxa"/>
          </w:tcPr>
          <w:p w14:paraId="1D5DF06D" w14:textId="64246620" w:rsidR="000A55CC" w:rsidRPr="00A80BCC" w:rsidRDefault="000A55CC" w:rsidP="002A7F4E">
            <w:pPr>
              <w:rPr>
                <w:color w:val="1F497D"/>
                <w:sz w:val="20"/>
                <w:szCs w:val="20"/>
              </w:rPr>
            </w:pPr>
            <w:r>
              <w:rPr>
                <w:rFonts w:cstheme="minorHAnsi"/>
                <w:sz w:val="20"/>
                <w:szCs w:val="20"/>
              </w:rPr>
              <w:t xml:space="preserve">To contribute to university- level discussions on the criteria for promotion (research) to encourage consideration </w:t>
            </w:r>
            <w:r w:rsidRPr="00A80BCC">
              <w:rPr>
                <w:rFonts w:cstheme="minorHAnsi"/>
                <w:sz w:val="20"/>
                <w:szCs w:val="20"/>
              </w:rPr>
              <w:t xml:space="preserve">of </w:t>
            </w:r>
            <w:r w:rsidRPr="00A80BCC">
              <w:rPr>
                <w:sz w:val="20"/>
                <w:szCs w:val="20"/>
              </w:rPr>
              <w:t>a broadening of the promotion criteria to reward good citizenship/leadership as well as the more traditional metrics.</w:t>
            </w:r>
          </w:p>
          <w:p w14:paraId="01E7E959" w14:textId="45BAA716" w:rsidR="000A55CC" w:rsidRDefault="000A55CC" w:rsidP="002A7F4E">
            <w:pPr>
              <w:rPr>
                <w:rFonts w:cstheme="minorHAnsi"/>
                <w:sz w:val="20"/>
                <w:szCs w:val="20"/>
              </w:rPr>
            </w:pPr>
            <w:r>
              <w:rPr>
                <w:rFonts w:cstheme="minorHAnsi"/>
                <w:sz w:val="20"/>
                <w:szCs w:val="20"/>
              </w:rPr>
              <w:t xml:space="preserve"> </w:t>
            </w:r>
          </w:p>
        </w:tc>
        <w:tc>
          <w:tcPr>
            <w:tcW w:w="1553" w:type="dxa"/>
          </w:tcPr>
          <w:p w14:paraId="5FB899DC" w14:textId="1E79ED98" w:rsidR="000A55CC" w:rsidRDefault="000A55CC" w:rsidP="00BC5BFC">
            <w:pPr>
              <w:rPr>
                <w:sz w:val="20"/>
                <w:szCs w:val="20"/>
              </w:rPr>
            </w:pPr>
            <w:r>
              <w:rPr>
                <w:sz w:val="20"/>
                <w:szCs w:val="20"/>
              </w:rPr>
              <w:t>Dean RE</w:t>
            </w:r>
          </w:p>
        </w:tc>
        <w:tc>
          <w:tcPr>
            <w:tcW w:w="4599" w:type="dxa"/>
          </w:tcPr>
          <w:p w14:paraId="47F38555" w14:textId="0E53A52C" w:rsidR="000A55CC" w:rsidRDefault="00BC03ED" w:rsidP="002A7F4E">
            <w:pPr>
              <w:rPr>
                <w:rFonts w:cstheme="minorHAnsi"/>
                <w:sz w:val="20"/>
                <w:szCs w:val="20"/>
              </w:rPr>
            </w:pPr>
            <w:r>
              <w:rPr>
                <w:rFonts w:cstheme="minorHAnsi"/>
                <w:sz w:val="20"/>
                <w:szCs w:val="20"/>
              </w:rPr>
              <w:t>Included in agenda at University Research Committee, and then with AAPC.</w:t>
            </w:r>
          </w:p>
        </w:tc>
        <w:tc>
          <w:tcPr>
            <w:tcW w:w="3118" w:type="dxa"/>
          </w:tcPr>
          <w:p w14:paraId="644EE3BF" w14:textId="68F761BE" w:rsidR="000A55CC" w:rsidRDefault="00BC03ED" w:rsidP="002A7F4E">
            <w:pPr>
              <w:rPr>
                <w:sz w:val="20"/>
                <w:szCs w:val="20"/>
              </w:rPr>
            </w:pPr>
            <w:r>
              <w:rPr>
                <w:sz w:val="20"/>
                <w:szCs w:val="20"/>
              </w:rPr>
              <w:t>Research Committee:  Feb 2020, AAPC June 2020; implementation for 2020-21 round of promotion.</w:t>
            </w:r>
          </w:p>
        </w:tc>
      </w:tr>
    </w:tbl>
    <w:p w14:paraId="491C2852" w14:textId="56DC403E" w:rsidR="00E86C9F" w:rsidRDefault="00E86C9F" w:rsidP="002A7F4E"/>
    <w:p w14:paraId="78308469" w14:textId="77777777" w:rsidR="002C16E2" w:rsidRDefault="002C16E2" w:rsidP="002A7F4E"/>
    <w:p w14:paraId="22A805FC" w14:textId="19B963A6" w:rsidR="002C16E2" w:rsidRDefault="002C16E2" w:rsidP="002A7F4E">
      <w:r w:rsidRPr="007121E2">
        <w:rPr>
          <w:rFonts w:cstheme="minorHAnsi"/>
          <w:b/>
          <w:sz w:val="28"/>
          <w:szCs w:val="28"/>
        </w:rPr>
        <w:t>Principles 3 &amp; 4: Support &amp; Career Development</w:t>
      </w:r>
      <w:r w:rsidRPr="007121E2">
        <w:rPr>
          <w:rFonts w:cstheme="minorHAnsi"/>
          <w:b/>
          <w:sz w:val="28"/>
          <w:szCs w:val="28"/>
        </w:rPr>
        <w:br/>
      </w:r>
      <w:r w:rsidRPr="007121E2">
        <w:rPr>
          <w:i/>
          <w:sz w:val="28"/>
          <w:szCs w:val="28"/>
        </w:rPr>
        <w:t>Researchers are equipped and supported to be adaptable and flexible in an increasingly diverse, mobile, global research environment.  The importance of researchers’ personal and career development, and lifelong learning, is clearly recognised and promoted at all stages of their career.</w:t>
      </w:r>
    </w:p>
    <w:tbl>
      <w:tblPr>
        <w:tblStyle w:val="TableGrid"/>
        <w:tblW w:w="13603" w:type="dxa"/>
        <w:tblLook w:val="00A0" w:firstRow="1" w:lastRow="0" w:firstColumn="1" w:lastColumn="0" w:noHBand="0" w:noVBand="0"/>
        <w:tblCaption w:val="Principles 3 &amp; 4: Support &amp; Career Development"/>
        <w:tblDescription w:val="Researchers are equipped and supported to be adaptable and flexible in an increasingly diverse, mobile, global research environment.  The importance of researchers’ personal and career development, and lifelong learning, is clearly recognised and promoted at all stages of their career.&#10;"/>
      </w:tblPr>
      <w:tblGrid>
        <w:gridCol w:w="5013"/>
        <w:gridCol w:w="1684"/>
        <w:gridCol w:w="4497"/>
        <w:gridCol w:w="2409"/>
      </w:tblGrid>
      <w:tr w:rsidR="000A55CC" w:rsidRPr="001F44CA" w14:paraId="692699D8" w14:textId="14885EF1" w:rsidTr="002C16E2">
        <w:trPr>
          <w:tblHeader/>
        </w:trPr>
        <w:tc>
          <w:tcPr>
            <w:tcW w:w="5013" w:type="dxa"/>
            <w:shd w:val="clear" w:color="auto" w:fill="auto"/>
          </w:tcPr>
          <w:p w14:paraId="692A35AE" w14:textId="5441E1C4" w:rsidR="000A55CC" w:rsidRPr="00FC3133" w:rsidRDefault="000A55CC" w:rsidP="002A7F4E">
            <w:pPr>
              <w:rPr>
                <w:rFonts w:cstheme="minorHAnsi"/>
                <w:sz w:val="20"/>
                <w:szCs w:val="20"/>
              </w:rPr>
            </w:pPr>
            <w:r w:rsidRPr="001F44CA">
              <w:rPr>
                <w:b/>
                <w:sz w:val="20"/>
                <w:szCs w:val="20"/>
              </w:rPr>
              <w:t>Issue to be addressed</w:t>
            </w:r>
          </w:p>
        </w:tc>
        <w:tc>
          <w:tcPr>
            <w:tcW w:w="1684" w:type="dxa"/>
            <w:shd w:val="clear" w:color="auto" w:fill="auto"/>
          </w:tcPr>
          <w:p w14:paraId="0A120772" w14:textId="6B216E18" w:rsidR="000A55CC" w:rsidRPr="00FC3133" w:rsidRDefault="000A55CC" w:rsidP="002A7F4E">
            <w:pPr>
              <w:rPr>
                <w:rFonts w:cstheme="minorHAnsi"/>
                <w:sz w:val="20"/>
                <w:szCs w:val="20"/>
              </w:rPr>
            </w:pPr>
            <w:r w:rsidRPr="001F44CA">
              <w:rPr>
                <w:b/>
                <w:sz w:val="20"/>
                <w:szCs w:val="20"/>
              </w:rPr>
              <w:t>Responsibility for action</w:t>
            </w:r>
          </w:p>
        </w:tc>
        <w:tc>
          <w:tcPr>
            <w:tcW w:w="4497" w:type="dxa"/>
            <w:shd w:val="clear" w:color="auto" w:fill="auto"/>
          </w:tcPr>
          <w:p w14:paraId="70B44700" w14:textId="7C896D0D" w:rsidR="000A55CC" w:rsidRDefault="000A55CC" w:rsidP="002A7F4E">
            <w:pPr>
              <w:rPr>
                <w:rFonts w:cstheme="minorHAnsi"/>
                <w:sz w:val="20"/>
                <w:szCs w:val="20"/>
              </w:rPr>
            </w:pPr>
            <w:r w:rsidRPr="001F44CA">
              <w:rPr>
                <w:b/>
                <w:sz w:val="20"/>
                <w:szCs w:val="20"/>
              </w:rPr>
              <w:t>Success Criteria</w:t>
            </w:r>
          </w:p>
        </w:tc>
        <w:tc>
          <w:tcPr>
            <w:tcW w:w="2409" w:type="dxa"/>
            <w:shd w:val="clear" w:color="auto" w:fill="auto"/>
          </w:tcPr>
          <w:p w14:paraId="4F14B9BE" w14:textId="3F297FF0" w:rsidR="000A55CC" w:rsidRPr="5618F76D" w:rsidRDefault="000A55CC" w:rsidP="002A7F4E">
            <w:pPr>
              <w:rPr>
                <w:sz w:val="20"/>
                <w:szCs w:val="20"/>
              </w:rPr>
            </w:pPr>
            <w:r w:rsidRPr="001F44CA">
              <w:rPr>
                <w:b/>
                <w:sz w:val="20"/>
                <w:szCs w:val="20"/>
              </w:rPr>
              <w:t>Timescale</w:t>
            </w:r>
          </w:p>
        </w:tc>
      </w:tr>
      <w:tr w:rsidR="000A55CC" w:rsidRPr="00345F63" w14:paraId="69B2AC8F" w14:textId="2C55760A" w:rsidTr="002C16E2">
        <w:tc>
          <w:tcPr>
            <w:tcW w:w="5013" w:type="dxa"/>
          </w:tcPr>
          <w:p w14:paraId="0AE36920" w14:textId="1C3A0F9B" w:rsidR="000A55CC" w:rsidRPr="00345F63" w:rsidRDefault="000A55CC" w:rsidP="002A7F4E">
            <w:pPr>
              <w:rPr>
                <w:rFonts w:cstheme="minorHAnsi"/>
                <w:sz w:val="20"/>
                <w:szCs w:val="20"/>
              </w:rPr>
            </w:pPr>
            <w:r w:rsidRPr="00345F63">
              <w:rPr>
                <w:rFonts w:cstheme="minorHAnsi"/>
                <w:sz w:val="20"/>
                <w:szCs w:val="20"/>
              </w:rPr>
              <w:t>Develop a University Early Career Network, making use of face to face events and explore potential to use virtual networks for ongoing support</w:t>
            </w:r>
          </w:p>
        </w:tc>
        <w:tc>
          <w:tcPr>
            <w:tcW w:w="1684" w:type="dxa"/>
          </w:tcPr>
          <w:p w14:paraId="7C7F7ED1" w14:textId="570F090F" w:rsidR="000A55CC" w:rsidRPr="00345F63" w:rsidRDefault="000A55CC" w:rsidP="00BC5BFC">
            <w:pPr>
              <w:rPr>
                <w:sz w:val="20"/>
                <w:szCs w:val="20"/>
              </w:rPr>
            </w:pPr>
            <w:r w:rsidRPr="00345F63">
              <w:rPr>
                <w:sz w:val="20"/>
                <w:szCs w:val="20"/>
              </w:rPr>
              <w:t>Dean RE, Chair REWG</w:t>
            </w:r>
          </w:p>
        </w:tc>
        <w:tc>
          <w:tcPr>
            <w:tcW w:w="4497" w:type="dxa"/>
          </w:tcPr>
          <w:p w14:paraId="10F42043" w14:textId="56CDB2C2" w:rsidR="000A55CC" w:rsidRPr="00891847" w:rsidRDefault="000A55CC" w:rsidP="00F41970">
            <w:pPr>
              <w:rPr>
                <w:rFonts w:cstheme="minorHAnsi"/>
                <w:sz w:val="20"/>
                <w:szCs w:val="20"/>
              </w:rPr>
            </w:pPr>
            <w:r w:rsidRPr="00891847">
              <w:rPr>
                <w:rFonts w:cstheme="minorHAnsi"/>
                <w:sz w:val="20"/>
                <w:szCs w:val="20"/>
              </w:rPr>
              <w:t xml:space="preserve">An ECR network will be established </w:t>
            </w:r>
            <w:r w:rsidR="00F41970" w:rsidRPr="00891847">
              <w:rPr>
                <w:rFonts w:cstheme="minorHAnsi"/>
                <w:sz w:val="20"/>
                <w:szCs w:val="20"/>
              </w:rPr>
              <w:t xml:space="preserve">with a </w:t>
            </w:r>
            <w:r w:rsidR="000411EB" w:rsidRPr="00891847">
              <w:rPr>
                <w:rFonts w:cstheme="minorHAnsi"/>
                <w:sz w:val="20"/>
                <w:szCs w:val="20"/>
              </w:rPr>
              <w:t xml:space="preserve">target representation of </w:t>
            </w:r>
            <w:r w:rsidR="00810C9F" w:rsidRPr="00891847">
              <w:rPr>
                <w:rFonts w:cstheme="minorHAnsi"/>
                <w:sz w:val="20"/>
                <w:szCs w:val="20"/>
              </w:rPr>
              <w:t>20</w:t>
            </w:r>
            <w:r w:rsidR="000411EB" w:rsidRPr="00891847">
              <w:rPr>
                <w:rFonts w:cstheme="minorHAnsi"/>
                <w:sz w:val="20"/>
                <w:szCs w:val="20"/>
              </w:rPr>
              <w:t xml:space="preserve"> members</w:t>
            </w:r>
            <w:r w:rsidR="00A932B7" w:rsidRPr="00891847">
              <w:rPr>
                <w:rFonts w:cstheme="minorHAnsi"/>
                <w:sz w:val="20"/>
                <w:szCs w:val="20"/>
              </w:rPr>
              <w:t xml:space="preserve"> across</w:t>
            </w:r>
            <w:r w:rsidR="00F41970" w:rsidRPr="00891847">
              <w:rPr>
                <w:rFonts w:cstheme="minorHAnsi"/>
                <w:sz w:val="20"/>
                <w:szCs w:val="20"/>
              </w:rPr>
              <w:t xml:space="preserve"> </w:t>
            </w:r>
            <w:r w:rsidR="00A932B7" w:rsidRPr="00891847">
              <w:rPr>
                <w:rFonts w:cstheme="minorHAnsi"/>
                <w:sz w:val="20"/>
                <w:szCs w:val="20"/>
              </w:rPr>
              <w:t>our 5 Faculties</w:t>
            </w:r>
            <w:r w:rsidR="00F41970" w:rsidRPr="00891847">
              <w:rPr>
                <w:rFonts w:cstheme="minorHAnsi"/>
                <w:sz w:val="20"/>
                <w:szCs w:val="20"/>
              </w:rPr>
              <w:t xml:space="preserve">. Setting up of </w:t>
            </w:r>
            <w:r w:rsidRPr="00891847">
              <w:rPr>
                <w:rFonts w:cstheme="minorHAnsi"/>
                <w:sz w:val="20"/>
                <w:szCs w:val="20"/>
              </w:rPr>
              <w:t>virtual networks</w:t>
            </w:r>
            <w:r w:rsidR="00F41970" w:rsidRPr="00891847">
              <w:rPr>
                <w:rFonts w:cstheme="minorHAnsi"/>
                <w:sz w:val="20"/>
                <w:szCs w:val="20"/>
              </w:rPr>
              <w:t xml:space="preserve"> as a repository of relevant resources (</w:t>
            </w:r>
            <w:proofErr w:type="spellStart"/>
            <w:r w:rsidR="00F41970" w:rsidRPr="00891847">
              <w:rPr>
                <w:rFonts w:cstheme="minorHAnsi"/>
                <w:sz w:val="20"/>
                <w:szCs w:val="20"/>
              </w:rPr>
              <w:t>eg</w:t>
            </w:r>
            <w:proofErr w:type="spellEnd"/>
            <w:r w:rsidR="00F41970" w:rsidRPr="00891847">
              <w:rPr>
                <w:rFonts w:cstheme="minorHAnsi"/>
                <w:sz w:val="20"/>
                <w:szCs w:val="20"/>
              </w:rPr>
              <w:t xml:space="preserve"> </w:t>
            </w:r>
            <w:r w:rsidR="004F3E5E" w:rsidRPr="00891847">
              <w:rPr>
                <w:rFonts w:cstheme="minorHAnsi"/>
                <w:sz w:val="20"/>
                <w:szCs w:val="20"/>
              </w:rPr>
              <w:t xml:space="preserve">use of MS Teams to inform of targeted </w:t>
            </w:r>
            <w:r w:rsidR="00F41970" w:rsidRPr="00891847">
              <w:rPr>
                <w:rFonts w:cstheme="minorHAnsi"/>
                <w:sz w:val="20"/>
                <w:szCs w:val="20"/>
              </w:rPr>
              <w:t>funding opportunities, training/events available</w:t>
            </w:r>
            <w:r w:rsidR="004F3E5E" w:rsidRPr="00891847">
              <w:rPr>
                <w:rFonts w:cstheme="minorHAnsi"/>
                <w:sz w:val="20"/>
                <w:szCs w:val="20"/>
              </w:rPr>
              <w:t xml:space="preserve"> as well as using Canvas – internal staff resource for training information</w:t>
            </w:r>
            <w:r w:rsidR="00F41970" w:rsidRPr="00891847">
              <w:rPr>
                <w:rFonts w:cstheme="minorHAnsi"/>
                <w:sz w:val="20"/>
                <w:szCs w:val="20"/>
              </w:rPr>
              <w:t>)</w:t>
            </w:r>
            <w:r w:rsidR="00675186" w:rsidRPr="00891847">
              <w:rPr>
                <w:rFonts w:cstheme="minorHAnsi"/>
                <w:sz w:val="20"/>
                <w:szCs w:val="20"/>
              </w:rPr>
              <w:t>. Focus groups arranged with each Faculty to understand development needs and any obstacle to undertaking train</w:t>
            </w:r>
            <w:r w:rsidR="00891847">
              <w:rPr>
                <w:rFonts w:cstheme="minorHAnsi"/>
                <w:sz w:val="20"/>
                <w:szCs w:val="20"/>
              </w:rPr>
              <w:t>i</w:t>
            </w:r>
            <w:r w:rsidR="00675186" w:rsidRPr="00891847">
              <w:rPr>
                <w:rFonts w:cstheme="minorHAnsi"/>
                <w:sz w:val="20"/>
                <w:szCs w:val="20"/>
              </w:rPr>
              <w:t>ng opportunities.</w:t>
            </w:r>
          </w:p>
        </w:tc>
        <w:tc>
          <w:tcPr>
            <w:tcW w:w="2409" w:type="dxa"/>
          </w:tcPr>
          <w:p w14:paraId="56680B5D" w14:textId="7A2C47CB" w:rsidR="000A55CC" w:rsidRPr="00891847" w:rsidRDefault="00675186" w:rsidP="002A7F4E">
            <w:pPr>
              <w:rPr>
                <w:sz w:val="20"/>
                <w:szCs w:val="20"/>
              </w:rPr>
            </w:pPr>
            <w:r w:rsidRPr="00891847">
              <w:rPr>
                <w:sz w:val="20"/>
                <w:szCs w:val="20"/>
              </w:rPr>
              <w:t xml:space="preserve">Network </w:t>
            </w:r>
            <w:r w:rsidR="000A55CC" w:rsidRPr="00891847">
              <w:rPr>
                <w:sz w:val="20"/>
                <w:szCs w:val="20"/>
              </w:rPr>
              <w:t>Commencing February 2020</w:t>
            </w:r>
            <w:r w:rsidRPr="00891847">
              <w:rPr>
                <w:sz w:val="20"/>
                <w:szCs w:val="20"/>
              </w:rPr>
              <w:t>, Focus groups April 2020</w:t>
            </w:r>
          </w:p>
        </w:tc>
      </w:tr>
      <w:tr w:rsidR="000A55CC" w:rsidRPr="001F44CA" w14:paraId="0DB1F0CC" w14:textId="16377F97" w:rsidTr="002C16E2">
        <w:tc>
          <w:tcPr>
            <w:tcW w:w="5013" w:type="dxa"/>
          </w:tcPr>
          <w:p w14:paraId="25887FC9" w14:textId="38CF5190" w:rsidR="000A55CC" w:rsidRPr="00FC3133" w:rsidRDefault="000A55CC" w:rsidP="002A7F4E">
            <w:pPr>
              <w:rPr>
                <w:rFonts w:cstheme="minorHAnsi"/>
                <w:sz w:val="20"/>
                <w:szCs w:val="20"/>
              </w:rPr>
            </w:pPr>
            <w:r>
              <w:rPr>
                <w:rFonts w:cstheme="minorHAnsi"/>
                <w:sz w:val="20"/>
                <w:szCs w:val="20"/>
              </w:rPr>
              <w:lastRenderedPageBreak/>
              <w:t>Increase awareness and collaboration between staff within own Faculties about the research activities of their peers through use of engaging activities (e.g. Speed dating) as part of each Faculties Away Day in 2020</w:t>
            </w:r>
          </w:p>
        </w:tc>
        <w:tc>
          <w:tcPr>
            <w:tcW w:w="1684" w:type="dxa"/>
          </w:tcPr>
          <w:p w14:paraId="38658B6A" w14:textId="0EC9EA29" w:rsidR="000A55CC" w:rsidRPr="001F44CA" w:rsidRDefault="000A55CC" w:rsidP="002A7F4E">
            <w:pPr>
              <w:rPr>
                <w:sz w:val="20"/>
                <w:szCs w:val="20"/>
              </w:rPr>
            </w:pPr>
            <w:r>
              <w:rPr>
                <w:sz w:val="20"/>
                <w:szCs w:val="20"/>
              </w:rPr>
              <w:t>Chair REWG</w:t>
            </w:r>
          </w:p>
        </w:tc>
        <w:tc>
          <w:tcPr>
            <w:tcW w:w="4497" w:type="dxa"/>
          </w:tcPr>
          <w:p w14:paraId="32F58CE6" w14:textId="7968CE64" w:rsidR="000A55CC" w:rsidRPr="00891847" w:rsidRDefault="000A55CC" w:rsidP="00A37CD3">
            <w:pPr>
              <w:rPr>
                <w:rFonts w:cstheme="minorHAnsi"/>
                <w:sz w:val="20"/>
                <w:szCs w:val="20"/>
                <w:highlight w:val="yellow"/>
              </w:rPr>
            </w:pPr>
            <w:r w:rsidRPr="00A37CD3">
              <w:rPr>
                <w:rFonts w:cstheme="minorHAnsi"/>
                <w:sz w:val="20"/>
                <w:szCs w:val="20"/>
              </w:rPr>
              <w:t xml:space="preserve">The REWG will offer to deliver a session </w:t>
            </w:r>
            <w:r w:rsidR="00007518" w:rsidRPr="00A37CD3">
              <w:rPr>
                <w:rFonts w:cstheme="minorHAnsi"/>
                <w:sz w:val="20"/>
                <w:szCs w:val="20"/>
              </w:rPr>
              <w:t>during the Faculty away days in 2020 to increase research awareness and collaboration</w:t>
            </w:r>
            <w:r w:rsidR="00007518" w:rsidRPr="007B3E6E">
              <w:rPr>
                <w:rFonts w:cstheme="minorHAnsi"/>
                <w:sz w:val="20"/>
                <w:szCs w:val="20"/>
              </w:rPr>
              <w:t xml:space="preserve">. </w:t>
            </w:r>
            <w:r w:rsidR="00007518" w:rsidRPr="00891847">
              <w:rPr>
                <w:rFonts w:cstheme="minorHAnsi"/>
                <w:sz w:val="20"/>
                <w:szCs w:val="20"/>
              </w:rPr>
              <w:t xml:space="preserve">The sessions </w:t>
            </w:r>
            <w:r w:rsidR="00A37CD3" w:rsidRPr="00891847">
              <w:rPr>
                <w:rFonts w:cstheme="minorHAnsi"/>
                <w:sz w:val="20"/>
                <w:szCs w:val="20"/>
              </w:rPr>
              <w:t xml:space="preserve">will </w:t>
            </w:r>
            <w:r w:rsidR="00007518" w:rsidRPr="00891847">
              <w:rPr>
                <w:rFonts w:cstheme="minorHAnsi"/>
                <w:sz w:val="20"/>
                <w:szCs w:val="20"/>
              </w:rPr>
              <w:t xml:space="preserve">start with the Faculty of Social Sciences away day in June 2020 and with other Faculties as dates are confirmed. </w:t>
            </w:r>
          </w:p>
        </w:tc>
        <w:tc>
          <w:tcPr>
            <w:tcW w:w="2409" w:type="dxa"/>
          </w:tcPr>
          <w:p w14:paraId="175DC153" w14:textId="21848758" w:rsidR="000A55CC" w:rsidRPr="001F44CA" w:rsidRDefault="000A55CC" w:rsidP="002A7F4E">
            <w:pPr>
              <w:rPr>
                <w:sz w:val="20"/>
                <w:szCs w:val="20"/>
              </w:rPr>
            </w:pPr>
            <w:r w:rsidRPr="005341F2">
              <w:rPr>
                <w:sz w:val="20"/>
                <w:szCs w:val="20"/>
              </w:rPr>
              <w:t>Faculty away-day dates during 2020 (currently TBC).</w:t>
            </w:r>
          </w:p>
        </w:tc>
      </w:tr>
      <w:tr w:rsidR="00AC3F01" w:rsidRPr="001F44CA" w14:paraId="324CA5DD" w14:textId="77777777" w:rsidTr="002C16E2">
        <w:tc>
          <w:tcPr>
            <w:tcW w:w="5013" w:type="dxa"/>
          </w:tcPr>
          <w:p w14:paraId="7EE70C34" w14:textId="1FAB247B" w:rsidR="00AC3F01" w:rsidRDefault="00AC3F01" w:rsidP="002A7F4E">
            <w:pPr>
              <w:rPr>
                <w:rFonts w:cstheme="minorHAnsi"/>
                <w:sz w:val="20"/>
                <w:szCs w:val="20"/>
              </w:rPr>
            </w:pPr>
            <w:r>
              <w:rPr>
                <w:rFonts w:cstheme="minorHAnsi"/>
                <w:sz w:val="20"/>
                <w:szCs w:val="20"/>
              </w:rPr>
              <w:t>Promotion of interdisciplinary connections across the institution:  a series of informal lunchtime events to bring colleagues together in a central space, to facilitate conversations and creation of new connections.</w:t>
            </w:r>
          </w:p>
        </w:tc>
        <w:tc>
          <w:tcPr>
            <w:tcW w:w="1684" w:type="dxa"/>
          </w:tcPr>
          <w:p w14:paraId="00CC21B4" w14:textId="0E2A7606" w:rsidR="00AC3F01" w:rsidRPr="001C6FDD" w:rsidRDefault="00AC3F01" w:rsidP="00BC5BFC">
            <w:pPr>
              <w:rPr>
                <w:sz w:val="20"/>
                <w:szCs w:val="20"/>
              </w:rPr>
            </w:pPr>
            <w:r>
              <w:rPr>
                <w:sz w:val="20"/>
                <w:szCs w:val="20"/>
              </w:rPr>
              <w:t>Dear RE, Chair REWG</w:t>
            </w:r>
          </w:p>
        </w:tc>
        <w:tc>
          <w:tcPr>
            <w:tcW w:w="4497" w:type="dxa"/>
          </w:tcPr>
          <w:p w14:paraId="32359EC7" w14:textId="0619FBBD" w:rsidR="00AC3F01" w:rsidRDefault="00AC3F01" w:rsidP="002A7F4E">
            <w:pPr>
              <w:rPr>
                <w:rFonts w:cstheme="minorHAnsi"/>
                <w:sz w:val="20"/>
                <w:szCs w:val="20"/>
              </w:rPr>
            </w:pPr>
            <w:r>
              <w:rPr>
                <w:rFonts w:cstheme="minorHAnsi"/>
                <w:sz w:val="20"/>
                <w:szCs w:val="20"/>
              </w:rPr>
              <w:t xml:space="preserve">To hold 4 events per AY.  Attendance to be 10+ at each event, with a range of disciplines. </w:t>
            </w:r>
          </w:p>
        </w:tc>
        <w:tc>
          <w:tcPr>
            <w:tcW w:w="2409" w:type="dxa"/>
          </w:tcPr>
          <w:p w14:paraId="4E190E76" w14:textId="2ED92151" w:rsidR="00AC3F01" w:rsidRDefault="00AC3F01" w:rsidP="002A7F4E">
            <w:pPr>
              <w:rPr>
                <w:sz w:val="20"/>
                <w:szCs w:val="20"/>
              </w:rPr>
            </w:pPr>
            <w:r>
              <w:rPr>
                <w:sz w:val="20"/>
                <w:szCs w:val="20"/>
              </w:rPr>
              <w:t>Plan of events created, with note of expected outcomes, publicised in February 2020.</w:t>
            </w:r>
            <w:r>
              <w:rPr>
                <w:sz w:val="20"/>
                <w:szCs w:val="20"/>
              </w:rPr>
              <w:br/>
              <w:t>First event to run in Semester 2 (March/April), 2019-20. Then to run regularly.</w:t>
            </w:r>
          </w:p>
        </w:tc>
      </w:tr>
      <w:tr w:rsidR="000A55CC" w:rsidRPr="001F44CA" w14:paraId="2F4B6A86" w14:textId="77777777" w:rsidTr="002C16E2">
        <w:tc>
          <w:tcPr>
            <w:tcW w:w="5013" w:type="dxa"/>
          </w:tcPr>
          <w:p w14:paraId="512CEAF9" w14:textId="3E801523" w:rsidR="000A55CC" w:rsidRDefault="000A55CC" w:rsidP="002A7F4E">
            <w:pPr>
              <w:rPr>
                <w:rFonts w:cstheme="minorHAnsi"/>
                <w:sz w:val="20"/>
                <w:szCs w:val="20"/>
              </w:rPr>
            </w:pPr>
            <w:r>
              <w:rPr>
                <w:rFonts w:cstheme="minorHAnsi"/>
                <w:sz w:val="20"/>
                <w:szCs w:val="20"/>
              </w:rPr>
              <w:t>Support is required for senior research colleagues to share learning and explore how to strengthen research teams and capacity build for future research generations.  We will hold three University wide “Professorial Colloquia” that will bring professorial staff form across the University to share best practice, develop research teams, and build capacity of early career researchers.</w:t>
            </w:r>
          </w:p>
        </w:tc>
        <w:tc>
          <w:tcPr>
            <w:tcW w:w="1684" w:type="dxa"/>
          </w:tcPr>
          <w:p w14:paraId="433F32BD" w14:textId="599AF7EE" w:rsidR="000A55CC" w:rsidRDefault="000A55CC" w:rsidP="00BC5BFC">
            <w:pPr>
              <w:rPr>
                <w:sz w:val="20"/>
                <w:szCs w:val="20"/>
              </w:rPr>
            </w:pPr>
            <w:r w:rsidRPr="001C6FDD">
              <w:rPr>
                <w:sz w:val="20"/>
                <w:szCs w:val="20"/>
              </w:rPr>
              <w:t>Dean RE, Chair REWG</w:t>
            </w:r>
          </w:p>
        </w:tc>
        <w:tc>
          <w:tcPr>
            <w:tcW w:w="4497" w:type="dxa"/>
          </w:tcPr>
          <w:p w14:paraId="6A8A6628" w14:textId="661901D0" w:rsidR="000A55CC" w:rsidRPr="00007C55" w:rsidRDefault="000A55CC" w:rsidP="002A7F4E">
            <w:pPr>
              <w:rPr>
                <w:rFonts w:cstheme="minorHAnsi"/>
                <w:sz w:val="20"/>
                <w:szCs w:val="20"/>
              </w:rPr>
            </w:pPr>
            <w:r w:rsidRPr="00746B84">
              <w:rPr>
                <w:rFonts w:cstheme="minorHAnsi"/>
                <w:sz w:val="20"/>
                <w:szCs w:val="20"/>
              </w:rPr>
              <w:t>Three professorial research colloquia will be held during 2020</w:t>
            </w:r>
          </w:p>
        </w:tc>
        <w:tc>
          <w:tcPr>
            <w:tcW w:w="2409" w:type="dxa"/>
          </w:tcPr>
          <w:p w14:paraId="5A7E0324" w14:textId="5D360D6F" w:rsidR="000A55CC" w:rsidRDefault="007600E2" w:rsidP="007600E2">
            <w:pPr>
              <w:rPr>
                <w:sz w:val="20"/>
                <w:szCs w:val="20"/>
              </w:rPr>
            </w:pPr>
            <w:r>
              <w:rPr>
                <w:sz w:val="20"/>
                <w:szCs w:val="20"/>
              </w:rPr>
              <w:t>December and June of each year.</w:t>
            </w:r>
          </w:p>
        </w:tc>
      </w:tr>
      <w:tr w:rsidR="00304074" w:rsidRPr="001F44CA" w14:paraId="4DE80FFA" w14:textId="3A3C788F" w:rsidTr="002C16E2">
        <w:tc>
          <w:tcPr>
            <w:tcW w:w="5013" w:type="dxa"/>
          </w:tcPr>
          <w:p w14:paraId="7360785F" w14:textId="77777777" w:rsidR="00304074" w:rsidRPr="00FC3133" w:rsidRDefault="00304074" w:rsidP="00304074">
            <w:pPr>
              <w:rPr>
                <w:rFonts w:cstheme="minorHAnsi"/>
                <w:sz w:val="20"/>
                <w:szCs w:val="20"/>
              </w:rPr>
            </w:pPr>
            <w:r w:rsidRPr="00FC3133">
              <w:rPr>
                <w:rFonts w:cstheme="minorHAnsi"/>
                <w:sz w:val="20"/>
                <w:szCs w:val="20"/>
              </w:rPr>
              <w:t>Creation of resource for new PIs.</w:t>
            </w:r>
          </w:p>
          <w:p w14:paraId="42F45A2E" w14:textId="56F6C50E" w:rsidR="00304074" w:rsidRDefault="00304074" w:rsidP="00304074">
            <w:pPr>
              <w:rPr>
                <w:rFonts w:cstheme="minorHAnsi"/>
                <w:sz w:val="20"/>
                <w:szCs w:val="20"/>
              </w:rPr>
            </w:pPr>
            <w:r w:rsidRPr="00FC3133">
              <w:rPr>
                <w:rFonts w:cstheme="minorHAnsi"/>
                <w:sz w:val="20"/>
                <w:szCs w:val="20"/>
              </w:rPr>
              <w:t>We intend to create a new session to support PIs/research leaders in the institution.  This would take the form of face-to-face training, to cover a range of relevant topics (finances, recruitment, governance) as well as having some ‘case study’ sessions with current PIs to allow for discussion on a wide</w:t>
            </w:r>
            <w:r>
              <w:rPr>
                <w:rFonts w:cstheme="minorHAnsi"/>
                <w:sz w:val="20"/>
                <w:szCs w:val="20"/>
              </w:rPr>
              <w:t>r</w:t>
            </w:r>
            <w:r w:rsidRPr="00FC3133">
              <w:rPr>
                <w:rFonts w:cstheme="minorHAnsi"/>
                <w:sz w:val="20"/>
                <w:szCs w:val="20"/>
              </w:rPr>
              <w:t xml:space="preserve"> range of issues.</w:t>
            </w:r>
          </w:p>
        </w:tc>
        <w:tc>
          <w:tcPr>
            <w:tcW w:w="1684" w:type="dxa"/>
          </w:tcPr>
          <w:p w14:paraId="333479FE" w14:textId="53F27D55" w:rsidR="00304074" w:rsidRPr="001C6FDD" w:rsidRDefault="00304074" w:rsidP="00304074">
            <w:pPr>
              <w:rPr>
                <w:sz w:val="20"/>
                <w:szCs w:val="20"/>
              </w:rPr>
            </w:pPr>
            <w:r w:rsidRPr="00FC3133">
              <w:rPr>
                <w:rFonts w:cstheme="minorHAnsi"/>
                <w:sz w:val="20"/>
                <w:szCs w:val="20"/>
              </w:rPr>
              <w:t xml:space="preserve">Chair of </w:t>
            </w:r>
            <w:r>
              <w:rPr>
                <w:rFonts w:cstheme="minorHAnsi"/>
                <w:sz w:val="20"/>
                <w:szCs w:val="20"/>
              </w:rPr>
              <w:t>REWG</w:t>
            </w:r>
          </w:p>
        </w:tc>
        <w:tc>
          <w:tcPr>
            <w:tcW w:w="4497" w:type="dxa"/>
          </w:tcPr>
          <w:p w14:paraId="18BEF827" w14:textId="2FAA91AA" w:rsidR="00304074" w:rsidRPr="00FC3133" w:rsidRDefault="00304074" w:rsidP="00304074">
            <w:pPr>
              <w:rPr>
                <w:rFonts w:cstheme="minorHAnsi"/>
                <w:sz w:val="20"/>
                <w:szCs w:val="20"/>
              </w:rPr>
            </w:pPr>
            <w:r>
              <w:rPr>
                <w:rFonts w:cstheme="minorHAnsi"/>
                <w:sz w:val="20"/>
                <w:szCs w:val="20"/>
              </w:rPr>
              <w:t>Handbook produced, events held, p</w:t>
            </w:r>
            <w:r w:rsidRPr="00FC3133">
              <w:rPr>
                <w:rFonts w:cstheme="minorHAnsi"/>
                <w:sz w:val="20"/>
                <w:szCs w:val="20"/>
              </w:rPr>
              <w:t>ositive feedback following the event, and registrations for future events.</w:t>
            </w:r>
          </w:p>
          <w:p w14:paraId="7142B493" w14:textId="77777777" w:rsidR="00304074" w:rsidRPr="00FC3133" w:rsidRDefault="00304074" w:rsidP="00304074">
            <w:pPr>
              <w:rPr>
                <w:rFonts w:cstheme="minorHAnsi"/>
                <w:sz w:val="20"/>
                <w:szCs w:val="20"/>
              </w:rPr>
            </w:pPr>
          </w:p>
          <w:p w14:paraId="7F38D299" w14:textId="77777777" w:rsidR="00304074" w:rsidRDefault="00304074" w:rsidP="00304074">
            <w:pPr>
              <w:rPr>
                <w:rFonts w:cstheme="minorHAnsi"/>
                <w:sz w:val="20"/>
                <w:szCs w:val="20"/>
              </w:rPr>
            </w:pPr>
          </w:p>
        </w:tc>
        <w:tc>
          <w:tcPr>
            <w:tcW w:w="2409" w:type="dxa"/>
          </w:tcPr>
          <w:p w14:paraId="2223201C" w14:textId="77777777" w:rsidR="00304074" w:rsidRDefault="00304074" w:rsidP="00304074">
            <w:pPr>
              <w:rPr>
                <w:sz w:val="20"/>
                <w:szCs w:val="20"/>
              </w:rPr>
            </w:pPr>
            <w:r>
              <w:rPr>
                <w:sz w:val="20"/>
                <w:szCs w:val="20"/>
              </w:rPr>
              <w:t xml:space="preserve">Carried forward from 2017-19 plan, </w:t>
            </w:r>
          </w:p>
          <w:p w14:paraId="6CD88E2E" w14:textId="77777777" w:rsidR="00304074" w:rsidRDefault="00304074" w:rsidP="00304074">
            <w:pPr>
              <w:rPr>
                <w:sz w:val="20"/>
                <w:szCs w:val="20"/>
              </w:rPr>
            </w:pPr>
            <w:r>
              <w:rPr>
                <w:sz w:val="20"/>
                <w:szCs w:val="20"/>
              </w:rPr>
              <w:t>Will be led in collaboration with IAS.</w:t>
            </w:r>
          </w:p>
          <w:p w14:paraId="76BC9FE6" w14:textId="77777777" w:rsidR="00304074" w:rsidRDefault="00304074" w:rsidP="00304074">
            <w:pPr>
              <w:rPr>
                <w:sz w:val="20"/>
                <w:szCs w:val="20"/>
              </w:rPr>
            </w:pPr>
          </w:p>
          <w:p w14:paraId="1C1BB265" w14:textId="0B1E3C98" w:rsidR="00304074" w:rsidRDefault="00304074" w:rsidP="00304074">
            <w:pPr>
              <w:rPr>
                <w:sz w:val="20"/>
                <w:szCs w:val="20"/>
              </w:rPr>
            </w:pPr>
            <w:r>
              <w:rPr>
                <w:sz w:val="20"/>
                <w:szCs w:val="20"/>
              </w:rPr>
              <w:t>PI Handbook to be produced by October 2020.</w:t>
            </w:r>
          </w:p>
          <w:p w14:paraId="41F422CE" w14:textId="6C0360CA" w:rsidR="00304074" w:rsidRDefault="00304074" w:rsidP="00304074">
            <w:pPr>
              <w:rPr>
                <w:sz w:val="20"/>
                <w:szCs w:val="20"/>
              </w:rPr>
            </w:pPr>
            <w:r>
              <w:rPr>
                <w:sz w:val="20"/>
                <w:szCs w:val="20"/>
              </w:rPr>
              <w:t>Events to run from June 2020 – Dec 2020.</w:t>
            </w:r>
          </w:p>
        </w:tc>
      </w:tr>
      <w:tr w:rsidR="00304074" w:rsidRPr="001F44CA" w14:paraId="6845CF01" w14:textId="444729FD" w:rsidTr="002C16E2">
        <w:tc>
          <w:tcPr>
            <w:tcW w:w="5013" w:type="dxa"/>
          </w:tcPr>
          <w:p w14:paraId="283AB6D0" w14:textId="6994E99D" w:rsidR="00304074" w:rsidRPr="00FC3133" w:rsidRDefault="00304074" w:rsidP="00304074">
            <w:pPr>
              <w:rPr>
                <w:rFonts w:cstheme="minorHAnsi"/>
                <w:sz w:val="20"/>
                <w:szCs w:val="20"/>
              </w:rPr>
            </w:pPr>
            <w:r>
              <w:rPr>
                <w:rFonts w:cstheme="minorHAnsi"/>
                <w:sz w:val="20"/>
                <w:szCs w:val="20"/>
              </w:rPr>
              <w:t xml:space="preserve">To gather data on numbers of research staff on multiple concurrent contracts, and assess any impact on ability to </w:t>
            </w:r>
            <w:r>
              <w:rPr>
                <w:rFonts w:cstheme="minorHAnsi"/>
                <w:sz w:val="20"/>
                <w:szCs w:val="20"/>
              </w:rPr>
              <w:lastRenderedPageBreak/>
              <w:t>access development opportunities, or on career progression.</w:t>
            </w:r>
          </w:p>
        </w:tc>
        <w:tc>
          <w:tcPr>
            <w:tcW w:w="1684" w:type="dxa"/>
          </w:tcPr>
          <w:p w14:paraId="6F842160" w14:textId="6356C57B" w:rsidR="00304074" w:rsidRPr="00FC3133" w:rsidRDefault="00304074" w:rsidP="00304074">
            <w:pPr>
              <w:rPr>
                <w:rFonts w:cstheme="minorHAnsi"/>
                <w:sz w:val="20"/>
                <w:szCs w:val="20"/>
              </w:rPr>
            </w:pPr>
            <w:r>
              <w:rPr>
                <w:rFonts w:cstheme="minorHAnsi"/>
                <w:sz w:val="20"/>
                <w:szCs w:val="20"/>
              </w:rPr>
              <w:lastRenderedPageBreak/>
              <w:t>Chair REWG</w:t>
            </w:r>
          </w:p>
        </w:tc>
        <w:tc>
          <w:tcPr>
            <w:tcW w:w="4497" w:type="dxa"/>
          </w:tcPr>
          <w:p w14:paraId="3B015B95" w14:textId="1A1DB200" w:rsidR="00304074" w:rsidRPr="00110500" w:rsidRDefault="00304074" w:rsidP="00C74EDA">
            <w:pPr>
              <w:rPr>
                <w:rFonts w:cstheme="minorHAnsi"/>
                <w:sz w:val="20"/>
                <w:szCs w:val="20"/>
                <w:highlight w:val="yellow"/>
              </w:rPr>
            </w:pPr>
            <w:r w:rsidRPr="003C3BC2">
              <w:rPr>
                <w:rFonts w:cstheme="minorHAnsi"/>
                <w:sz w:val="20"/>
                <w:szCs w:val="20"/>
              </w:rPr>
              <w:t>Data gathered</w:t>
            </w:r>
            <w:r w:rsidR="00C74EDA">
              <w:rPr>
                <w:rFonts w:cstheme="minorHAnsi"/>
                <w:sz w:val="20"/>
                <w:szCs w:val="20"/>
              </w:rPr>
              <w:t xml:space="preserve"> </w:t>
            </w:r>
            <w:proofErr w:type="gramStart"/>
            <w:r w:rsidR="00C74EDA">
              <w:rPr>
                <w:rFonts w:cstheme="minorHAnsi"/>
                <w:sz w:val="20"/>
                <w:szCs w:val="20"/>
              </w:rPr>
              <w:t xml:space="preserve">and </w:t>
            </w:r>
            <w:r w:rsidR="00891847">
              <w:rPr>
                <w:rFonts w:cstheme="minorHAnsi"/>
                <w:sz w:val="20"/>
                <w:szCs w:val="20"/>
              </w:rPr>
              <w:t xml:space="preserve"> </w:t>
            </w:r>
            <w:r w:rsidRPr="003C3BC2">
              <w:rPr>
                <w:rFonts w:cstheme="minorHAnsi"/>
                <w:sz w:val="20"/>
                <w:szCs w:val="20"/>
              </w:rPr>
              <w:t>analysis</w:t>
            </w:r>
            <w:proofErr w:type="gramEnd"/>
            <w:r w:rsidR="00891847">
              <w:rPr>
                <w:rFonts w:cstheme="minorHAnsi"/>
                <w:sz w:val="20"/>
                <w:szCs w:val="20"/>
              </w:rPr>
              <w:t xml:space="preserve"> </w:t>
            </w:r>
            <w:r w:rsidRPr="003C3BC2">
              <w:rPr>
                <w:rFonts w:cstheme="minorHAnsi"/>
                <w:sz w:val="20"/>
                <w:szCs w:val="20"/>
              </w:rPr>
              <w:t>carried out.</w:t>
            </w:r>
            <w:r w:rsidR="003C3BC2">
              <w:rPr>
                <w:rFonts w:cstheme="minorHAnsi"/>
                <w:sz w:val="20"/>
                <w:szCs w:val="20"/>
              </w:rPr>
              <w:t xml:space="preserve"> </w:t>
            </w:r>
          </w:p>
        </w:tc>
        <w:tc>
          <w:tcPr>
            <w:tcW w:w="2409" w:type="dxa"/>
          </w:tcPr>
          <w:p w14:paraId="085FB778" w14:textId="290068E5" w:rsidR="00304074" w:rsidRDefault="00304074" w:rsidP="00304074">
            <w:pPr>
              <w:rPr>
                <w:rFonts w:cstheme="minorHAnsi"/>
                <w:sz w:val="20"/>
                <w:szCs w:val="20"/>
              </w:rPr>
            </w:pPr>
            <w:r>
              <w:rPr>
                <w:rFonts w:cstheme="minorHAnsi"/>
                <w:sz w:val="20"/>
                <w:szCs w:val="20"/>
              </w:rPr>
              <w:t>Carried forward from 2017-19 plan.</w:t>
            </w:r>
          </w:p>
          <w:p w14:paraId="543F91DD" w14:textId="77777777" w:rsidR="00304074" w:rsidRDefault="00304074" w:rsidP="00304074">
            <w:pPr>
              <w:rPr>
                <w:rFonts w:cstheme="minorHAnsi"/>
                <w:sz w:val="20"/>
                <w:szCs w:val="20"/>
              </w:rPr>
            </w:pPr>
          </w:p>
          <w:p w14:paraId="3E2338C6" w14:textId="043B9076" w:rsidR="00304074" w:rsidRDefault="00304074" w:rsidP="00C848EC">
            <w:pPr>
              <w:rPr>
                <w:sz w:val="20"/>
                <w:szCs w:val="20"/>
              </w:rPr>
            </w:pPr>
            <w:r>
              <w:rPr>
                <w:sz w:val="20"/>
                <w:szCs w:val="20"/>
              </w:rPr>
              <w:lastRenderedPageBreak/>
              <w:t>Data compiled by March 2020, analysis conducted and report presented to REWG in September 2020 for consideration.</w:t>
            </w:r>
            <w:r w:rsidR="00C848EC">
              <w:rPr>
                <w:sz w:val="20"/>
                <w:szCs w:val="20"/>
              </w:rPr>
              <w:t xml:space="preserve"> </w:t>
            </w:r>
          </w:p>
        </w:tc>
      </w:tr>
    </w:tbl>
    <w:p w14:paraId="1051FA89" w14:textId="637144E9" w:rsidR="00A46966" w:rsidRDefault="00A46966" w:rsidP="002A7F4E"/>
    <w:p w14:paraId="577C92DE" w14:textId="5BF2BCFE" w:rsidR="002C16E2" w:rsidRPr="002C16E2" w:rsidRDefault="002C16E2" w:rsidP="002A7F4E">
      <w:pPr>
        <w:rPr>
          <w:rFonts w:cstheme="minorHAnsi"/>
          <w:sz w:val="28"/>
          <w:szCs w:val="28"/>
        </w:rPr>
      </w:pPr>
      <w:r w:rsidRPr="007121E2">
        <w:rPr>
          <w:rFonts w:cstheme="minorHAnsi"/>
          <w:b/>
          <w:sz w:val="28"/>
          <w:szCs w:val="28"/>
        </w:rPr>
        <w:t>Principle 5:  Researchers’ Responsibilities</w:t>
      </w:r>
      <w:r w:rsidRPr="007121E2">
        <w:rPr>
          <w:rFonts w:cstheme="minorHAnsi"/>
          <w:b/>
          <w:sz w:val="28"/>
          <w:szCs w:val="28"/>
        </w:rPr>
        <w:br/>
      </w:r>
      <w:r w:rsidRPr="007121E2">
        <w:rPr>
          <w:i/>
          <w:sz w:val="28"/>
          <w:szCs w:val="28"/>
        </w:rPr>
        <w:t>Individual researchers share the responsibility for and need to pro-actively engage in their own personal and career development, and lifelong learning.</w:t>
      </w:r>
    </w:p>
    <w:tbl>
      <w:tblPr>
        <w:tblStyle w:val="TableGrid"/>
        <w:tblW w:w="0" w:type="auto"/>
        <w:tblLook w:val="00A0" w:firstRow="1" w:lastRow="0" w:firstColumn="1" w:lastColumn="0" w:noHBand="0" w:noVBand="0"/>
        <w:tblCaption w:val="Principle 5: Researchers’ Responsibilities"/>
        <w:tblDescription w:val="Individual researchers share the responsibility for and need to pro-actively engage in their own personal and career development, and lifelong learning.&#10;"/>
      </w:tblPr>
      <w:tblGrid>
        <w:gridCol w:w="6374"/>
        <w:gridCol w:w="1418"/>
        <w:gridCol w:w="4853"/>
        <w:gridCol w:w="1303"/>
      </w:tblGrid>
      <w:tr w:rsidR="000A55CC" w:rsidRPr="001F44CA" w14:paraId="3761D83A" w14:textId="6A5C3F4C" w:rsidTr="002C16E2">
        <w:trPr>
          <w:tblHeader/>
        </w:trPr>
        <w:tc>
          <w:tcPr>
            <w:tcW w:w="6374" w:type="dxa"/>
            <w:shd w:val="clear" w:color="auto" w:fill="auto"/>
          </w:tcPr>
          <w:p w14:paraId="416A187A" w14:textId="107D7F93" w:rsidR="000A55CC" w:rsidRDefault="000A55CC" w:rsidP="002A7F4E">
            <w:pPr>
              <w:rPr>
                <w:rFonts w:cstheme="minorHAnsi"/>
                <w:sz w:val="20"/>
                <w:szCs w:val="20"/>
              </w:rPr>
            </w:pPr>
            <w:r w:rsidRPr="001F44CA">
              <w:rPr>
                <w:b/>
                <w:sz w:val="20"/>
                <w:szCs w:val="20"/>
              </w:rPr>
              <w:t>Issue to be addressed</w:t>
            </w:r>
          </w:p>
        </w:tc>
        <w:tc>
          <w:tcPr>
            <w:tcW w:w="1418" w:type="dxa"/>
            <w:shd w:val="clear" w:color="auto" w:fill="auto"/>
          </w:tcPr>
          <w:p w14:paraId="2A793F54" w14:textId="7B2F15D3" w:rsidR="000A55CC" w:rsidRPr="00D95C54" w:rsidRDefault="000A55CC" w:rsidP="002A7F4E">
            <w:pPr>
              <w:rPr>
                <w:rFonts w:cstheme="minorHAnsi"/>
                <w:sz w:val="20"/>
                <w:szCs w:val="20"/>
              </w:rPr>
            </w:pPr>
            <w:r w:rsidRPr="001F44CA">
              <w:rPr>
                <w:b/>
                <w:sz w:val="20"/>
                <w:szCs w:val="20"/>
              </w:rPr>
              <w:t>Responsibility for action</w:t>
            </w:r>
          </w:p>
        </w:tc>
        <w:tc>
          <w:tcPr>
            <w:tcW w:w="4853" w:type="dxa"/>
            <w:shd w:val="clear" w:color="auto" w:fill="auto"/>
          </w:tcPr>
          <w:p w14:paraId="087F4F50" w14:textId="5865495F" w:rsidR="000A55CC" w:rsidRDefault="000A55CC" w:rsidP="002A7F4E">
            <w:pPr>
              <w:rPr>
                <w:rFonts w:cstheme="minorHAnsi"/>
                <w:sz w:val="20"/>
                <w:szCs w:val="20"/>
              </w:rPr>
            </w:pPr>
            <w:r w:rsidRPr="001F44CA">
              <w:rPr>
                <w:b/>
                <w:sz w:val="20"/>
                <w:szCs w:val="20"/>
              </w:rPr>
              <w:t>Success Criteria</w:t>
            </w:r>
          </w:p>
        </w:tc>
        <w:tc>
          <w:tcPr>
            <w:tcW w:w="1303" w:type="dxa"/>
            <w:shd w:val="clear" w:color="auto" w:fill="auto"/>
          </w:tcPr>
          <w:p w14:paraId="6FF534D4" w14:textId="6066F476" w:rsidR="000A55CC" w:rsidRPr="001F44CA" w:rsidRDefault="000A55CC" w:rsidP="002A7F4E">
            <w:pPr>
              <w:rPr>
                <w:b/>
                <w:sz w:val="20"/>
                <w:szCs w:val="20"/>
              </w:rPr>
            </w:pPr>
            <w:r>
              <w:rPr>
                <w:b/>
                <w:sz w:val="20"/>
                <w:szCs w:val="20"/>
              </w:rPr>
              <w:t>Timescale</w:t>
            </w:r>
          </w:p>
        </w:tc>
      </w:tr>
      <w:tr w:rsidR="000A55CC" w:rsidRPr="001F44CA" w14:paraId="0A6E2B01" w14:textId="2CF88A46" w:rsidTr="002C16E2">
        <w:tc>
          <w:tcPr>
            <w:tcW w:w="6374" w:type="dxa"/>
          </w:tcPr>
          <w:p w14:paraId="2DF148AA" w14:textId="122676F6" w:rsidR="000A55CC" w:rsidRDefault="000A55CC" w:rsidP="002A7F4E">
            <w:pPr>
              <w:rPr>
                <w:rFonts w:cstheme="minorHAnsi"/>
                <w:sz w:val="20"/>
                <w:szCs w:val="20"/>
              </w:rPr>
            </w:pPr>
            <w:r>
              <w:rPr>
                <w:rFonts w:cstheme="minorHAnsi"/>
                <w:sz w:val="20"/>
                <w:szCs w:val="20"/>
              </w:rPr>
              <w:t>To hold two</w:t>
            </w:r>
            <w:r w:rsidRPr="00D95C54">
              <w:rPr>
                <w:rFonts w:cstheme="minorHAnsi"/>
                <w:sz w:val="20"/>
                <w:szCs w:val="20"/>
              </w:rPr>
              <w:t xml:space="preserve"> world café event</w:t>
            </w:r>
            <w:r>
              <w:rPr>
                <w:rFonts w:cstheme="minorHAnsi"/>
                <w:sz w:val="20"/>
                <w:szCs w:val="20"/>
              </w:rPr>
              <w:t>s</w:t>
            </w:r>
            <w:r w:rsidRPr="00D95C54">
              <w:rPr>
                <w:rFonts w:cstheme="minorHAnsi"/>
                <w:sz w:val="20"/>
                <w:szCs w:val="20"/>
              </w:rPr>
              <w:t xml:space="preserve"> as part of the institution’s </w:t>
            </w:r>
            <w:r>
              <w:rPr>
                <w:rFonts w:cstheme="minorHAnsi"/>
                <w:sz w:val="20"/>
                <w:szCs w:val="20"/>
              </w:rPr>
              <w:t>Festival of Research</w:t>
            </w:r>
            <w:r w:rsidRPr="00D95C54">
              <w:rPr>
                <w:rFonts w:cstheme="minorHAnsi"/>
                <w:sz w:val="20"/>
                <w:szCs w:val="20"/>
              </w:rPr>
              <w:t xml:space="preserve">.  This </w:t>
            </w:r>
            <w:r>
              <w:rPr>
                <w:rFonts w:cstheme="minorHAnsi"/>
                <w:sz w:val="20"/>
                <w:szCs w:val="20"/>
              </w:rPr>
              <w:t>world café would open with a short presentation on Research Environment Working Group, and host discussions around the newly launched Concordat, the University’s most recent CROS and PIRLS survey results and other related topics.  The aim of these events are to engage with research staff on the new</w:t>
            </w:r>
            <w:r w:rsidR="00C83DEE">
              <w:rPr>
                <w:rFonts w:cstheme="minorHAnsi"/>
                <w:sz w:val="20"/>
                <w:szCs w:val="20"/>
              </w:rPr>
              <w:t xml:space="preserve"> Concordat and related issues.</w:t>
            </w:r>
          </w:p>
          <w:p w14:paraId="470D70DA" w14:textId="2FA61670" w:rsidR="000A55CC" w:rsidRDefault="00092493" w:rsidP="002A7F4E">
            <w:pPr>
              <w:rPr>
                <w:rFonts w:cstheme="minorHAnsi"/>
                <w:sz w:val="20"/>
                <w:szCs w:val="20"/>
              </w:rPr>
            </w:pPr>
            <w:r>
              <w:rPr>
                <w:rFonts w:cstheme="minorHAnsi"/>
                <w:sz w:val="20"/>
                <w:szCs w:val="20"/>
              </w:rPr>
              <w:t>Festival of |Research is a year-</w:t>
            </w:r>
            <w:r w:rsidR="000A55CC">
              <w:rPr>
                <w:rFonts w:cstheme="minorHAnsi"/>
                <w:sz w:val="20"/>
                <w:szCs w:val="20"/>
              </w:rPr>
              <w:t xml:space="preserve">long event that showcases our research, led by IAS and our DP Research, supported by RIS  </w:t>
            </w:r>
            <w:hyperlink r:id="rId14" w:history="1">
              <w:r w:rsidR="00C83DEE">
                <w:rPr>
                  <w:rStyle w:val="Hyperlink"/>
                  <w:rFonts w:cstheme="minorHAnsi"/>
                  <w:sz w:val="20"/>
                  <w:szCs w:val="20"/>
                </w:rPr>
                <w:t xml:space="preserve">Research Week </w:t>
              </w:r>
            </w:hyperlink>
            <w:r w:rsidR="00C83DEE">
              <w:rPr>
                <w:rFonts w:cstheme="minorHAnsi"/>
                <w:sz w:val="20"/>
                <w:szCs w:val="20"/>
              </w:rPr>
              <w:t xml:space="preserve"> </w:t>
            </w:r>
          </w:p>
        </w:tc>
        <w:tc>
          <w:tcPr>
            <w:tcW w:w="1418" w:type="dxa"/>
          </w:tcPr>
          <w:p w14:paraId="63C3FC36" w14:textId="3F735EC0" w:rsidR="000A55CC" w:rsidRDefault="000A55CC" w:rsidP="002A7F4E">
            <w:pPr>
              <w:rPr>
                <w:rFonts w:cstheme="minorHAnsi"/>
                <w:sz w:val="20"/>
                <w:szCs w:val="20"/>
              </w:rPr>
            </w:pPr>
            <w:r w:rsidRPr="00D95C54">
              <w:rPr>
                <w:rFonts w:cstheme="minorHAnsi"/>
                <w:sz w:val="20"/>
                <w:szCs w:val="20"/>
              </w:rPr>
              <w:t xml:space="preserve">Chair </w:t>
            </w:r>
            <w:r>
              <w:rPr>
                <w:rFonts w:cstheme="minorHAnsi"/>
                <w:sz w:val="20"/>
                <w:szCs w:val="20"/>
              </w:rPr>
              <w:t>REWG</w:t>
            </w:r>
          </w:p>
        </w:tc>
        <w:tc>
          <w:tcPr>
            <w:tcW w:w="4853" w:type="dxa"/>
          </w:tcPr>
          <w:p w14:paraId="4E94D994" w14:textId="42096C75" w:rsidR="000A55CC" w:rsidRPr="00C068FE" w:rsidRDefault="000A55CC" w:rsidP="002A7F4E">
            <w:pPr>
              <w:rPr>
                <w:b/>
                <w:bCs/>
                <w:sz w:val="20"/>
                <w:szCs w:val="20"/>
              </w:rPr>
            </w:pPr>
            <w:r w:rsidRPr="00C068FE">
              <w:rPr>
                <w:sz w:val="20"/>
                <w:szCs w:val="20"/>
              </w:rPr>
              <w:t>Events to run in Festival of Research</w:t>
            </w:r>
            <w:r w:rsidR="001E6714" w:rsidRPr="00C068FE">
              <w:rPr>
                <w:sz w:val="20"/>
                <w:szCs w:val="20"/>
              </w:rPr>
              <w:t xml:space="preserve"> in May 2020, with a minimum target of 20 participants at each.</w:t>
            </w:r>
          </w:p>
          <w:p w14:paraId="288A64F8" w14:textId="5E61B749" w:rsidR="000A55CC" w:rsidRPr="00C83DEE" w:rsidRDefault="000A55CC" w:rsidP="002A7F4E">
            <w:pPr>
              <w:rPr>
                <w:rFonts w:cstheme="minorHAnsi"/>
                <w:b/>
                <w:sz w:val="20"/>
                <w:szCs w:val="20"/>
              </w:rPr>
            </w:pPr>
            <w:r w:rsidRPr="00C068FE">
              <w:rPr>
                <w:rFonts w:cstheme="minorHAnsi"/>
                <w:sz w:val="20"/>
                <w:szCs w:val="20"/>
              </w:rPr>
              <w:t>Events held, and outcomes of discussions presented to the REWG and URC and appropriate recommendations made</w:t>
            </w:r>
            <w:r w:rsidR="00C83DEE">
              <w:rPr>
                <w:rFonts w:cstheme="minorHAnsi"/>
                <w:b/>
                <w:sz w:val="20"/>
                <w:szCs w:val="20"/>
              </w:rPr>
              <w:t>.</w:t>
            </w:r>
          </w:p>
          <w:p w14:paraId="0EFC7C02" w14:textId="6F31B5CA" w:rsidR="000A55CC" w:rsidRPr="00B84E30" w:rsidRDefault="000A55CC" w:rsidP="002A7F4E">
            <w:pPr>
              <w:rPr>
                <w:rFonts w:cstheme="minorHAnsi"/>
                <w:sz w:val="20"/>
                <w:szCs w:val="20"/>
                <w:highlight w:val="yellow"/>
              </w:rPr>
            </w:pPr>
          </w:p>
        </w:tc>
        <w:tc>
          <w:tcPr>
            <w:tcW w:w="1303" w:type="dxa"/>
          </w:tcPr>
          <w:p w14:paraId="55DD7093" w14:textId="1E1FEA37" w:rsidR="000A55CC" w:rsidRPr="5618F76D" w:rsidRDefault="00A80BCC" w:rsidP="002A7F4E">
            <w:pPr>
              <w:rPr>
                <w:sz w:val="20"/>
                <w:szCs w:val="20"/>
              </w:rPr>
            </w:pPr>
            <w:r>
              <w:rPr>
                <w:sz w:val="20"/>
                <w:szCs w:val="20"/>
              </w:rPr>
              <w:t>May 2020</w:t>
            </w:r>
          </w:p>
        </w:tc>
      </w:tr>
      <w:tr w:rsidR="000A55CC" w:rsidRPr="001F44CA" w14:paraId="443E546B" w14:textId="2B34ACBE" w:rsidTr="002C16E2">
        <w:tc>
          <w:tcPr>
            <w:tcW w:w="6374" w:type="dxa"/>
          </w:tcPr>
          <w:p w14:paraId="6DDF0972" w14:textId="124095FD" w:rsidR="000A55CC" w:rsidRPr="00BC5BFC" w:rsidRDefault="000A55CC" w:rsidP="002A7F4E">
            <w:pPr>
              <w:rPr>
                <w:rFonts w:ascii="Calibri" w:eastAsia="Calibri" w:hAnsi="Calibri" w:cs="Times New Roman"/>
                <w:sz w:val="20"/>
                <w:szCs w:val="20"/>
              </w:rPr>
            </w:pPr>
            <w:r>
              <w:rPr>
                <w:rFonts w:cstheme="minorHAnsi"/>
                <w:sz w:val="20"/>
                <w:szCs w:val="20"/>
              </w:rPr>
              <w:t xml:space="preserve">To deliver an international mentoring partnership programme for established and early career researchers. </w:t>
            </w:r>
            <w:r w:rsidRPr="4D52607F">
              <w:rPr>
                <w:rFonts w:ascii="Calibri" w:eastAsia="Calibri" w:hAnsi="Calibri" w:cs="Times New Roman"/>
              </w:rPr>
              <w:t xml:space="preserve"> </w:t>
            </w:r>
            <w:r w:rsidRPr="00AC3F01">
              <w:rPr>
                <w:rFonts w:ascii="Calibri" w:eastAsia="Calibri" w:hAnsi="Calibri" w:cs="Times New Roman"/>
                <w:sz w:val="20"/>
                <w:szCs w:val="20"/>
              </w:rPr>
              <w:t>We aim to enhance research excellence at both</w:t>
            </w:r>
            <w:r w:rsidRPr="4D52607F">
              <w:rPr>
                <w:rFonts w:ascii="Calibri" w:eastAsia="Calibri" w:hAnsi="Calibri" w:cs="Times New Roman"/>
              </w:rPr>
              <w:t xml:space="preserve"> </w:t>
            </w:r>
            <w:r w:rsidRPr="00BC5BFC">
              <w:rPr>
                <w:rFonts w:ascii="Calibri" w:eastAsia="Calibri" w:hAnsi="Calibri" w:cs="Times New Roman"/>
                <w:sz w:val="20"/>
                <w:szCs w:val="20"/>
              </w:rPr>
              <w:t xml:space="preserve">Institutions, to deliver impactful research outcomes. A </w:t>
            </w:r>
            <w:r w:rsidRPr="000F0FC4">
              <w:rPr>
                <w:rFonts w:ascii="Calibri" w:eastAsia="Calibri" w:hAnsi="Calibri" w:cs="Times New Roman"/>
                <w:sz w:val="20"/>
                <w:szCs w:val="20"/>
              </w:rPr>
              <w:t>pilot project,</w:t>
            </w:r>
            <w:r w:rsidRPr="00BC5BFC">
              <w:rPr>
                <w:rFonts w:ascii="Calibri" w:eastAsia="Calibri" w:hAnsi="Calibri" w:cs="Times New Roman"/>
                <w:sz w:val="20"/>
                <w:szCs w:val="20"/>
              </w:rPr>
              <w:t xml:space="preserve"> focused on three research themes, in which 6 mentors and 4 mentees from UNESP will be partnered with up to 6 mentees and 4 mentors from </w:t>
            </w:r>
            <w:proofErr w:type="spellStart"/>
            <w:r w:rsidRPr="00BC5BFC">
              <w:rPr>
                <w:rFonts w:ascii="Calibri" w:eastAsia="Calibri" w:hAnsi="Calibri" w:cs="Times New Roman"/>
                <w:sz w:val="20"/>
                <w:szCs w:val="20"/>
              </w:rPr>
              <w:t>UoS</w:t>
            </w:r>
            <w:proofErr w:type="spellEnd"/>
            <w:r w:rsidRPr="00BC5BFC">
              <w:rPr>
                <w:rFonts w:ascii="Calibri" w:eastAsia="Calibri" w:hAnsi="Calibri" w:cs="Times New Roman"/>
                <w:sz w:val="20"/>
                <w:szCs w:val="20"/>
              </w:rPr>
              <w:t>, respectively. Although the development of research capability will be an important focus of the mentoring partnership, cultural and social sharing and co-learning will form a natural part of the programme.</w:t>
            </w:r>
            <w:r w:rsidR="00293CF2">
              <w:rPr>
                <w:rFonts w:ascii="Calibri" w:eastAsia="Calibri" w:hAnsi="Calibri" w:cs="Times New Roman"/>
                <w:sz w:val="20"/>
                <w:szCs w:val="20"/>
              </w:rPr>
              <w:t xml:space="preserve">  This is funded by the institution’s GCRF Formula Grant from the Scottish Funding Council, from UKRI’s GCRF programme.</w:t>
            </w:r>
          </w:p>
          <w:p w14:paraId="4D5A526F" w14:textId="0FC952D7" w:rsidR="000A55CC" w:rsidRDefault="000A55CC" w:rsidP="002A7F4E">
            <w:pPr>
              <w:rPr>
                <w:rFonts w:ascii="Calibri" w:eastAsia="Calibri" w:hAnsi="Calibri" w:cs="Times New Roman"/>
              </w:rPr>
            </w:pPr>
          </w:p>
          <w:p w14:paraId="18453C3B" w14:textId="2672649C" w:rsidR="000A55CC" w:rsidRDefault="000A55CC" w:rsidP="002A7F4E">
            <w:pPr>
              <w:rPr>
                <w:rFonts w:cstheme="minorHAnsi"/>
                <w:sz w:val="20"/>
                <w:szCs w:val="20"/>
              </w:rPr>
            </w:pPr>
            <w:r>
              <w:rPr>
                <w:rFonts w:cstheme="minorHAnsi"/>
                <w:sz w:val="20"/>
                <w:szCs w:val="20"/>
              </w:rPr>
              <w:t xml:space="preserve"> </w:t>
            </w:r>
          </w:p>
        </w:tc>
        <w:tc>
          <w:tcPr>
            <w:tcW w:w="1418" w:type="dxa"/>
          </w:tcPr>
          <w:p w14:paraId="0A754699" w14:textId="1894B147" w:rsidR="000A55CC" w:rsidRDefault="000A55CC" w:rsidP="002A7F4E">
            <w:pPr>
              <w:rPr>
                <w:rFonts w:cstheme="minorHAnsi"/>
                <w:sz w:val="20"/>
                <w:szCs w:val="20"/>
              </w:rPr>
            </w:pPr>
            <w:r>
              <w:rPr>
                <w:rFonts w:cstheme="minorHAnsi"/>
                <w:sz w:val="20"/>
                <w:szCs w:val="20"/>
              </w:rPr>
              <w:t>RIS</w:t>
            </w:r>
          </w:p>
        </w:tc>
        <w:tc>
          <w:tcPr>
            <w:tcW w:w="4853" w:type="dxa"/>
          </w:tcPr>
          <w:p w14:paraId="5022059E" w14:textId="6F769375" w:rsidR="000A55CC" w:rsidRPr="5618F76D" w:rsidRDefault="000A55CC" w:rsidP="000F0FC4">
            <w:pPr>
              <w:rPr>
                <w:sz w:val="20"/>
                <w:szCs w:val="20"/>
              </w:rPr>
            </w:pPr>
            <w:r>
              <w:rPr>
                <w:sz w:val="20"/>
                <w:szCs w:val="20"/>
              </w:rPr>
              <w:t xml:space="preserve">Partnership is established and </w:t>
            </w:r>
            <w:r w:rsidR="000F0FC4">
              <w:rPr>
                <w:sz w:val="20"/>
                <w:szCs w:val="20"/>
              </w:rPr>
              <w:t>Mentorship Programme</w:t>
            </w:r>
            <w:r>
              <w:rPr>
                <w:sz w:val="20"/>
                <w:szCs w:val="20"/>
              </w:rPr>
              <w:t xml:space="preserve"> is delivered</w:t>
            </w:r>
            <w:r w:rsidR="000F0FC4">
              <w:rPr>
                <w:sz w:val="20"/>
                <w:szCs w:val="20"/>
              </w:rPr>
              <w:t xml:space="preserve"> by institution staff and external </w:t>
            </w:r>
            <w:r w:rsidR="000F0FC4" w:rsidRPr="005B412B">
              <w:rPr>
                <w:sz w:val="20"/>
                <w:szCs w:val="20"/>
              </w:rPr>
              <w:t>facilitators.</w:t>
            </w:r>
            <w:r w:rsidR="00B84E30" w:rsidRPr="005B412B">
              <w:rPr>
                <w:sz w:val="20"/>
                <w:szCs w:val="20"/>
              </w:rPr>
              <w:t xml:space="preserve"> T</w:t>
            </w:r>
            <w:r w:rsidR="00B84E30" w:rsidRPr="00EE0F3B">
              <w:rPr>
                <w:sz w:val="20"/>
                <w:szCs w:val="20"/>
              </w:rPr>
              <w:t>he first pilot ran in June 2019 with 10 mentors and 10 mentees on the programme, the 2</w:t>
            </w:r>
            <w:r w:rsidR="00B84E30" w:rsidRPr="00EE0F3B">
              <w:rPr>
                <w:sz w:val="20"/>
                <w:szCs w:val="20"/>
                <w:vertAlign w:val="superscript"/>
              </w:rPr>
              <w:t>nd</w:t>
            </w:r>
            <w:r w:rsidR="00B84E30" w:rsidRPr="00EE0F3B">
              <w:rPr>
                <w:sz w:val="20"/>
                <w:szCs w:val="20"/>
              </w:rPr>
              <w:t xml:space="preserve"> pilot, which builds upon feedback, will run in May 2020. The target for 2</w:t>
            </w:r>
            <w:r w:rsidR="00B84E30" w:rsidRPr="00EE0F3B">
              <w:rPr>
                <w:sz w:val="20"/>
                <w:szCs w:val="20"/>
                <w:vertAlign w:val="superscript"/>
              </w:rPr>
              <w:t>nd</w:t>
            </w:r>
            <w:r w:rsidR="00B84E30" w:rsidRPr="00EE0F3B">
              <w:rPr>
                <w:sz w:val="20"/>
                <w:szCs w:val="20"/>
              </w:rPr>
              <w:t xml:space="preserve"> pilot was a minimum of 16 and a maximum of 20, between mentees and mentors.  The scheme will then be evaluated by participants and plans regarding support and on-going development put in place by Nov 2020.</w:t>
            </w:r>
          </w:p>
        </w:tc>
        <w:tc>
          <w:tcPr>
            <w:tcW w:w="1303" w:type="dxa"/>
          </w:tcPr>
          <w:p w14:paraId="1ED3B9BC" w14:textId="48A0DEFA" w:rsidR="000A55CC" w:rsidRDefault="00B84E30" w:rsidP="002A7F4E">
            <w:pPr>
              <w:rPr>
                <w:sz w:val="20"/>
                <w:szCs w:val="20"/>
              </w:rPr>
            </w:pPr>
            <w:r>
              <w:rPr>
                <w:sz w:val="20"/>
                <w:szCs w:val="20"/>
              </w:rPr>
              <w:t>1</w:t>
            </w:r>
            <w:r w:rsidRPr="00B84E30">
              <w:rPr>
                <w:sz w:val="20"/>
                <w:szCs w:val="20"/>
                <w:vertAlign w:val="superscript"/>
              </w:rPr>
              <w:t>st</w:t>
            </w:r>
            <w:r>
              <w:rPr>
                <w:sz w:val="20"/>
                <w:szCs w:val="20"/>
              </w:rPr>
              <w:t xml:space="preserve"> Pilot June 2019, 2</w:t>
            </w:r>
            <w:r w:rsidRPr="00B84E30">
              <w:rPr>
                <w:sz w:val="20"/>
                <w:szCs w:val="20"/>
                <w:vertAlign w:val="superscript"/>
              </w:rPr>
              <w:t>nd</w:t>
            </w:r>
            <w:r>
              <w:rPr>
                <w:sz w:val="20"/>
                <w:szCs w:val="20"/>
              </w:rPr>
              <w:t xml:space="preserve"> pilot in May 2020, ongoing development plans Nov 2020.</w:t>
            </w:r>
          </w:p>
        </w:tc>
      </w:tr>
    </w:tbl>
    <w:p w14:paraId="3423E08A" w14:textId="77777777" w:rsidR="002C16E2" w:rsidRDefault="002C16E2" w:rsidP="002A7F4E"/>
    <w:p w14:paraId="6A35C321" w14:textId="5B890F7C" w:rsidR="002C16E2" w:rsidRDefault="002C16E2" w:rsidP="002A7F4E">
      <w:r w:rsidRPr="007121E2">
        <w:rPr>
          <w:rFonts w:cstheme="minorHAnsi"/>
          <w:b/>
          <w:sz w:val="28"/>
          <w:szCs w:val="28"/>
        </w:rPr>
        <w:t>Principle 6:  Diversity &amp; Equality</w:t>
      </w:r>
      <w:r w:rsidRPr="007121E2">
        <w:rPr>
          <w:rFonts w:cstheme="minorHAnsi"/>
          <w:b/>
          <w:sz w:val="28"/>
          <w:szCs w:val="28"/>
        </w:rPr>
        <w:br/>
      </w:r>
      <w:r w:rsidRPr="007121E2">
        <w:rPr>
          <w:rFonts w:cstheme="minorHAnsi"/>
          <w:i/>
          <w:sz w:val="28"/>
          <w:szCs w:val="28"/>
        </w:rPr>
        <w:t>Diversity and equality must be promoted in all aspects of the recruitment and career management of researchers.</w:t>
      </w:r>
    </w:p>
    <w:tbl>
      <w:tblPr>
        <w:tblStyle w:val="TableGrid"/>
        <w:tblW w:w="0" w:type="auto"/>
        <w:tblLook w:val="00A0" w:firstRow="1" w:lastRow="0" w:firstColumn="1" w:lastColumn="0" w:noHBand="0" w:noVBand="0"/>
        <w:tblCaption w:val="Principle 6:  Diversity &amp; Equality"/>
        <w:tblDescription w:val="Diversity and equality must be promoted in all aspects of the recruitment and career management of researchers.&#10;"/>
      </w:tblPr>
      <w:tblGrid>
        <w:gridCol w:w="5043"/>
        <w:gridCol w:w="1756"/>
        <w:gridCol w:w="2268"/>
        <w:gridCol w:w="4881"/>
      </w:tblGrid>
      <w:tr w:rsidR="000A55CC" w:rsidRPr="001F44CA" w14:paraId="1B3DAC19" w14:textId="58DC5572" w:rsidTr="002C16E2">
        <w:trPr>
          <w:tblHeader/>
        </w:trPr>
        <w:tc>
          <w:tcPr>
            <w:tcW w:w="5043" w:type="dxa"/>
          </w:tcPr>
          <w:p w14:paraId="68F483EF" w14:textId="10E48F8E" w:rsidR="000A55CC" w:rsidRPr="009C733B" w:rsidRDefault="000A55CC" w:rsidP="002A7F4E">
            <w:pPr>
              <w:rPr>
                <w:rFonts w:cstheme="minorHAnsi"/>
                <w:sz w:val="20"/>
                <w:szCs w:val="20"/>
              </w:rPr>
            </w:pPr>
            <w:r w:rsidRPr="001F44CA">
              <w:rPr>
                <w:b/>
                <w:sz w:val="20"/>
                <w:szCs w:val="20"/>
              </w:rPr>
              <w:t>Issue to be addressed</w:t>
            </w:r>
          </w:p>
        </w:tc>
        <w:tc>
          <w:tcPr>
            <w:tcW w:w="1756" w:type="dxa"/>
          </w:tcPr>
          <w:p w14:paraId="60A7C993" w14:textId="358AF826" w:rsidR="000A55CC" w:rsidRPr="00D21CFD" w:rsidRDefault="000A55CC" w:rsidP="002A7F4E">
            <w:pPr>
              <w:rPr>
                <w:rFonts w:cstheme="minorHAnsi"/>
                <w:sz w:val="20"/>
                <w:szCs w:val="20"/>
              </w:rPr>
            </w:pPr>
            <w:r w:rsidRPr="001F44CA">
              <w:rPr>
                <w:b/>
                <w:sz w:val="20"/>
                <w:szCs w:val="20"/>
              </w:rPr>
              <w:t>Responsibility for action</w:t>
            </w:r>
          </w:p>
        </w:tc>
        <w:tc>
          <w:tcPr>
            <w:tcW w:w="2268" w:type="dxa"/>
          </w:tcPr>
          <w:p w14:paraId="1FECFD2C" w14:textId="2F5E8766" w:rsidR="000A55CC" w:rsidRDefault="000A55CC" w:rsidP="002A7F4E">
            <w:pPr>
              <w:rPr>
                <w:rFonts w:cstheme="minorHAnsi"/>
                <w:sz w:val="20"/>
                <w:szCs w:val="20"/>
              </w:rPr>
            </w:pPr>
            <w:r w:rsidRPr="001F44CA">
              <w:rPr>
                <w:b/>
                <w:sz w:val="20"/>
                <w:szCs w:val="20"/>
              </w:rPr>
              <w:t>Success Criteria</w:t>
            </w:r>
          </w:p>
        </w:tc>
        <w:tc>
          <w:tcPr>
            <w:tcW w:w="4881" w:type="dxa"/>
          </w:tcPr>
          <w:p w14:paraId="17C6C9D0" w14:textId="315390A6" w:rsidR="000A55CC" w:rsidRPr="001F44CA" w:rsidRDefault="000A55CC" w:rsidP="002A7F4E">
            <w:pPr>
              <w:rPr>
                <w:b/>
                <w:sz w:val="20"/>
                <w:szCs w:val="20"/>
              </w:rPr>
            </w:pPr>
            <w:r>
              <w:rPr>
                <w:b/>
                <w:sz w:val="20"/>
                <w:szCs w:val="20"/>
              </w:rPr>
              <w:t>Timescale</w:t>
            </w:r>
          </w:p>
        </w:tc>
      </w:tr>
      <w:tr w:rsidR="000A55CC" w:rsidRPr="001F44CA" w14:paraId="4189FE3B" w14:textId="35B2236F" w:rsidTr="002C16E2">
        <w:tc>
          <w:tcPr>
            <w:tcW w:w="5043" w:type="dxa"/>
          </w:tcPr>
          <w:p w14:paraId="0A825FC0" w14:textId="062EEB5C" w:rsidR="000A55CC" w:rsidRPr="00D21CFD" w:rsidRDefault="000A55CC" w:rsidP="002A7F4E">
            <w:pPr>
              <w:rPr>
                <w:rFonts w:cstheme="minorHAnsi"/>
                <w:sz w:val="20"/>
                <w:szCs w:val="20"/>
              </w:rPr>
            </w:pPr>
            <w:r>
              <w:rPr>
                <w:rFonts w:cstheme="minorHAnsi"/>
                <w:sz w:val="20"/>
                <w:szCs w:val="20"/>
              </w:rPr>
              <w:t>Institutional Athena SWAN renewal (Bronze) to be submitted in April 2020.</w:t>
            </w:r>
          </w:p>
        </w:tc>
        <w:tc>
          <w:tcPr>
            <w:tcW w:w="1756" w:type="dxa"/>
          </w:tcPr>
          <w:p w14:paraId="59FF9040" w14:textId="1B16C95D" w:rsidR="000A55CC" w:rsidRPr="00535F50" w:rsidRDefault="000A55CC" w:rsidP="002A7F4E">
            <w:pPr>
              <w:rPr>
                <w:rFonts w:cstheme="minorHAnsi"/>
                <w:sz w:val="20"/>
                <w:szCs w:val="20"/>
              </w:rPr>
            </w:pPr>
            <w:r>
              <w:rPr>
                <w:rFonts w:cstheme="minorHAnsi"/>
                <w:sz w:val="20"/>
                <w:szCs w:val="20"/>
              </w:rPr>
              <w:t>Dean E&amp;D</w:t>
            </w:r>
          </w:p>
        </w:tc>
        <w:tc>
          <w:tcPr>
            <w:tcW w:w="2268" w:type="dxa"/>
          </w:tcPr>
          <w:p w14:paraId="3ED2521F" w14:textId="5437B958" w:rsidR="000A55CC" w:rsidRPr="00D21CFD" w:rsidRDefault="000A55CC" w:rsidP="002A7F4E">
            <w:pPr>
              <w:rPr>
                <w:rFonts w:cstheme="minorHAnsi"/>
                <w:sz w:val="20"/>
                <w:szCs w:val="20"/>
              </w:rPr>
            </w:pPr>
            <w:r>
              <w:rPr>
                <w:rFonts w:cstheme="minorHAnsi"/>
                <w:sz w:val="20"/>
                <w:szCs w:val="20"/>
              </w:rPr>
              <w:t>Award retained</w:t>
            </w:r>
          </w:p>
        </w:tc>
        <w:tc>
          <w:tcPr>
            <w:tcW w:w="4881" w:type="dxa"/>
          </w:tcPr>
          <w:p w14:paraId="0E062109" w14:textId="78CE4686" w:rsidR="000A55CC" w:rsidRPr="00D21CFD" w:rsidRDefault="000A55CC" w:rsidP="002A7F4E">
            <w:pPr>
              <w:rPr>
                <w:rFonts w:cstheme="minorHAnsi"/>
                <w:sz w:val="20"/>
                <w:szCs w:val="20"/>
              </w:rPr>
            </w:pPr>
            <w:r>
              <w:rPr>
                <w:rFonts w:cstheme="minorHAnsi"/>
                <w:sz w:val="20"/>
                <w:szCs w:val="20"/>
              </w:rPr>
              <w:t>Submit April 2020, results October 2020.</w:t>
            </w:r>
          </w:p>
        </w:tc>
      </w:tr>
      <w:tr w:rsidR="000A55CC" w:rsidRPr="001F44CA" w14:paraId="2C632EC0" w14:textId="77777777" w:rsidTr="002C16E2">
        <w:tc>
          <w:tcPr>
            <w:tcW w:w="5043" w:type="dxa"/>
          </w:tcPr>
          <w:p w14:paraId="3D259715" w14:textId="740550DE" w:rsidR="000A55CC" w:rsidRDefault="000A55CC" w:rsidP="002A7F4E">
            <w:pPr>
              <w:rPr>
                <w:rFonts w:cstheme="minorHAnsi"/>
                <w:sz w:val="20"/>
                <w:szCs w:val="20"/>
              </w:rPr>
            </w:pPr>
            <w:r>
              <w:rPr>
                <w:rFonts w:cstheme="minorHAnsi"/>
                <w:sz w:val="20"/>
                <w:szCs w:val="20"/>
              </w:rPr>
              <w:t>Divisional/Faculty level applications submitted for new Athena SWAN awards.</w:t>
            </w:r>
          </w:p>
        </w:tc>
        <w:tc>
          <w:tcPr>
            <w:tcW w:w="1756" w:type="dxa"/>
          </w:tcPr>
          <w:p w14:paraId="3948DBFA" w14:textId="1C746F8E" w:rsidR="000A55CC" w:rsidRDefault="000A55CC" w:rsidP="002A7F4E">
            <w:pPr>
              <w:rPr>
                <w:rFonts w:cstheme="minorHAnsi"/>
                <w:sz w:val="20"/>
                <w:szCs w:val="20"/>
              </w:rPr>
            </w:pPr>
            <w:r>
              <w:rPr>
                <w:rFonts w:cstheme="minorHAnsi"/>
                <w:sz w:val="20"/>
                <w:szCs w:val="20"/>
              </w:rPr>
              <w:t>Divisional Athena SWAN groups, Dean E&amp;D</w:t>
            </w:r>
          </w:p>
        </w:tc>
        <w:tc>
          <w:tcPr>
            <w:tcW w:w="2268" w:type="dxa"/>
          </w:tcPr>
          <w:p w14:paraId="3B2BD95E" w14:textId="39E84B37" w:rsidR="000A55CC" w:rsidRDefault="000A55CC" w:rsidP="002A7F4E">
            <w:pPr>
              <w:rPr>
                <w:rFonts w:cstheme="minorHAnsi"/>
                <w:sz w:val="20"/>
                <w:szCs w:val="20"/>
              </w:rPr>
            </w:pPr>
            <w:r>
              <w:rPr>
                <w:rFonts w:cstheme="minorHAnsi"/>
                <w:sz w:val="20"/>
                <w:szCs w:val="20"/>
              </w:rPr>
              <w:t>Awards submitted and achieved.</w:t>
            </w:r>
          </w:p>
        </w:tc>
        <w:tc>
          <w:tcPr>
            <w:tcW w:w="4881" w:type="dxa"/>
          </w:tcPr>
          <w:p w14:paraId="1C3EB2EF" w14:textId="1F9A5267" w:rsidR="000A55CC" w:rsidRPr="00D21CFD" w:rsidRDefault="000A55CC" w:rsidP="002A7F4E">
            <w:pPr>
              <w:rPr>
                <w:rFonts w:cstheme="minorHAnsi"/>
                <w:sz w:val="20"/>
                <w:szCs w:val="20"/>
              </w:rPr>
            </w:pPr>
            <w:r>
              <w:rPr>
                <w:rFonts w:cstheme="minorHAnsi"/>
                <w:sz w:val="20"/>
                <w:szCs w:val="20"/>
              </w:rPr>
              <w:t>TBC currently.</w:t>
            </w:r>
          </w:p>
        </w:tc>
      </w:tr>
      <w:tr w:rsidR="00DD0520" w:rsidRPr="001F44CA" w14:paraId="294ECB4D" w14:textId="77777777" w:rsidTr="002C16E2">
        <w:tc>
          <w:tcPr>
            <w:tcW w:w="5043" w:type="dxa"/>
          </w:tcPr>
          <w:p w14:paraId="305F15B7" w14:textId="206C2704" w:rsidR="00DD0520" w:rsidRDefault="00DD0520" w:rsidP="00DD0520">
            <w:pPr>
              <w:rPr>
                <w:rFonts w:cstheme="minorHAnsi"/>
                <w:sz w:val="20"/>
                <w:szCs w:val="20"/>
              </w:rPr>
            </w:pPr>
            <w:r>
              <w:rPr>
                <w:rFonts w:cstheme="minorHAnsi"/>
                <w:sz w:val="20"/>
                <w:szCs w:val="20"/>
              </w:rPr>
              <w:t>Good practice in recruitment at Faculty/Divisional level.   Our Faculty of Arts &amp; Humanities has devised a model of best practice re recruitment for academic posts, incorporating blog posts, and mechanisms to clear career paths and promote career flexibility.</w:t>
            </w:r>
          </w:p>
        </w:tc>
        <w:tc>
          <w:tcPr>
            <w:tcW w:w="1756" w:type="dxa"/>
          </w:tcPr>
          <w:p w14:paraId="4AD0D9AF" w14:textId="7021911A" w:rsidR="00DD0520" w:rsidRDefault="00DD0520" w:rsidP="00DD0520">
            <w:pPr>
              <w:rPr>
                <w:rFonts w:cstheme="minorHAnsi"/>
                <w:sz w:val="20"/>
                <w:szCs w:val="20"/>
              </w:rPr>
            </w:pPr>
            <w:r>
              <w:rPr>
                <w:sz w:val="20"/>
                <w:szCs w:val="20"/>
              </w:rPr>
              <w:t>Chair REWG</w:t>
            </w:r>
          </w:p>
        </w:tc>
        <w:tc>
          <w:tcPr>
            <w:tcW w:w="2268" w:type="dxa"/>
          </w:tcPr>
          <w:p w14:paraId="493BDDFF" w14:textId="52C88BAE" w:rsidR="00DD0520" w:rsidRDefault="00DD0520" w:rsidP="00DD0520">
            <w:pPr>
              <w:rPr>
                <w:rFonts w:cstheme="minorHAnsi"/>
                <w:sz w:val="20"/>
                <w:szCs w:val="20"/>
              </w:rPr>
            </w:pPr>
            <w:r>
              <w:rPr>
                <w:sz w:val="20"/>
                <w:szCs w:val="20"/>
              </w:rPr>
              <w:t>Good practice adopted and implemented in roles advertised in 2020 onwards</w:t>
            </w:r>
          </w:p>
        </w:tc>
        <w:tc>
          <w:tcPr>
            <w:tcW w:w="4881" w:type="dxa"/>
          </w:tcPr>
          <w:p w14:paraId="72A36827" w14:textId="77777777" w:rsidR="00DD0520" w:rsidRDefault="00DD0520" w:rsidP="00DD0520">
            <w:pPr>
              <w:rPr>
                <w:sz w:val="20"/>
                <w:szCs w:val="20"/>
              </w:rPr>
            </w:pPr>
            <w:r>
              <w:rPr>
                <w:sz w:val="20"/>
                <w:szCs w:val="20"/>
              </w:rPr>
              <w:t>Share examples of good practice at REWG in November 2019; dissemination to/discussion with faculties via REWG and faculty events; adoption during 2020 recruitment.</w:t>
            </w:r>
          </w:p>
          <w:p w14:paraId="01DF8720" w14:textId="77777777" w:rsidR="00DD0520" w:rsidRDefault="00DD0520" w:rsidP="00DD0520">
            <w:pPr>
              <w:rPr>
                <w:sz w:val="20"/>
                <w:szCs w:val="20"/>
              </w:rPr>
            </w:pPr>
          </w:p>
          <w:p w14:paraId="774F79EA" w14:textId="77777777" w:rsidR="00DD0520" w:rsidRDefault="00DD0520" w:rsidP="00DD0520">
            <w:pPr>
              <w:rPr>
                <w:sz w:val="20"/>
                <w:szCs w:val="20"/>
              </w:rPr>
            </w:pPr>
          </w:p>
          <w:p w14:paraId="18C06E29" w14:textId="2BA22903" w:rsidR="00DD0520" w:rsidRDefault="00DD0520" w:rsidP="00DD0520">
            <w:pPr>
              <w:rPr>
                <w:rFonts w:cstheme="minorHAnsi"/>
                <w:sz w:val="20"/>
                <w:szCs w:val="20"/>
              </w:rPr>
            </w:pPr>
            <w:r>
              <w:rPr>
                <w:sz w:val="20"/>
                <w:szCs w:val="20"/>
              </w:rPr>
              <w:t>(also included under Principle 1)</w:t>
            </w:r>
          </w:p>
        </w:tc>
      </w:tr>
    </w:tbl>
    <w:p w14:paraId="04944A03" w14:textId="7E91C786" w:rsidR="004B59EB" w:rsidRDefault="004B59EB" w:rsidP="002A7F4E"/>
    <w:p w14:paraId="39A05817" w14:textId="59BD3301" w:rsidR="002C16E2" w:rsidRDefault="002C16E2" w:rsidP="002A7F4E">
      <w:r w:rsidRPr="007121E2">
        <w:rPr>
          <w:rFonts w:cstheme="minorHAnsi"/>
          <w:b/>
          <w:sz w:val="28"/>
          <w:szCs w:val="28"/>
        </w:rPr>
        <w:t>Principle 7:  Implementation &amp; Review</w:t>
      </w:r>
      <w:r w:rsidRPr="007121E2">
        <w:rPr>
          <w:rFonts w:cstheme="minorHAnsi"/>
          <w:b/>
          <w:sz w:val="28"/>
          <w:szCs w:val="28"/>
        </w:rPr>
        <w:br/>
      </w:r>
      <w:r w:rsidRPr="007121E2">
        <w:rPr>
          <w:rFonts w:cstheme="minorHAnsi"/>
          <w:i/>
          <w:sz w:val="28"/>
          <w:szCs w:val="28"/>
        </w:rPr>
        <w:t>The sector and all stakeholders will undertake regular and collective review of their progress in strengthening the attractiveness and sustainability of research careers in the UK.</w:t>
      </w:r>
    </w:p>
    <w:tbl>
      <w:tblPr>
        <w:tblStyle w:val="TableGrid"/>
        <w:tblW w:w="14312" w:type="dxa"/>
        <w:tblLook w:val="04A0" w:firstRow="1" w:lastRow="0" w:firstColumn="1" w:lastColumn="0" w:noHBand="0" w:noVBand="1"/>
        <w:tblCaption w:val="Principle 7:  Implementation &amp; Review"/>
        <w:tblDescription w:val="The sector and all stakeholders will undertake regular and collective review of their progress in strengthening the attractiveness and sustainability of research careers in the UK.&#10;"/>
      </w:tblPr>
      <w:tblGrid>
        <w:gridCol w:w="5382"/>
        <w:gridCol w:w="1417"/>
        <w:gridCol w:w="3686"/>
        <w:gridCol w:w="3827"/>
      </w:tblGrid>
      <w:tr w:rsidR="00A80BCC" w:rsidRPr="001F44CA" w14:paraId="4A799EFE" w14:textId="6BFEF9DE" w:rsidTr="002C16E2">
        <w:trPr>
          <w:tblHeader/>
        </w:trPr>
        <w:tc>
          <w:tcPr>
            <w:tcW w:w="5382" w:type="dxa"/>
            <w:shd w:val="clear" w:color="auto" w:fill="auto"/>
          </w:tcPr>
          <w:p w14:paraId="79902E36" w14:textId="0795E61E" w:rsidR="00A80BCC" w:rsidRPr="00D21CFD" w:rsidRDefault="00A80BCC" w:rsidP="002A7F4E">
            <w:pPr>
              <w:rPr>
                <w:rFonts w:cstheme="minorHAnsi"/>
                <w:sz w:val="20"/>
                <w:szCs w:val="20"/>
              </w:rPr>
            </w:pPr>
            <w:r w:rsidRPr="001F44CA">
              <w:rPr>
                <w:b/>
                <w:sz w:val="20"/>
                <w:szCs w:val="20"/>
              </w:rPr>
              <w:t>Issue to be addressed</w:t>
            </w:r>
          </w:p>
        </w:tc>
        <w:tc>
          <w:tcPr>
            <w:tcW w:w="1417" w:type="dxa"/>
            <w:shd w:val="clear" w:color="auto" w:fill="auto"/>
          </w:tcPr>
          <w:p w14:paraId="48AC0B92" w14:textId="38D2A2B3" w:rsidR="00A80BCC" w:rsidRPr="00D21CFD" w:rsidRDefault="00A80BCC" w:rsidP="002A7F4E">
            <w:pPr>
              <w:rPr>
                <w:rFonts w:cstheme="minorHAnsi"/>
                <w:sz w:val="20"/>
                <w:szCs w:val="20"/>
              </w:rPr>
            </w:pPr>
            <w:r w:rsidRPr="001F44CA">
              <w:rPr>
                <w:b/>
                <w:sz w:val="20"/>
                <w:szCs w:val="20"/>
              </w:rPr>
              <w:t>Responsibility for action</w:t>
            </w:r>
          </w:p>
        </w:tc>
        <w:tc>
          <w:tcPr>
            <w:tcW w:w="3686" w:type="dxa"/>
            <w:shd w:val="clear" w:color="auto" w:fill="auto"/>
          </w:tcPr>
          <w:p w14:paraId="0B44C3D9" w14:textId="03B88D2A" w:rsidR="00A80BCC" w:rsidRDefault="00A80BCC" w:rsidP="002A7F4E">
            <w:pPr>
              <w:rPr>
                <w:rFonts w:cstheme="minorHAnsi"/>
                <w:sz w:val="20"/>
                <w:szCs w:val="20"/>
              </w:rPr>
            </w:pPr>
            <w:r w:rsidRPr="001F44CA">
              <w:rPr>
                <w:b/>
                <w:sz w:val="20"/>
                <w:szCs w:val="20"/>
              </w:rPr>
              <w:t>Success Criteria</w:t>
            </w:r>
          </w:p>
        </w:tc>
        <w:tc>
          <w:tcPr>
            <w:tcW w:w="3827" w:type="dxa"/>
            <w:shd w:val="clear" w:color="auto" w:fill="auto"/>
          </w:tcPr>
          <w:p w14:paraId="681A0D35" w14:textId="5A0C3975" w:rsidR="00A80BCC" w:rsidRPr="5618F76D" w:rsidRDefault="00A80BCC" w:rsidP="002A7F4E">
            <w:pPr>
              <w:rPr>
                <w:sz w:val="20"/>
                <w:szCs w:val="20"/>
              </w:rPr>
            </w:pPr>
            <w:r w:rsidRPr="001F44CA">
              <w:rPr>
                <w:b/>
                <w:sz w:val="20"/>
                <w:szCs w:val="20"/>
              </w:rPr>
              <w:t>Timescale</w:t>
            </w:r>
          </w:p>
        </w:tc>
      </w:tr>
      <w:tr w:rsidR="00A80BCC" w:rsidRPr="001F44CA" w14:paraId="27A9571C" w14:textId="259F9A09" w:rsidTr="002C16E2">
        <w:tc>
          <w:tcPr>
            <w:tcW w:w="5382" w:type="dxa"/>
            <w:shd w:val="clear" w:color="auto" w:fill="auto"/>
          </w:tcPr>
          <w:p w14:paraId="47299160" w14:textId="05FDF90F" w:rsidR="00A80BCC" w:rsidRPr="00C114FE" w:rsidRDefault="00A80BCC" w:rsidP="002A7F4E">
            <w:pPr>
              <w:rPr>
                <w:rFonts w:cstheme="minorHAnsi"/>
                <w:b/>
                <w:sz w:val="20"/>
                <w:szCs w:val="20"/>
              </w:rPr>
            </w:pPr>
            <w:r w:rsidRPr="00C114FE">
              <w:rPr>
                <w:rFonts w:cstheme="minorHAnsi"/>
                <w:sz w:val="20"/>
                <w:szCs w:val="20"/>
              </w:rPr>
              <w:t>Quarterly updates of REWG will be provided to U</w:t>
            </w:r>
            <w:r>
              <w:rPr>
                <w:rFonts w:cstheme="minorHAnsi"/>
                <w:sz w:val="20"/>
                <w:szCs w:val="20"/>
              </w:rPr>
              <w:t>R</w:t>
            </w:r>
            <w:r w:rsidRPr="00C114FE">
              <w:rPr>
                <w:rFonts w:cstheme="minorHAnsi"/>
                <w:sz w:val="20"/>
                <w:szCs w:val="20"/>
              </w:rPr>
              <w:t>C and summarised in the Research Environment Digest in the University’s newsletter</w:t>
            </w:r>
          </w:p>
        </w:tc>
        <w:tc>
          <w:tcPr>
            <w:tcW w:w="1417" w:type="dxa"/>
            <w:shd w:val="clear" w:color="auto" w:fill="auto"/>
          </w:tcPr>
          <w:p w14:paraId="58198AB3" w14:textId="1358D830" w:rsidR="00A80BCC" w:rsidRPr="00C114FE" w:rsidRDefault="00A80BCC" w:rsidP="002A7F4E">
            <w:pPr>
              <w:rPr>
                <w:rFonts w:cstheme="minorHAnsi"/>
                <w:sz w:val="20"/>
                <w:szCs w:val="20"/>
              </w:rPr>
            </w:pPr>
            <w:r>
              <w:rPr>
                <w:rFonts w:cstheme="minorHAnsi"/>
                <w:sz w:val="20"/>
                <w:szCs w:val="20"/>
              </w:rPr>
              <w:t>Chair REWG</w:t>
            </w:r>
          </w:p>
          <w:p w14:paraId="00222308" w14:textId="77777777" w:rsidR="00A80BCC" w:rsidRPr="00C114FE" w:rsidRDefault="00A80BCC" w:rsidP="002A7F4E">
            <w:pPr>
              <w:rPr>
                <w:rFonts w:cstheme="minorHAnsi"/>
                <w:sz w:val="20"/>
                <w:szCs w:val="20"/>
              </w:rPr>
            </w:pPr>
          </w:p>
        </w:tc>
        <w:tc>
          <w:tcPr>
            <w:tcW w:w="3686" w:type="dxa"/>
            <w:shd w:val="clear" w:color="auto" w:fill="auto"/>
          </w:tcPr>
          <w:p w14:paraId="1299DAAD" w14:textId="073A2C2E" w:rsidR="00A80BCC" w:rsidRPr="00C114FE" w:rsidRDefault="00A80BCC" w:rsidP="002A7F4E">
            <w:pPr>
              <w:rPr>
                <w:rFonts w:cstheme="minorHAnsi"/>
                <w:sz w:val="20"/>
                <w:szCs w:val="20"/>
              </w:rPr>
            </w:pPr>
            <w:r>
              <w:rPr>
                <w:rFonts w:cstheme="minorHAnsi"/>
                <w:sz w:val="20"/>
                <w:szCs w:val="20"/>
              </w:rPr>
              <w:t xml:space="preserve">Increased senior management awareness and understanding of the work of REWG. </w:t>
            </w:r>
            <w:r w:rsidRPr="00C114FE">
              <w:rPr>
                <w:rFonts w:cstheme="minorHAnsi"/>
                <w:sz w:val="20"/>
                <w:szCs w:val="20"/>
              </w:rPr>
              <w:t>Updates will be recorded in Research Committee Minutes</w:t>
            </w:r>
          </w:p>
        </w:tc>
        <w:tc>
          <w:tcPr>
            <w:tcW w:w="3827" w:type="dxa"/>
            <w:shd w:val="clear" w:color="auto" w:fill="auto"/>
          </w:tcPr>
          <w:p w14:paraId="56341B91" w14:textId="615A2104" w:rsidR="00A80BCC" w:rsidRDefault="00105892" w:rsidP="00105892">
            <w:pPr>
              <w:rPr>
                <w:sz w:val="20"/>
                <w:szCs w:val="20"/>
              </w:rPr>
            </w:pPr>
            <w:r>
              <w:rPr>
                <w:sz w:val="20"/>
                <w:szCs w:val="20"/>
              </w:rPr>
              <w:t xml:space="preserve">To be added to URC agenda from February </w:t>
            </w:r>
            <w:r w:rsidR="00A80BCC">
              <w:rPr>
                <w:sz w:val="20"/>
                <w:szCs w:val="20"/>
              </w:rPr>
              <w:t>2020</w:t>
            </w:r>
            <w:r>
              <w:rPr>
                <w:sz w:val="20"/>
                <w:szCs w:val="20"/>
              </w:rPr>
              <w:t>.</w:t>
            </w:r>
          </w:p>
        </w:tc>
      </w:tr>
      <w:tr w:rsidR="00A80BCC" w:rsidRPr="001F44CA" w14:paraId="38EC147A" w14:textId="4CC277E4" w:rsidTr="002C16E2">
        <w:tc>
          <w:tcPr>
            <w:tcW w:w="5382" w:type="dxa"/>
          </w:tcPr>
          <w:p w14:paraId="1E9365E0" w14:textId="169814C6" w:rsidR="002C16E2" w:rsidRPr="00D21CFD" w:rsidRDefault="00A80BCC" w:rsidP="002C16E2">
            <w:pPr>
              <w:rPr>
                <w:rFonts w:cstheme="minorHAnsi"/>
                <w:sz w:val="20"/>
                <w:szCs w:val="20"/>
              </w:rPr>
            </w:pPr>
            <w:r>
              <w:rPr>
                <w:rFonts w:cstheme="minorHAnsi"/>
                <w:sz w:val="20"/>
                <w:szCs w:val="20"/>
              </w:rPr>
              <w:t>For the expanded REWG to ensure there is increased and effective communication</w:t>
            </w:r>
            <w:r w:rsidR="00105892">
              <w:rPr>
                <w:rFonts w:cstheme="minorHAnsi"/>
                <w:sz w:val="20"/>
                <w:szCs w:val="20"/>
              </w:rPr>
              <w:t xml:space="preserve"> between the REWG and Faculties. To attend relevant faculty meetings and to regularly create blog posts (Research Environment Digests).</w:t>
            </w:r>
          </w:p>
        </w:tc>
        <w:tc>
          <w:tcPr>
            <w:tcW w:w="1417" w:type="dxa"/>
          </w:tcPr>
          <w:p w14:paraId="5EF8A19E" w14:textId="0E42FC76" w:rsidR="00A80BCC" w:rsidRPr="00535F50" w:rsidRDefault="00A80BCC" w:rsidP="002A7F4E">
            <w:pPr>
              <w:rPr>
                <w:rFonts w:cstheme="minorHAnsi"/>
                <w:sz w:val="20"/>
                <w:szCs w:val="20"/>
              </w:rPr>
            </w:pPr>
            <w:r>
              <w:rPr>
                <w:rFonts w:cstheme="minorHAnsi"/>
                <w:sz w:val="20"/>
                <w:szCs w:val="20"/>
              </w:rPr>
              <w:t>REWG members</w:t>
            </w:r>
          </w:p>
        </w:tc>
        <w:tc>
          <w:tcPr>
            <w:tcW w:w="3686" w:type="dxa"/>
          </w:tcPr>
          <w:p w14:paraId="064316FA" w14:textId="0AB7C0E1" w:rsidR="00A80BCC" w:rsidRPr="005B5D23" w:rsidRDefault="00A80BCC" w:rsidP="00105892">
            <w:pPr>
              <w:rPr>
                <w:rFonts w:cstheme="minorHAnsi"/>
                <w:b/>
                <w:sz w:val="20"/>
                <w:szCs w:val="20"/>
              </w:rPr>
            </w:pPr>
            <w:r w:rsidRPr="005B5D23">
              <w:rPr>
                <w:rFonts w:cstheme="minorHAnsi"/>
                <w:sz w:val="20"/>
                <w:szCs w:val="20"/>
              </w:rPr>
              <w:t>Faculty staff will have an increased awareness of the REWG.  Attending away days, and track readership of RED</w:t>
            </w:r>
            <w:r w:rsidR="00105892" w:rsidRPr="005B5D23">
              <w:rPr>
                <w:rFonts w:cstheme="minorHAnsi"/>
                <w:sz w:val="20"/>
                <w:szCs w:val="20"/>
              </w:rPr>
              <w:t xml:space="preserve"> (produced twice per semester</w:t>
            </w:r>
            <w:r w:rsidRPr="005B5D23">
              <w:rPr>
                <w:rFonts w:cstheme="minorHAnsi"/>
                <w:sz w:val="20"/>
                <w:szCs w:val="20"/>
              </w:rPr>
              <w:t xml:space="preserve"> </w:t>
            </w:r>
          </w:p>
        </w:tc>
        <w:tc>
          <w:tcPr>
            <w:tcW w:w="3827" w:type="dxa"/>
          </w:tcPr>
          <w:p w14:paraId="7751ADC3" w14:textId="375B38A6" w:rsidR="00A80BCC" w:rsidRDefault="00105892" w:rsidP="002A7F4E">
            <w:pPr>
              <w:rPr>
                <w:rFonts w:cstheme="minorHAnsi"/>
                <w:sz w:val="20"/>
                <w:szCs w:val="20"/>
              </w:rPr>
            </w:pPr>
            <w:r>
              <w:rPr>
                <w:rFonts w:cstheme="minorHAnsi"/>
                <w:sz w:val="20"/>
                <w:szCs w:val="20"/>
              </w:rPr>
              <w:t>To attend faculty away-days from October 2019 onwards (dates are TBC at time of writing). RED produced twice per semester, first to be November 2019.</w:t>
            </w:r>
          </w:p>
        </w:tc>
      </w:tr>
      <w:tr w:rsidR="00A80BCC" w:rsidRPr="001F44CA" w14:paraId="5FF7C084" w14:textId="77777777" w:rsidTr="002C16E2">
        <w:tc>
          <w:tcPr>
            <w:tcW w:w="5382" w:type="dxa"/>
          </w:tcPr>
          <w:p w14:paraId="4EFD92E8" w14:textId="3FE02512" w:rsidR="00A80BCC" w:rsidRDefault="00A80BCC" w:rsidP="002A7F4E">
            <w:pPr>
              <w:rPr>
                <w:rFonts w:cstheme="minorHAnsi"/>
                <w:sz w:val="20"/>
                <w:szCs w:val="20"/>
              </w:rPr>
            </w:pPr>
            <w:r>
              <w:rPr>
                <w:rFonts w:cstheme="minorHAnsi"/>
                <w:sz w:val="20"/>
                <w:szCs w:val="20"/>
              </w:rPr>
              <w:lastRenderedPageBreak/>
              <w:t xml:space="preserve">To revisit marketing of CROS and PIRLS in order to increase uptake from 2019 to at least 40% of completed questionnaires in both surveys. </w:t>
            </w:r>
          </w:p>
        </w:tc>
        <w:tc>
          <w:tcPr>
            <w:tcW w:w="1417" w:type="dxa"/>
          </w:tcPr>
          <w:p w14:paraId="70F9A3D9" w14:textId="6AF4B4A6" w:rsidR="00A80BCC" w:rsidRPr="00E53B09" w:rsidRDefault="00A80BCC" w:rsidP="002A7F4E">
            <w:pPr>
              <w:rPr>
                <w:rFonts w:cstheme="minorHAnsi"/>
                <w:sz w:val="20"/>
                <w:szCs w:val="20"/>
              </w:rPr>
            </w:pPr>
            <w:r>
              <w:rPr>
                <w:rFonts w:cstheme="minorHAnsi"/>
                <w:sz w:val="20"/>
                <w:szCs w:val="20"/>
              </w:rPr>
              <w:t>Chair REWG</w:t>
            </w:r>
          </w:p>
        </w:tc>
        <w:tc>
          <w:tcPr>
            <w:tcW w:w="3686" w:type="dxa"/>
          </w:tcPr>
          <w:p w14:paraId="340FA64E" w14:textId="25ECA0A1" w:rsidR="00A80BCC" w:rsidRDefault="00A80BCC" w:rsidP="002A7F4E">
            <w:pPr>
              <w:rPr>
                <w:rFonts w:cstheme="minorHAnsi"/>
                <w:sz w:val="20"/>
                <w:szCs w:val="20"/>
              </w:rPr>
            </w:pPr>
            <w:r>
              <w:rPr>
                <w:rFonts w:cstheme="minorHAnsi"/>
                <w:sz w:val="20"/>
                <w:szCs w:val="20"/>
              </w:rPr>
              <w:t>CROS and PIRLS will both have increased their responses by 15% based on 2019 response rates</w:t>
            </w:r>
          </w:p>
        </w:tc>
        <w:tc>
          <w:tcPr>
            <w:tcW w:w="3827" w:type="dxa"/>
          </w:tcPr>
          <w:p w14:paraId="576BDC85" w14:textId="36C584D5" w:rsidR="00A80BCC" w:rsidRDefault="00A80BCC" w:rsidP="002A7F4E">
            <w:pPr>
              <w:rPr>
                <w:rFonts w:cstheme="minorHAnsi"/>
                <w:sz w:val="20"/>
                <w:szCs w:val="20"/>
              </w:rPr>
            </w:pPr>
            <w:r>
              <w:rPr>
                <w:rFonts w:cstheme="minorHAnsi"/>
                <w:sz w:val="20"/>
                <w:szCs w:val="20"/>
              </w:rPr>
              <w:t>June 2020</w:t>
            </w:r>
          </w:p>
        </w:tc>
      </w:tr>
      <w:tr w:rsidR="00A80BCC" w:rsidRPr="001F44CA" w14:paraId="4F170E68" w14:textId="77777777" w:rsidTr="002C16E2">
        <w:trPr>
          <w:trHeight w:val="1637"/>
        </w:trPr>
        <w:tc>
          <w:tcPr>
            <w:tcW w:w="5382" w:type="dxa"/>
          </w:tcPr>
          <w:p w14:paraId="7343A673" w14:textId="65AE322D" w:rsidR="00A80BCC" w:rsidRDefault="00A80BCC" w:rsidP="002A7F4E">
            <w:pPr>
              <w:rPr>
                <w:rFonts w:cstheme="minorHAnsi"/>
                <w:sz w:val="20"/>
                <w:szCs w:val="20"/>
              </w:rPr>
            </w:pPr>
            <w:r>
              <w:rPr>
                <w:rFonts w:cstheme="minorHAnsi"/>
                <w:sz w:val="20"/>
                <w:szCs w:val="20"/>
              </w:rPr>
              <w:t>Incorporate revised Concordat in to our action plan and to raise awareness across the institution of the content of the new Concordat.</w:t>
            </w:r>
          </w:p>
        </w:tc>
        <w:tc>
          <w:tcPr>
            <w:tcW w:w="1417" w:type="dxa"/>
          </w:tcPr>
          <w:p w14:paraId="0555875C" w14:textId="6C14370A" w:rsidR="00A80BCC" w:rsidRDefault="00A80BCC" w:rsidP="002A7F4E">
            <w:pPr>
              <w:rPr>
                <w:rFonts w:cstheme="minorHAnsi"/>
                <w:sz w:val="20"/>
                <w:szCs w:val="20"/>
              </w:rPr>
            </w:pPr>
            <w:r>
              <w:rPr>
                <w:rFonts w:cstheme="minorHAnsi"/>
                <w:sz w:val="20"/>
                <w:szCs w:val="20"/>
              </w:rPr>
              <w:t>Chair REWG</w:t>
            </w:r>
          </w:p>
        </w:tc>
        <w:tc>
          <w:tcPr>
            <w:tcW w:w="3686" w:type="dxa"/>
          </w:tcPr>
          <w:p w14:paraId="3D369862" w14:textId="3008BB50" w:rsidR="00A80BCC" w:rsidRDefault="00A80BCC" w:rsidP="00643DCD">
            <w:pPr>
              <w:rPr>
                <w:rFonts w:cstheme="minorHAnsi"/>
                <w:sz w:val="20"/>
                <w:szCs w:val="20"/>
              </w:rPr>
            </w:pPr>
            <w:r w:rsidRPr="0073694C">
              <w:rPr>
                <w:rFonts w:cstheme="minorHAnsi"/>
                <w:sz w:val="20"/>
                <w:szCs w:val="20"/>
              </w:rPr>
              <w:t>Events held across institution/in faculty, blogs published. Increased awareness scores in CROS survey</w:t>
            </w:r>
            <w:r w:rsidR="00765E2C" w:rsidRPr="0073694C">
              <w:rPr>
                <w:rFonts w:cstheme="minorHAnsi"/>
                <w:sz w:val="20"/>
                <w:szCs w:val="20"/>
              </w:rPr>
              <w:t xml:space="preserve"> </w:t>
            </w:r>
            <w:r w:rsidR="00110500" w:rsidRPr="0073694C">
              <w:rPr>
                <w:rFonts w:cstheme="minorHAnsi"/>
                <w:sz w:val="20"/>
                <w:szCs w:val="20"/>
              </w:rPr>
              <w:t xml:space="preserve">by </w:t>
            </w:r>
            <w:r w:rsidR="00643DCD" w:rsidRPr="0073694C">
              <w:rPr>
                <w:rFonts w:cstheme="minorHAnsi"/>
                <w:sz w:val="20"/>
                <w:szCs w:val="20"/>
              </w:rPr>
              <w:t>30%</w:t>
            </w:r>
            <w:r w:rsidR="00765E2C" w:rsidRPr="0073694C">
              <w:rPr>
                <w:rFonts w:cstheme="minorHAnsi"/>
                <w:sz w:val="20"/>
                <w:szCs w:val="20"/>
              </w:rPr>
              <w:t>)</w:t>
            </w:r>
            <w:r w:rsidRPr="0073694C">
              <w:rPr>
                <w:rFonts w:cstheme="minorHAnsi"/>
                <w:sz w:val="20"/>
                <w:szCs w:val="20"/>
              </w:rPr>
              <w:t>.</w:t>
            </w:r>
          </w:p>
        </w:tc>
        <w:tc>
          <w:tcPr>
            <w:tcW w:w="3827" w:type="dxa"/>
          </w:tcPr>
          <w:p w14:paraId="7280B7C6" w14:textId="3C66B73B" w:rsidR="00A80BCC" w:rsidRDefault="00A80BCC" w:rsidP="002A7F4E">
            <w:pPr>
              <w:rPr>
                <w:rFonts w:cstheme="minorHAnsi"/>
                <w:sz w:val="20"/>
                <w:szCs w:val="20"/>
              </w:rPr>
            </w:pPr>
            <w:r>
              <w:rPr>
                <w:rFonts w:cstheme="minorHAnsi"/>
                <w:sz w:val="20"/>
                <w:szCs w:val="20"/>
              </w:rPr>
              <w:t>October 2019-Oct 2020.</w:t>
            </w:r>
          </w:p>
        </w:tc>
      </w:tr>
      <w:tr w:rsidR="006A3B42" w:rsidRPr="001F44CA" w14:paraId="5094CB38" w14:textId="77777777" w:rsidTr="002C16E2">
        <w:trPr>
          <w:trHeight w:val="1637"/>
        </w:trPr>
        <w:tc>
          <w:tcPr>
            <w:tcW w:w="5382" w:type="dxa"/>
          </w:tcPr>
          <w:p w14:paraId="032F273C" w14:textId="693FC4C2" w:rsidR="006A3B42" w:rsidRPr="000C59CC" w:rsidRDefault="006A3B42" w:rsidP="006A3B42">
            <w:pPr>
              <w:rPr>
                <w:rFonts w:cstheme="minorHAnsi"/>
                <w:sz w:val="20"/>
                <w:szCs w:val="20"/>
              </w:rPr>
            </w:pPr>
            <w:r w:rsidRPr="000C59CC">
              <w:rPr>
                <w:rFonts w:cstheme="minorHAnsi"/>
                <w:sz w:val="20"/>
                <w:szCs w:val="20"/>
              </w:rPr>
              <w:t>To expand REWG membership to include fixed term contract researcher (s), Early Career  Researcher representation and a sustainable REWG membership</w:t>
            </w:r>
          </w:p>
        </w:tc>
        <w:tc>
          <w:tcPr>
            <w:tcW w:w="1417" w:type="dxa"/>
          </w:tcPr>
          <w:p w14:paraId="4300E5DD" w14:textId="6C3A126F" w:rsidR="006A3B42" w:rsidRDefault="006A3B42" w:rsidP="002A7F4E">
            <w:pPr>
              <w:rPr>
                <w:rFonts w:cstheme="minorHAnsi"/>
                <w:sz w:val="20"/>
                <w:szCs w:val="20"/>
              </w:rPr>
            </w:pPr>
            <w:r>
              <w:rPr>
                <w:rFonts w:cstheme="minorHAnsi"/>
                <w:sz w:val="20"/>
                <w:szCs w:val="20"/>
              </w:rPr>
              <w:t>Chair REWG</w:t>
            </w:r>
          </w:p>
        </w:tc>
        <w:tc>
          <w:tcPr>
            <w:tcW w:w="3686" w:type="dxa"/>
          </w:tcPr>
          <w:p w14:paraId="21B449DE" w14:textId="0C05F9B6" w:rsidR="00D13F04" w:rsidRPr="000C59CC" w:rsidRDefault="006A3B42" w:rsidP="001D2993">
            <w:pPr>
              <w:rPr>
                <w:rFonts w:cstheme="minorHAnsi"/>
                <w:sz w:val="20"/>
                <w:szCs w:val="20"/>
              </w:rPr>
            </w:pPr>
            <w:r w:rsidRPr="000C59CC">
              <w:rPr>
                <w:rFonts w:cstheme="minorHAnsi"/>
                <w:sz w:val="20"/>
                <w:szCs w:val="20"/>
              </w:rPr>
              <w:t>Membership to include a minim</w:t>
            </w:r>
            <w:r w:rsidR="001D2993" w:rsidRPr="000C59CC">
              <w:rPr>
                <w:rFonts w:cstheme="minorHAnsi"/>
                <w:sz w:val="20"/>
                <w:szCs w:val="20"/>
              </w:rPr>
              <w:t>um of 1 contract researcher (</w:t>
            </w:r>
            <w:r w:rsidRPr="000C59CC">
              <w:rPr>
                <w:rFonts w:cstheme="minorHAnsi"/>
                <w:sz w:val="20"/>
                <w:szCs w:val="20"/>
              </w:rPr>
              <w:t>fixed term contract) and a minimum of 2 Early Career Researcher representative across the F</w:t>
            </w:r>
            <w:r w:rsidR="001D2993" w:rsidRPr="000C59CC">
              <w:rPr>
                <w:rFonts w:cstheme="minorHAnsi"/>
                <w:sz w:val="20"/>
                <w:szCs w:val="20"/>
              </w:rPr>
              <w:t>acu</w:t>
            </w:r>
            <w:r w:rsidRPr="000C59CC">
              <w:rPr>
                <w:rFonts w:cstheme="minorHAnsi"/>
                <w:sz w:val="20"/>
                <w:szCs w:val="20"/>
              </w:rPr>
              <w:t>lties by April 2020. Annual internal review of member</w:t>
            </w:r>
            <w:r w:rsidR="001D2993" w:rsidRPr="000C59CC">
              <w:rPr>
                <w:rFonts w:cstheme="minorHAnsi"/>
                <w:sz w:val="20"/>
                <w:szCs w:val="20"/>
              </w:rPr>
              <w:t>ship</w:t>
            </w:r>
            <w:r w:rsidRPr="000C59CC">
              <w:rPr>
                <w:rFonts w:cstheme="minorHAnsi"/>
                <w:sz w:val="20"/>
                <w:szCs w:val="20"/>
              </w:rPr>
              <w:t xml:space="preserve"> </w:t>
            </w:r>
            <w:r w:rsidR="001D2993" w:rsidRPr="000C59CC">
              <w:rPr>
                <w:rFonts w:cstheme="minorHAnsi"/>
                <w:sz w:val="20"/>
                <w:szCs w:val="20"/>
              </w:rPr>
              <w:t xml:space="preserve">engagement, contribution and sustainability. </w:t>
            </w:r>
            <w:r w:rsidRPr="000C59CC">
              <w:rPr>
                <w:rFonts w:cstheme="minorHAnsi"/>
                <w:sz w:val="20"/>
                <w:szCs w:val="20"/>
              </w:rPr>
              <w:t xml:space="preserve"> Longer term goal of including, for succession planning</w:t>
            </w:r>
            <w:r w:rsidR="001D2993" w:rsidRPr="000C59CC">
              <w:rPr>
                <w:rFonts w:cstheme="minorHAnsi"/>
                <w:sz w:val="20"/>
                <w:szCs w:val="20"/>
              </w:rPr>
              <w:t xml:space="preserve"> purposes</w:t>
            </w:r>
            <w:r w:rsidRPr="000C59CC">
              <w:rPr>
                <w:rFonts w:cstheme="minorHAnsi"/>
                <w:sz w:val="20"/>
                <w:szCs w:val="20"/>
              </w:rPr>
              <w:t xml:space="preserve">, 2 PhD students,  </w:t>
            </w:r>
          </w:p>
          <w:p w14:paraId="147F2A8E" w14:textId="428BCF1F" w:rsidR="006A3B42" w:rsidRPr="000C59CC" w:rsidRDefault="00D13F04" w:rsidP="001D2993">
            <w:pPr>
              <w:rPr>
                <w:rFonts w:cstheme="minorHAnsi"/>
                <w:sz w:val="20"/>
                <w:szCs w:val="20"/>
              </w:rPr>
            </w:pPr>
            <w:r w:rsidRPr="000C59CC">
              <w:rPr>
                <w:rFonts w:cstheme="minorHAnsi"/>
                <w:sz w:val="20"/>
                <w:szCs w:val="20"/>
              </w:rPr>
              <w:t>2 post-doctoral members and 2 contract</w:t>
            </w:r>
            <w:r w:rsidR="00EC0424" w:rsidRPr="000C59CC">
              <w:rPr>
                <w:rFonts w:cstheme="minorHAnsi"/>
                <w:sz w:val="20"/>
                <w:szCs w:val="20"/>
              </w:rPr>
              <w:t xml:space="preserve"> researchers on a rolling basis, which will be managed via our ECR network.</w:t>
            </w:r>
          </w:p>
        </w:tc>
        <w:tc>
          <w:tcPr>
            <w:tcW w:w="3827" w:type="dxa"/>
          </w:tcPr>
          <w:p w14:paraId="6D9036D7" w14:textId="7547F6E2" w:rsidR="006A3B42" w:rsidRDefault="006A3B42" w:rsidP="002A7F4E">
            <w:pPr>
              <w:rPr>
                <w:rFonts w:cstheme="minorHAnsi"/>
                <w:sz w:val="20"/>
                <w:szCs w:val="20"/>
              </w:rPr>
            </w:pPr>
            <w:r>
              <w:rPr>
                <w:rFonts w:cstheme="minorHAnsi"/>
                <w:sz w:val="20"/>
                <w:szCs w:val="20"/>
              </w:rPr>
              <w:t>April 2020 and September 2020</w:t>
            </w:r>
          </w:p>
        </w:tc>
      </w:tr>
    </w:tbl>
    <w:p w14:paraId="67A3400F" w14:textId="528F8582" w:rsidR="00C83DEE" w:rsidRDefault="00C83DEE" w:rsidP="002A7F4E"/>
    <w:p w14:paraId="6701B067" w14:textId="77777777" w:rsidR="00C83DEE" w:rsidRDefault="00C83DEE">
      <w:r>
        <w:br w:type="page"/>
      </w:r>
    </w:p>
    <w:p w14:paraId="2E03603B" w14:textId="77777777" w:rsidR="00C83DEE" w:rsidRDefault="00C83DEE" w:rsidP="002A7F4E"/>
    <w:tbl>
      <w:tblPr>
        <w:tblStyle w:val="TableGrid"/>
        <w:tblW w:w="0" w:type="auto"/>
        <w:tblLook w:val="00A0" w:firstRow="1" w:lastRow="0" w:firstColumn="1" w:lastColumn="0" w:noHBand="0" w:noVBand="0"/>
        <w:tblCaption w:val="Glossary"/>
        <w:tblDescription w:val="Glossary"/>
      </w:tblPr>
      <w:tblGrid>
        <w:gridCol w:w="2547"/>
        <w:gridCol w:w="11401"/>
      </w:tblGrid>
      <w:tr w:rsidR="002C16E2" w14:paraId="263C3024" w14:textId="77777777" w:rsidTr="002C16E2">
        <w:trPr>
          <w:tblHeader/>
        </w:trPr>
        <w:tc>
          <w:tcPr>
            <w:tcW w:w="2547" w:type="dxa"/>
            <w:shd w:val="clear" w:color="auto" w:fill="E7E6E6" w:themeFill="background2"/>
          </w:tcPr>
          <w:p w14:paraId="5E7E94F2" w14:textId="77777777" w:rsidR="002C16E2" w:rsidRPr="00A70047" w:rsidRDefault="002C16E2" w:rsidP="005C539B">
            <w:pPr>
              <w:rPr>
                <w:rFonts w:cstheme="minorHAnsi"/>
                <w:b/>
                <w:sz w:val="20"/>
                <w:szCs w:val="20"/>
              </w:rPr>
            </w:pPr>
            <w:r w:rsidRPr="00A70047">
              <w:rPr>
                <w:rFonts w:cstheme="minorHAnsi"/>
                <w:b/>
                <w:sz w:val="20"/>
                <w:szCs w:val="20"/>
              </w:rPr>
              <w:t>GLOSSARY</w:t>
            </w:r>
          </w:p>
        </w:tc>
        <w:tc>
          <w:tcPr>
            <w:tcW w:w="11401" w:type="dxa"/>
            <w:shd w:val="clear" w:color="auto" w:fill="E7E6E6" w:themeFill="background2"/>
          </w:tcPr>
          <w:p w14:paraId="47B92E90" w14:textId="7767A700" w:rsidR="002C16E2" w:rsidRPr="00A70047" w:rsidRDefault="002C16E2" w:rsidP="005C539B">
            <w:pPr>
              <w:rPr>
                <w:rFonts w:cstheme="minorHAnsi"/>
                <w:b/>
                <w:sz w:val="20"/>
                <w:szCs w:val="20"/>
              </w:rPr>
            </w:pPr>
          </w:p>
        </w:tc>
      </w:tr>
      <w:tr w:rsidR="005C539B" w14:paraId="28E2D5BC" w14:textId="77777777" w:rsidTr="007D2DE3">
        <w:tc>
          <w:tcPr>
            <w:tcW w:w="2547" w:type="dxa"/>
          </w:tcPr>
          <w:p w14:paraId="26A6BFC3" w14:textId="77777777" w:rsidR="005C539B" w:rsidRDefault="005C539B" w:rsidP="005C539B">
            <w:pPr>
              <w:rPr>
                <w:rFonts w:cstheme="minorHAnsi"/>
                <w:sz w:val="20"/>
                <w:szCs w:val="20"/>
              </w:rPr>
            </w:pPr>
            <w:r>
              <w:rPr>
                <w:rFonts w:cstheme="minorHAnsi"/>
                <w:sz w:val="20"/>
                <w:szCs w:val="20"/>
              </w:rPr>
              <w:t>AAPC</w:t>
            </w:r>
          </w:p>
        </w:tc>
        <w:tc>
          <w:tcPr>
            <w:tcW w:w="11401" w:type="dxa"/>
          </w:tcPr>
          <w:p w14:paraId="661759F4" w14:textId="77777777" w:rsidR="005C539B" w:rsidRDefault="005C539B" w:rsidP="005C539B">
            <w:pPr>
              <w:rPr>
                <w:rFonts w:cstheme="minorHAnsi"/>
                <w:sz w:val="20"/>
                <w:szCs w:val="20"/>
              </w:rPr>
            </w:pPr>
            <w:r>
              <w:rPr>
                <w:rFonts w:cstheme="minorHAnsi"/>
                <w:sz w:val="20"/>
                <w:szCs w:val="20"/>
              </w:rPr>
              <w:t>Academic Advancement and Promotions Committee</w:t>
            </w:r>
          </w:p>
        </w:tc>
      </w:tr>
      <w:tr w:rsidR="005C539B" w14:paraId="321D1D3A" w14:textId="77777777" w:rsidTr="007D2DE3">
        <w:tc>
          <w:tcPr>
            <w:tcW w:w="2547" w:type="dxa"/>
          </w:tcPr>
          <w:p w14:paraId="212E5CF3" w14:textId="77777777" w:rsidR="005C539B" w:rsidRDefault="005C539B" w:rsidP="005C539B">
            <w:pPr>
              <w:rPr>
                <w:rFonts w:cstheme="minorHAnsi"/>
                <w:sz w:val="20"/>
                <w:szCs w:val="20"/>
              </w:rPr>
            </w:pPr>
            <w:r>
              <w:rPr>
                <w:rFonts w:cstheme="minorHAnsi"/>
                <w:sz w:val="20"/>
                <w:szCs w:val="20"/>
              </w:rPr>
              <w:t>Achieving Success</w:t>
            </w:r>
          </w:p>
        </w:tc>
        <w:tc>
          <w:tcPr>
            <w:tcW w:w="11401" w:type="dxa"/>
          </w:tcPr>
          <w:p w14:paraId="0AB08CFB" w14:textId="77777777" w:rsidR="005C539B" w:rsidRDefault="005C539B" w:rsidP="005C539B">
            <w:pPr>
              <w:rPr>
                <w:rFonts w:cstheme="minorHAnsi"/>
                <w:sz w:val="20"/>
                <w:szCs w:val="20"/>
              </w:rPr>
            </w:pPr>
            <w:r>
              <w:rPr>
                <w:rFonts w:cstheme="minorHAnsi"/>
                <w:sz w:val="20"/>
                <w:szCs w:val="20"/>
              </w:rPr>
              <w:t>Annual appraisal/review for staff</w:t>
            </w:r>
          </w:p>
        </w:tc>
      </w:tr>
      <w:tr w:rsidR="005C539B" w14:paraId="1A1014EF" w14:textId="77777777" w:rsidTr="007D2DE3">
        <w:tc>
          <w:tcPr>
            <w:tcW w:w="2547" w:type="dxa"/>
          </w:tcPr>
          <w:p w14:paraId="335075A9" w14:textId="77777777" w:rsidR="005C539B" w:rsidRDefault="005C539B" w:rsidP="005C539B">
            <w:pPr>
              <w:rPr>
                <w:rFonts w:cstheme="minorHAnsi"/>
                <w:sz w:val="20"/>
                <w:szCs w:val="20"/>
              </w:rPr>
            </w:pPr>
            <w:r>
              <w:rPr>
                <w:rFonts w:cstheme="minorHAnsi"/>
                <w:sz w:val="20"/>
                <w:szCs w:val="20"/>
              </w:rPr>
              <w:t>AS</w:t>
            </w:r>
          </w:p>
        </w:tc>
        <w:tc>
          <w:tcPr>
            <w:tcW w:w="11401" w:type="dxa"/>
          </w:tcPr>
          <w:p w14:paraId="30BE92BC" w14:textId="77777777" w:rsidR="005C539B" w:rsidRDefault="005C539B" w:rsidP="005C539B">
            <w:pPr>
              <w:rPr>
                <w:rFonts w:cstheme="minorHAnsi"/>
                <w:sz w:val="20"/>
                <w:szCs w:val="20"/>
              </w:rPr>
            </w:pPr>
            <w:r>
              <w:rPr>
                <w:rFonts w:cstheme="minorHAnsi"/>
                <w:sz w:val="20"/>
                <w:szCs w:val="20"/>
              </w:rPr>
              <w:t>Achieving Success (annual appraisal/review for staff)</w:t>
            </w:r>
          </w:p>
        </w:tc>
      </w:tr>
      <w:tr w:rsidR="005C539B" w14:paraId="2905F156" w14:textId="77777777" w:rsidTr="007D2DE3">
        <w:tc>
          <w:tcPr>
            <w:tcW w:w="2547" w:type="dxa"/>
          </w:tcPr>
          <w:p w14:paraId="75FFD81B" w14:textId="77777777" w:rsidR="005C539B" w:rsidRDefault="005C539B" w:rsidP="005C539B">
            <w:pPr>
              <w:rPr>
                <w:rFonts w:cstheme="minorHAnsi"/>
                <w:sz w:val="20"/>
                <w:szCs w:val="20"/>
              </w:rPr>
            </w:pPr>
            <w:r>
              <w:rPr>
                <w:rFonts w:cstheme="minorHAnsi"/>
                <w:sz w:val="20"/>
                <w:szCs w:val="20"/>
              </w:rPr>
              <w:t>CES</w:t>
            </w:r>
          </w:p>
        </w:tc>
        <w:tc>
          <w:tcPr>
            <w:tcW w:w="11401" w:type="dxa"/>
          </w:tcPr>
          <w:p w14:paraId="7312885B" w14:textId="77777777" w:rsidR="005C539B" w:rsidRDefault="005C539B" w:rsidP="005C539B">
            <w:pPr>
              <w:rPr>
                <w:rFonts w:cstheme="minorHAnsi"/>
                <w:sz w:val="20"/>
                <w:szCs w:val="20"/>
              </w:rPr>
            </w:pPr>
            <w:r>
              <w:rPr>
                <w:rFonts w:cstheme="minorHAnsi"/>
                <w:sz w:val="20"/>
                <w:szCs w:val="20"/>
              </w:rPr>
              <w:t>Careers and Employability Service</w:t>
            </w:r>
          </w:p>
        </w:tc>
      </w:tr>
      <w:tr w:rsidR="005C539B" w14:paraId="4172CFA4" w14:textId="77777777" w:rsidTr="007D2DE3">
        <w:tc>
          <w:tcPr>
            <w:tcW w:w="2547" w:type="dxa"/>
          </w:tcPr>
          <w:p w14:paraId="640847D5" w14:textId="77777777" w:rsidR="005C539B" w:rsidRDefault="005C539B" w:rsidP="005C539B">
            <w:pPr>
              <w:rPr>
                <w:rFonts w:cstheme="minorHAnsi"/>
                <w:sz w:val="20"/>
                <w:szCs w:val="20"/>
              </w:rPr>
            </w:pPr>
            <w:r>
              <w:rPr>
                <w:rFonts w:cstheme="minorHAnsi"/>
                <w:sz w:val="20"/>
                <w:szCs w:val="20"/>
              </w:rPr>
              <w:t>Dean E&amp;D</w:t>
            </w:r>
          </w:p>
        </w:tc>
        <w:tc>
          <w:tcPr>
            <w:tcW w:w="11401" w:type="dxa"/>
          </w:tcPr>
          <w:p w14:paraId="2CB89D2F" w14:textId="77777777" w:rsidR="005C539B" w:rsidRDefault="005C539B" w:rsidP="005C539B">
            <w:pPr>
              <w:rPr>
                <w:rFonts w:cstheme="minorHAnsi"/>
                <w:sz w:val="20"/>
                <w:szCs w:val="20"/>
              </w:rPr>
            </w:pPr>
            <w:r>
              <w:rPr>
                <w:rFonts w:cstheme="minorHAnsi"/>
                <w:sz w:val="20"/>
                <w:szCs w:val="20"/>
              </w:rPr>
              <w:t>Dean for Equality and Diversity</w:t>
            </w:r>
          </w:p>
        </w:tc>
      </w:tr>
      <w:tr w:rsidR="005C539B" w14:paraId="42BA1F54" w14:textId="77777777" w:rsidTr="007D2DE3">
        <w:tc>
          <w:tcPr>
            <w:tcW w:w="2547" w:type="dxa"/>
          </w:tcPr>
          <w:p w14:paraId="6C94AFED" w14:textId="77777777" w:rsidR="005C539B" w:rsidRDefault="005C539B" w:rsidP="005C539B">
            <w:pPr>
              <w:rPr>
                <w:rFonts w:cstheme="minorHAnsi"/>
                <w:sz w:val="20"/>
                <w:szCs w:val="20"/>
              </w:rPr>
            </w:pPr>
            <w:r>
              <w:rPr>
                <w:rFonts w:cstheme="minorHAnsi"/>
                <w:sz w:val="20"/>
                <w:szCs w:val="20"/>
              </w:rPr>
              <w:t>Dean RE</w:t>
            </w:r>
          </w:p>
        </w:tc>
        <w:tc>
          <w:tcPr>
            <w:tcW w:w="11401" w:type="dxa"/>
          </w:tcPr>
          <w:p w14:paraId="1F2DFFC6" w14:textId="77777777" w:rsidR="005C539B" w:rsidRDefault="005C539B" w:rsidP="005C539B">
            <w:pPr>
              <w:rPr>
                <w:rFonts w:cstheme="minorHAnsi"/>
                <w:sz w:val="20"/>
                <w:szCs w:val="20"/>
              </w:rPr>
            </w:pPr>
            <w:r>
              <w:rPr>
                <w:rFonts w:cstheme="minorHAnsi"/>
                <w:sz w:val="20"/>
                <w:szCs w:val="20"/>
              </w:rPr>
              <w:t>Dean of Research Engagement</w:t>
            </w:r>
          </w:p>
        </w:tc>
      </w:tr>
      <w:tr w:rsidR="005C539B" w14:paraId="4A7975F9" w14:textId="77777777" w:rsidTr="007D2DE3">
        <w:tc>
          <w:tcPr>
            <w:tcW w:w="2547" w:type="dxa"/>
          </w:tcPr>
          <w:p w14:paraId="7950AF88" w14:textId="77777777" w:rsidR="005C539B" w:rsidRDefault="005C539B" w:rsidP="005C539B">
            <w:pPr>
              <w:rPr>
                <w:rFonts w:cstheme="minorHAnsi"/>
                <w:sz w:val="20"/>
                <w:szCs w:val="20"/>
              </w:rPr>
            </w:pPr>
            <w:r>
              <w:rPr>
                <w:rFonts w:cstheme="minorHAnsi"/>
                <w:sz w:val="20"/>
                <w:szCs w:val="20"/>
              </w:rPr>
              <w:t>Dean RI</w:t>
            </w:r>
          </w:p>
        </w:tc>
        <w:tc>
          <w:tcPr>
            <w:tcW w:w="11401" w:type="dxa"/>
          </w:tcPr>
          <w:p w14:paraId="276AE254" w14:textId="77777777" w:rsidR="005C539B" w:rsidRDefault="005C539B" w:rsidP="005C539B">
            <w:pPr>
              <w:rPr>
                <w:rFonts w:cstheme="minorHAnsi"/>
                <w:sz w:val="20"/>
                <w:szCs w:val="20"/>
              </w:rPr>
            </w:pPr>
            <w:r>
              <w:rPr>
                <w:rFonts w:cstheme="minorHAnsi"/>
                <w:sz w:val="20"/>
                <w:szCs w:val="20"/>
              </w:rPr>
              <w:t>Dean of Research Impact</w:t>
            </w:r>
          </w:p>
        </w:tc>
      </w:tr>
      <w:tr w:rsidR="005C539B" w14:paraId="0A8FD03B" w14:textId="77777777" w:rsidTr="007D2DE3">
        <w:tc>
          <w:tcPr>
            <w:tcW w:w="2547" w:type="dxa"/>
          </w:tcPr>
          <w:p w14:paraId="30AFB9E9" w14:textId="77777777" w:rsidR="005C539B" w:rsidRDefault="005C539B" w:rsidP="005C539B">
            <w:pPr>
              <w:rPr>
                <w:rFonts w:cstheme="minorHAnsi"/>
                <w:sz w:val="20"/>
                <w:szCs w:val="20"/>
              </w:rPr>
            </w:pPr>
            <w:r>
              <w:rPr>
                <w:rFonts w:cstheme="minorHAnsi"/>
                <w:sz w:val="20"/>
                <w:szCs w:val="20"/>
              </w:rPr>
              <w:t>DP Research</w:t>
            </w:r>
          </w:p>
        </w:tc>
        <w:tc>
          <w:tcPr>
            <w:tcW w:w="11401" w:type="dxa"/>
          </w:tcPr>
          <w:p w14:paraId="607BDB10" w14:textId="77777777" w:rsidR="005C539B" w:rsidRDefault="005C539B" w:rsidP="005C539B">
            <w:pPr>
              <w:rPr>
                <w:rFonts w:cstheme="minorHAnsi"/>
                <w:sz w:val="20"/>
                <w:szCs w:val="20"/>
              </w:rPr>
            </w:pPr>
            <w:r>
              <w:rPr>
                <w:rFonts w:cstheme="minorHAnsi"/>
                <w:sz w:val="20"/>
                <w:szCs w:val="20"/>
              </w:rPr>
              <w:t>Deputy Principal for Research</w:t>
            </w:r>
          </w:p>
        </w:tc>
      </w:tr>
      <w:tr w:rsidR="00BC5BFC" w14:paraId="66180766" w14:textId="77777777" w:rsidTr="007D2DE3">
        <w:tc>
          <w:tcPr>
            <w:tcW w:w="2547" w:type="dxa"/>
          </w:tcPr>
          <w:p w14:paraId="0A812ECF" w14:textId="5371E64A" w:rsidR="00BC5BFC" w:rsidRDefault="00BC5BFC" w:rsidP="005C539B">
            <w:pPr>
              <w:rPr>
                <w:rFonts w:cstheme="minorHAnsi"/>
                <w:sz w:val="20"/>
                <w:szCs w:val="20"/>
              </w:rPr>
            </w:pPr>
            <w:r>
              <w:rPr>
                <w:rFonts w:cstheme="minorHAnsi"/>
                <w:sz w:val="20"/>
                <w:szCs w:val="20"/>
              </w:rPr>
              <w:t>ECR</w:t>
            </w:r>
          </w:p>
        </w:tc>
        <w:tc>
          <w:tcPr>
            <w:tcW w:w="11401" w:type="dxa"/>
          </w:tcPr>
          <w:p w14:paraId="18ED63BD" w14:textId="615BB339" w:rsidR="00BC5BFC" w:rsidRDefault="00BC5BFC" w:rsidP="005C539B">
            <w:pPr>
              <w:rPr>
                <w:rFonts w:cstheme="minorHAnsi"/>
                <w:sz w:val="20"/>
                <w:szCs w:val="20"/>
              </w:rPr>
            </w:pPr>
            <w:r>
              <w:rPr>
                <w:rFonts w:cstheme="minorHAnsi"/>
                <w:sz w:val="20"/>
                <w:szCs w:val="20"/>
              </w:rPr>
              <w:t>Early career researcher</w:t>
            </w:r>
          </w:p>
        </w:tc>
      </w:tr>
      <w:tr w:rsidR="005C539B" w14:paraId="5156511F" w14:textId="77777777" w:rsidTr="007D2DE3">
        <w:tc>
          <w:tcPr>
            <w:tcW w:w="2547" w:type="dxa"/>
          </w:tcPr>
          <w:p w14:paraId="4A340BA0" w14:textId="77777777" w:rsidR="005C539B" w:rsidRDefault="005C539B" w:rsidP="005C539B">
            <w:pPr>
              <w:rPr>
                <w:rFonts w:cstheme="minorHAnsi"/>
                <w:sz w:val="20"/>
                <w:szCs w:val="20"/>
              </w:rPr>
            </w:pPr>
            <w:r>
              <w:rPr>
                <w:rFonts w:cstheme="minorHAnsi"/>
                <w:sz w:val="20"/>
                <w:szCs w:val="20"/>
              </w:rPr>
              <w:t>ESG</w:t>
            </w:r>
          </w:p>
        </w:tc>
        <w:tc>
          <w:tcPr>
            <w:tcW w:w="11401" w:type="dxa"/>
          </w:tcPr>
          <w:p w14:paraId="49AEC8B3" w14:textId="77777777" w:rsidR="005C539B" w:rsidRDefault="005C539B" w:rsidP="005C539B">
            <w:pPr>
              <w:rPr>
                <w:rFonts w:cstheme="minorHAnsi"/>
                <w:sz w:val="20"/>
                <w:szCs w:val="20"/>
              </w:rPr>
            </w:pPr>
            <w:r>
              <w:rPr>
                <w:rFonts w:cstheme="minorHAnsi"/>
                <w:sz w:val="20"/>
                <w:szCs w:val="20"/>
              </w:rPr>
              <w:t>Equalities Steering Group</w:t>
            </w:r>
          </w:p>
        </w:tc>
      </w:tr>
      <w:tr w:rsidR="005C539B" w14:paraId="3ACA7A68" w14:textId="77777777" w:rsidTr="007D2DE3">
        <w:tc>
          <w:tcPr>
            <w:tcW w:w="2547" w:type="dxa"/>
          </w:tcPr>
          <w:p w14:paraId="534DB95C" w14:textId="77777777" w:rsidR="005C539B" w:rsidRDefault="005C539B" w:rsidP="005C539B">
            <w:pPr>
              <w:rPr>
                <w:rFonts w:cstheme="minorHAnsi"/>
                <w:sz w:val="20"/>
                <w:szCs w:val="20"/>
              </w:rPr>
            </w:pPr>
            <w:r>
              <w:rPr>
                <w:rFonts w:cstheme="minorHAnsi"/>
                <w:sz w:val="20"/>
                <w:szCs w:val="20"/>
              </w:rPr>
              <w:t>HR</w:t>
            </w:r>
          </w:p>
        </w:tc>
        <w:tc>
          <w:tcPr>
            <w:tcW w:w="11401" w:type="dxa"/>
          </w:tcPr>
          <w:p w14:paraId="67CCE718" w14:textId="77777777" w:rsidR="005C539B" w:rsidRDefault="005C539B" w:rsidP="005C539B">
            <w:pPr>
              <w:rPr>
                <w:rFonts w:cstheme="minorHAnsi"/>
                <w:sz w:val="20"/>
                <w:szCs w:val="20"/>
              </w:rPr>
            </w:pPr>
            <w:r>
              <w:rPr>
                <w:rFonts w:cstheme="minorHAnsi"/>
                <w:sz w:val="20"/>
                <w:szCs w:val="20"/>
              </w:rPr>
              <w:t>Human Resources</w:t>
            </w:r>
          </w:p>
        </w:tc>
      </w:tr>
      <w:tr w:rsidR="005C539B" w14:paraId="5BDA6575" w14:textId="77777777" w:rsidTr="007D2DE3">
        <w:tc>
          <w:tcPr>
            <w:tcW w:w="2547" w:type="dxa"/>
          </w:tcPr>
          <w:p w14:paraId="04C6B6D6" w14:textId="77777777" w:rsidR="005C539B" w:rsidRDefault="005C539B" w:rsidP="005C539B">
            <w:pPr>
              <w:rPr>
                <w:rFonts w:cstheme="minorHAnsi"/>
                <w:sz w:val="20"/>
                <w:szCs w:val="20"/>
              </w:rPr>
            </w:pPr>
            <w:r>
              <w:rPr>
                <w:rFonts w:cstheme="minorHAnsi"/>
                <w:sz w:val="20"/>
                <w:szCs w:val="20"/>
              </w:rPr>
              <w:t>HR AD</w:t>
            </w:r>
          </w:p>
        </w:tc>
        <w:tc>
          <w:tcPr>
            <w:tcW w:w="11401" w:type="dxa"/>
          </w:tcPr>
          <w:p w14:paraId="5660D50E" w14:textId="77777777" w:rsidR="005C539B" w:rsidRDefault="005C539B" w:rsidP="005C539B">
            <w:pPr>
              <w:rPr>
                <w:rFonts w:cstheme="minorHAnsi"/>
                <w:sz w:val="20"/>
                <w:szCs w:val="20"/>
              </w:rPr>
            </w:pPr>
            <w:r>
              <w:rPr>
                <w:rFonts w:cstheme="minorHAnsi"/>
                <w:sz w:val="20"/>
                <w:szCs w:val="20"/>
              </w:rPr>
              <w:t>Human Resources Academic Development</w:t>
            </w:r>
          </w:p>
        </w:tc>
      </w:tr>
      <w:tr w:rsidR="005C539B" w14:paraId="7F1A56AC" w14:textId="77777777" w:rsidTr="007D2DE3">
        <w:tc>
          <w:tcPr>
            <w:tcW w:w="2547" w:type="dxa"/>
          </w:tcPr>
          <w:p w14:paraId="64731E81" w14:textId="77777777" w:rsidR="005C539B" w:rsidRDefault="005C539B" w:rsidP="005C539B">
            <w:pPr>
              <w:rPr>
                <w:rFonts w:cstheme="minorHAnsi"/>
                <w:sz w:val="20"/>
                <w:szCs w:val="20"/>
              </w:rPr>
            </w:pPr>
            <w:r>
              <w:rPr>
                <w:rFonts w:cstheme="minorHAnsi"/>
                <w:sz w:val="20"/>
                <w:szCs w:val="20"/>
              </w:rPr>
              <w:t>HR OD</w:t>
            </w:r>
          </w:p>
        </w:tc>
        <w:tc>
          <w:tcPr>
            <w:tcW w:w="11401" w:type="dxa"/>
          </w:tcPr>
          <w:p w14:paraId="2F66355F" w14:textId="77777777" w:rsidR="005C539B" w:rsidRDefault="005C539B" w:rsidP="005C539B">
            <w:pPr>
              <w:rPr>
                <w:rFonts w:cstheme="minorHAnsi"/>
                <w:sz w:val="20"/>
                <w:szCs w:val="20"/>
              </w:rPr>
            </w:pPr>
            <w:r>
              <w:rPr>
                <w:rFonts w:cstheme="minorHAnsi"/>
                <w:sz w:val="20"/>
                <w:szCs w:val="20"/>
              </w:rPr>
              <w:t>Human Resources Organisational Development</w:t>
            </w:r>
          </w:p>
        </w:tc>
      </w:tr>
      <w:tr w:rsidR="005C539B" w14:paraId="29D24D32" w14:textId="77777777" w:rsidTr="007D2DE3">
        <w:tc>
          <w:tcPr>
            <w:tcW w:w="2547" w:type="dxa"/>
          </w:tcPr>
          <w:p w14:paraId="1D3A3BAD" w14:textId="38922663" w:rsidR="005C539B" w:rsidRDefault="005C539B" w:rsidP="005C539B">
            <w:pPr>
              <w:rPr>
                <w:rFonts w:cstheme="minorHAnsi"/>
                <w:sz w:val="20"/>
                <w:szCs w:val="20"/>
              </w:rPr>
            </w:pPr>
            <w:r>
              <w:rPr>
                <w:rFonts w:cstheme="minorHAnsi"/>
                <w:sz w:val="20"/>
                <w:szCs w:val="20"/>
              </w:rPr>
              <w:t>IAS</w:t>
            </w:r>
          </w:p>
        </w:tc>
        <w:tc>
          <w:tcPr>
            <w:tcW w:w="11401" w:type="dxa"/>
          </w:tcPr>
          <w:p w14:paraId="5E1013BE" w14:textId="31421968" w:rsidR="005C539B" w:rsidRDefault="005C539B" w:rsidP="005C539B">
            <w:pPr>
              <w:rPr>
                <w:rFonts w:cstheme="minorHAnsi"/>
                <w:sz w:val="20"/>
                <w:szCs w:val="20"/>
              </w:rPr>
            </w:pPr>
            <w:r>
              <w:rPr>
                <w:rFonts w:cstheme="minorHAnsi"/>
                <w:sz w:val="20"/>
                <w:szCs w:val="20"/>
              </w:rPr>
              <w:t xml:space="preserve">Institute for Advanced Studies </w:t>
            </w:r>
          </w:p>
        </w:tc>
      </w:tr>
      <w:tr w:rsidR="00BC5BFC" w14:paraId="6E94BFB3" w14:textId="77777777" w:rsidTr="007D2DE3">
        <w:tc>
          <w:tcPr>
            <w:tcW w:w="2547" w:type="dxa"/>
          </w:tcPr>
          <w:p w14:paraId="5C1F7800" w14:textId="43625FAC" w:rsidR="00BC5BFC" w:rsidRDefault="00BC5BFC" w:rsidP="005C539B">
            <w:pPr>
              <w:rPr>
                <w:rFonts w:cstheme="minorHAnsi"/>
                <w:sz w:val="20"/>
                <w:szCs w:val="20"/>
              </w:rPr>
            </w:pPr>
            <w:r>
              <w:rPr>
                <w:rFonts w:cstheme="minorHAnsi"/>
                <w:sz w:val="20"/>
                <w:szCs w:val="20"/>
              </w:rPr>
              <w:t>PI</w:t>
            </w:r>
          </w:p>
        </w:tc>
        <w:tc>
          <w:tcPr>
            <w:tcW w:w="11401" w:type="dxa"/>
          </w:tcPr>
          <w:p w14:paraId="3E4B6CAB" w14:textId="458EF7FE" w:rsidR="00BC5BFC" w:rsidRDefault="00BC5BFC" w:rsidP="005C539B">
            <w:pPr>
              <w:rPr>
                <w:rFonts w:cstheme="minorHAnsi"/>
                <w:sz w:val="20"/>
                <w:szCs w:val="20"/>
              </w:rPr>
            </w:pPr>
            <w:r>
              <w:rPr>
                <w:rFonts w:cstheme="minorHAnsi"/>
                <w:sz w:val="20"/>
                <w:szCs w:val="20"/>
              </w:rPr>
              <w:t>Principal Investigator</w:t>
            </w:r>
          </w:p>
        </w:tc>
      </w:tr>
      <w:tr w:rsidR="005C539B" w14:paraId="3F2CBFA3" w14:textId="77777777" w:rsidTr="007D2DE3">
        <w:tc>
          <w:tcPr>
            <w:tcW w:w="2547" w:type="dxa"/>
          </w:tcPr>
          <w:p w14:paraId="122DB648" w14:textId="77777777" w:rsidR="005C539B" w:rsidRDefault="005C539B" w:rsidP="005C539B">
            <w:pPr>
              <w:rPr>
                <w:rFonts w:cstheme="minorHAnsi"/>
                <w:sz w:val="20"/>
                <w:szCs w:val="20"/>
              </w:rPr>
            </w:pPr>
            <w:r>
              <w:rPr>
                <w:rFonts w:cstheme="minorHAnsi"/>
                <w:sz w:val="20"/>
                <w:szCs w:val="20"/>
              </w:rPr>
              <w:t>RDF</w:t>
            </w:r>
          </w:p>
        </w:tc>
        <w:tc>
          <w:tcPr>
            <w:tcW w:w="11401" w:type="dxa"/>
          </w:tcPr>
          <w:p w14:paraId="7EB6A033" w14:textId="77777777" w:rsidR="005C539B" w:rsidRDefault="005C539B" w:rsidP="005C539B">
            <w:pPr>
              <w:rPr>
                <w:rFonts w:cstheme="minorHAnsi"/>
                <w:sz w:val="20"/>
                <w:szCs w:val="20"/>
              </w:rPr>
            </w:pPr>
            <w:r>
              <w:rPr>
                <w:rFonts w:cstheme="minorHAnsi"/>
                <w:sz w:val="20"/>
                <w:szCs w:val="20"/>
              </w:rPr>
              <w:t>Researcher Development Framework</w:t>
            </w:r>
          </w:p>
        </w:tc>
      </w:tr>
      <w:tr w:rsidR="005C539B" w14:paraId="03E1475C" w14:textId="77777777" w:rsidTr="007D2DE3">
        <w:tc>
          <w:tcPr>
            <w:tcW w:w="2547" w:type="dxa"/>
          </w:tcPr>
          <w:p w14:paraId="32C0947A" w14:textId="77777777" w:rsidR="005C539B" w:rsidRDefault="005C539B" w:rsidP="005C539B">
            <w:pPr>
              <w:rPr>
                <w:rFonts w:cstheme="minorHAnsi"/>
                <w:sz w:val="20"/>
                <w:szCs w:val="20"/>
              </w:rPr>
            </w:pPr>
            <w:r>
              <w:rPr>
                <w:rFonts w:cstheme="minorHAnsi"/>
                <w:sz w:val="20"/>
                <w:szCs w:val="20"/>
              </w:rPr>
              <w:t>RDP</w:t>
            </w:r>
          </w:p>
        </w:tc>
        <w:tc>
          <w:tcPr>
            <w:tcW w:w="11401" w:type="dxa"/>
          </w:tcPr>
          <w:p w14:paraId="210CD201" w14:textId="77777777" w:rsidR="005C539B" w:rsidRDefault="005C539B" w:rsidP="005C539B">
            <w:pPr>
              <w:rPr>
                <w:rFonts w:cstheme="minorHAnsi"/>
                <w:sz w:val="20"/>
                <w:szCs w:val="20"/>
              </w:rPr>
            </w:pPr>
            <w:r>
              <w:rPr>
                <w:rFonts w:cstheme="minorHAnsi"/>
                <w:sz w:val="20"/>
                <w:szCs w:val="20"/>
              </w:rPr>
              <w:t>Researcher Development Programme</w:t>
            </w:r>
          </w:p>
        </w:tc>
      </w:tr>
      <w:tr w:rsidR="005C539B" w14:paraId="545951A8" w14:textId="77777777" w:rsidTr="007D2DE3">
        <w:tc>
          <w:tcPr>
            <w:tcW w:w="2547" w:type="dxa"/>
          </w:tcPr>
          <w:p w14:paraId="34BFB700" w14:textId="77777777" w:rsidR="005C539B" w:rsidRDefault="005C539B" w:rsidP="005C539B">
            <w:pPr>
              <w:rPr>
                <w:rFonts w:cstheme="minorHAnsi"/>
                <w:sz w:val="20"/>
                <w:szCs w:val="20"/>
              </w:rPr>
            </w:pPr>
            <w:r>
              <w:rPr>
                <w:rFonts w:cstheme="minorHAnsi"/>
                <w:sz w:val="20"/>
                <w:szCs w:val="20"/>
              </w:rPr>
              <w:t>REWG</w:t>
            </w:r>
          </w:p>
        </w:tc>
        <w:tc>
          <w:tcPr>
            <w:tcW w:w="11401" w:type="dxa"/>
          </w:tcPr>
          <w:p w14:paraId="39DC5298" w14:textId="77777777" w:rsidR="005C539B" w:rsidRDefault="005C539B" w:rsidP="005C539B">
            <w:pPr>
              <w:rPr>
                <w:rFonts w:cstheme="minorHAnsi"/>
                <w:sz w:val="20"/>
                <w:szCs w:val="20"/>
              </w:rPr>
            </w:pPr>
            <w:r>
              <w:rPr>
                <w:rFonts w:cstheme="minorHAnsi"/>
                <w:sz w:val="20"/>
                <w:szCs w:val="20"/>
              </w:rPr>
              <w:t>Research Environment working group</w:t>
            </w:r>
          </w:p>
        </w:tc>
      </w:tr>
      <w:tr w:rsidR="005C539B" w14:paraId="0DF3617F" w14:textId="77777777" w:rsidTr="007D2DE3">
        <w:tc>
          <w:tcPr>
            <w:tcW w:w="2547" w:type="dxa"/>
          </w:tcPr>
          <w:p w14:paraId="01CA9853" w14:textId="77777777" w:rsidR="005C539B" w:rsidRDefault="005C539B" w:rsidP="005C539B">
            <w:pPr>
              <w:rPr>
                <w:rFonts w:cstheme="minorHAnsi"/>
                <w:sz w:val="20"/>
                <w:szCs w:val="20"/>
              </w:rPr>
            </w:pPr>
            <w:r>
              <w:rPr>
                <w:rFonts w:cstheme="minorHAnsi"/>
                <w:sz w:val="20"/>
                <w:szCs w:val="20"/>
              </w:rPr>
              <w:t>RIS</w:t>
            </w:r>
          </w:p>
        </w:tc>
        <w:tc>
          <w:tcPr>
            <w:tcW w:w="11401" w:type="dxa"/>
          </w:tcPr>
          <w:p w14:paraId="544248E5" w14:textId="77777777" w:rsidR="005C539B" w:rsidRDefault="005C539B" w:rsidP="005C539B">
            <w:pPr>
              <w:rPr>
                <w:rFonts w:cstheme="minorHAnsi"/>
                <w:sz w:val="20"/>
                <w:szCs w:val="20"/>
              </w:rPr>
            </w:pPr>
            <w:r>
              <w:rPr>
                <w:rFonts w:cstheme="minorHAnsi"/>
                <w:sz w:val="20"/>
                <w:szCs w:val="20"/>
              </w:rPr>
              <w:t>Research &amp; Innovation Services (previously REO)</w:t>
            </w:r>
          </w:p>
        </w:tc>
      </w:tr>
      <w:tr w:rsidR="005C539B" w14:paraId="152057B5" w14:textId="77777777" w:rsidTr="007D2DE3">
        <w:tc>
          <w:tcPr>
            <w:tcW w:w="2547" w:type="dxa"/>
          </w:tcPr>
          <w:p w14:paraId="123959A5" w14:textId="77777777" w:rsidR="005C539B" w:rsidRDefault="005C539B" w:rsidP="005C539B">
            <w:pPr>
              <w:rPr>
                <w:rFonts w:cstheme="minorHAnsi"/>
                <w:sz w:val="20"/>
                <w:szCs w:val="20"/>
              </w:rPr>
            </w:pPr>
            <w:r>
              <w:rPr>
                <w:rFonts w:cstheme="minorHAnsi"/>
                <w:sz w:val="20"/>
                <w:szCs w:val="20"/>
              </w:rPr>
              <w:t>SMT</w:t>
            </w:r>
          </w:p>
        </w:tc>
        <w:tc>
          <w:tcPr>
            <w:tcW w:w="11401" w:type="dxa"/>
          </w:tcPr>
          <w:p w14:paraId="3D30D320" w14:textId="77777777" w:rsidR="005C539B" w:rsidRDefault="005C539B" w:rsidP="005C539B">
            <w:pPr>
              <w:rPr>
                <w:rFonts w:cstheme="minorHAnsi"/>
                <w:sz w:val="20"/>
                <w:szCs w:val="20"/>
              </w:rPr>
            </w:pPr>
            <w:r>
              <w:rPr>
                <w:rFonts w:cstheme="minorHAnsi"/>
                <w:sz w:val="20"/>
                <w:szCs w:val="20"/>
              </w:rPr>
              <w:t xml:space="preserve">Senior Management Team </w:t>
            </w:r>
          </w:p>
        </w:tc>
      </w:tr>
      <w:tr w:rsidR="005C539B" w14:paraId="0457B058" w14:textId="77777777" w:rsidTr="007D2DE3">
        <w:tc>
          <w:tcPr>
            <w:tcW w:w="2547" w:type="dxa"/>
          </w:tcPr>
          <w:p w14:paraId="14D16F82" w14:textId="77777777" w:rsidR="005C539B" w:rsidRDefault="005C539B" w:rsidP="005C539B">
            <w:pPr>
              <w:rPr>
                <w:rFonts w:cstheme="minorHAnsi"/>
                <w:sz w:val="20"/>
                <w:szCs w:val="20"/>
              </w:rPr>
            </w:pPr>
            <w:r>
              <w:rPr>
                <w:rFonts w:cstheme="minorHAnsi"/>
                <w:sz w:val="20"/>
                <w:szCs w:val="20"/>
              </w:rPr>
              <w:t>URC</w:t>
            </w:r>
          </w:p>
        </w:tc>
        <w:tc>
          <w:tcPr>
            <w:tcW w:w="11401" w:type="dxa"/>
          </w:tcPr>
          <w:p w14:paraId="41AF7CE8" w14:textId="77777777" w:rsidR="005C539B" w:rsidRDefault="005C539B" w:rsidP="005C539B">
            <w:pPr>
              <w:rPr>
                <w:rFonts w:cstheme="minorHAnsi"/>
                <w:sz w:val="20"/>
                <w:szCs w:val="20"/>
              </w:rPr>
            </w:pPr>
            <w:r>
              <w:rPr>
                <w:rFonts w:cstheme="minorHAnsi"/>
                <w:sz w:val="20"/>
                <w:szCs w:val="20"/>
              </w:rPr>
              <w:t>University Research Committee</w:t>
            </w:r>
          </w:p>
        </w:tc>
      </w:tr>
      <w:tr w:rsidR="005C539B" w14:paraId="2616C70A" w14:textId="77777777" w:rsidTr="007D2DE3">
        <w:tc>
          <w:tcPr>
            <w:tcW w:w="2547" w:type="dxa"/>
          </w:tcPr>
          <w:p w14:paraId="3314CE33" w14:textId="77777777" w:rsidR="005C539B" w:rsidRDefault="005C539B" w:rsidP="005C539B">
            <w:pPr>
              <w:rPr>
                <w:rFonts w:cstheme="minorHAnsi"/>
                <w:sz w:val="20"/>
                <w:szCs w:val="20"/>
              </w:rPr>
            </w:pPr>
            <w:r>
              <w:rPr>
                <w:rFonts w:cstheme="minorHAnsi"/>
                <w:sz w:val="20"/>
                <w:szCs w:val="20"/>
              </w:rPr>
              <w:t>USPG</w:t>
            </w:r>
          </w:p>
        </w:tc>
        <w:tc>
          <w:tcPr>
            <w:tcW w:w="11401" w:type="dxa"/>
          </w:tcPr>
          <w:p w14:paraId="40375724" w14:textId="77777777" w:rsidR="005C539B" w:rsidRDefault="005C539B" w:rsidP="005C539B">
            <w:pPr>
              <w:rPr>
                <w:rFonts w:cstheme="minorHAnsi"/>
                <w:sz w:val="20"/>
                <w:szCs w:val="20"/>
              </w:rPr>
            </w:pPr>
            <w:r>
              <w:rPr>
                <w:rFonts w:cstheme="minorHAnsi"/>
                <w:sz w:val="20"/>
                <w:szCs w:val="20"/>
              </w:rPr>
              <w:t>University Strategy and Policy Group</w:t>
            </w:r>
          </w:p>
        </w:tc>
      </w:tr>
    </w:tbl>
    <w:p w14:paraId="21CE41FC" w14:textId="0E15EB7F" w:rsidR="00D54FFF" w:rsidRDefault="00C83DEE" w:rsidP="00C83DEE">
      <w:pPr>
        <w:tabs>
          <w:tab w:val="left" w:pos="2993"/>
        </w:tabs>
      </w:pPr>
      <w:r>
        <w:tab/>
      </w:r>
    </w:p>
    <w:p w14:paraId="3502C1E0" w14:textId="77777777" w:rsidR="00D54FFF" w:rsidRDefault="00D54FFF" w:rsidP="002A7F4E"/>
    <w:sectPr w:rsidR="00D54FFF" w:rsidSect="00B23FE6">
      <w:headerReference w:type="default" r:id="rId15"/>
      <w:footerReference w:type="default" r:id="rId16"/>
      <w:pgSz w:w="16838" w:h="11906" w:orient="landscape"/>
      <w:pgMar w:top="993" w:right="1440" w:bottom="360" w:left="144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7E091" w14:textId="77777777" w:rsidR="000A413E" w:rsidRDefault="000A413E" w:rsidP="001F44CA">
      <w:pPr>
        <w:spacing w:after="0" w:line="240" w:lineRule="auto"/>
      </w:pPr>
      <w:r>
        <w:separator/>
      </w:r>
    </w:p>
  </w:endnote>
  <w:endnote w:type="continuationSeparator" w:id="0">
    <w:p w14:paraId="1305F400" w14:textId="77777777" w:rsidR="000A413E" w:rsidRDefault="000A413E" w:rsidP="001F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1FB7" w14:textId="1115AF81" w:rsidR="002435CA" w:rsidRDefault="00E74E2A" w:rsidP="00E74E2A">
    <w:pPr>
      <w:pStyle w:val="Footer"/>
    </w:pPr>
    <w:r>
      <w:t xml:space="preserve">Governance check – 01/04/22 </w:t>
    </w:r>
    <w:sdt>
      <w:sdtPr>
        <w:id w:val="-935988710"/>
        <w:docPartObj>
          <w:docPartGallery w:val="Page Numbers (Bottom of Page)"/>
          <w:docPartUnique/>
        </w:docPartObj>
      </w:sdtPr>
      <w:sdtEndPr>
        <w:rPr>
          <w:noProof/>
        </w:rPr>
      </w:sdtEndPr>
      <w:sdtContent>
        <w:r>
          <w:tab/>
        </w:r>
        <w:r>
          <w:tab/>
        </w:r>
        <w:r>
          <w:tab/>
        </w:r>
        <w:r>
          <w:tab/>
        </w:r>
        <w:r>
          <w:tab/>
        </w:r>
        <w:r>
          <w:tab/>
        </w:r>
        <w:r>
          <w:tab/>
        </w:r>
        <w:r>
          <w:tab/>
        </w:r>
        <w:r>
          <w:tab/>
        </w:r>
        <w:r w:rsidR="002435CA">
          <w:fldChar w:fldCharType="begin"/>
        </w:r>
        <w:r w:rsidR="002435CA">
          <w:instrText xml:space="preserve"> PAGE   \* MERGEFORMAT </w:instrText>
        </w:r>
        <w:r w:rsidR="002435CA">
          <w:fldChar w:fldCharType="separate"/>
        </w:r>
        <w:r w:rsidR="008C169A">
          <w:rPr>
            <w:noProof/>
          </w:rPr>
          <w:t>1</w:t>
        </w:r>
        <w:r w:rsidR="002435C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3D65" w14:textId="77777777" w:rsidR="000A413E" w:rsidRDefault="000A413E" w:rsidP="001F44CA">
      <w:pPr>
        <w:spacing w:after="0" w:line="240" w:lineRule="auto"/>
      </w:pPr>
      <w:r>
        <w:separator/>
      </w:r>
    </w:p>
  </w:footnote>
  <w:footnote w:type="continuationSeparator" w:id="0">
    <w:p w14:paraId="7D23C858" w14:textId="77777777" w:rsidR="000A413E" w:rsidRDefault="000A413E" w:rsidP="001F4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F8E0" w14:textId="77777777" w:rsidR="002435CA" w:rsidRDefault="002435CA" w:rsidP="001F44CA">
    <w:pPr>
      <w:pStyle w:val="Header"/>
      <w:jc w:val="right"/>
    </w:pPr>
    <w:r>
      <w:rPr>
        <w:noProof/>
        <w:lang w:eastAsia="en-GB"/>
      </w:rPr>
      <w:drawing>
        <wp:inline distT="0" distB="0" distL="0" distR="0" wp14:anchorId="036C4ADF" wp14:editId="58C69E76">
          <wp:extent cx="2104681" cy="1270831"/>
          <wp:effectExtent l="0" t="0" r="0" b="5715"/>
          <wp:docPr id="14" name="Picture 14" descr="Stirling University Logo" title="Stirling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S-LOGO-PMS-34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4681" cy="12708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6786"/>
    <w:multiLevelType w:val="hybridMultilevel"/>
    <w:tmpl w:val="B7443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16cid:durableId="74036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12C"/>
    <w:rsid w:val="00007518"/>
    <w:rsid w:val="00007C55"/>
    <w:rsid w:val="00017404"/>
    <w:rsid w:val="00023413"/>
    <w:rsid w:val="00034C94"/>
    <w:rsid w:val="00040753"/>
    <w:rsid w:val="000411EB"/>
    <w:rsid w:val="00041482"/>
    <w:rsid w:val="00052AE9"/>
    <w:rsid w:val="00082660"/>
    <w:rsid w:val="00092493"/>
    <w:rsid w:val="000A3C45"/>
    <w:rsid w:val="000A413E"/>
    <w:rsid w:val="000A55CC"/>
    <w:rsid w:val="000B43F8"/>
    <w:rsid w:val="000C59CC"/>
    <w:rsid w:val="000C7B71"/>
    <w:rsid w:val="000D30E5"/>
    <w:rsid w:val="000F0FC4"/>
    <w:rsid w:val="000F3111"/>
    <w:rsid w:val="000F58D8"/>
    <w:rsid w:val="00105892"/>
    <w:rsid w:val="00110500"/>
    <w:rsid w:val="001327B2"/>
    <w:rsid w:val="00136B85"/>
    <w:rsid w:val="00137FC5"/>
    <w:rsid w:val="0014787C"/>
    <w:rsid w:val="00151AE8"/>
    <w:rsid w:val="00155063"/>
    <w:rsid w:val="00156512"/>
    <w:rsid w:val="001573E5"/>
    <w:rsid w:val="00166105"/>
    <w:rsid w:val="00182195"/>
    <w:rsid w:val="00184453"/>
    <w:rsid w:val="001851AC"/>
    <w:rsid w:val="00190A36"/>
    <w:rsid w:val="001A146B"/>
    <w:rsid w:val="001B0387"/>
    <w:rsid w:val="001B3930"/>
    <w:rsid w:val="001B6941"/>
    <w:rsid w:val="001C6FDD"/>
    <w:rsid w:val="001D2993"/>
    <w:rsid w:val="001D4392"/>
    <w:rsid w:val="001D7F03"/>
    <w:rsid w:val="001E5FF5"/>
    <w:rsid w:val="001E6714"/>
    <w:rsid w:val="001F1C67"/>
    <w:rsid w:val="001F44CA"/>
    <w:rsid w:val="001F5596"/>
    <w:rsid w:val="002016DE"/>
    <w:rsid w:val="00212C61"/>
    <w:rsid w:val="00212C81"/>
    <w:rsid w:val="002204A5"/>
    <w:rsid w:val="00224092"/>
    <w:rsid w:val="002435CA"/>
    <w:rsid w:val="00263F86"/>
    <w:rsid w:val="00266640"/>
    <w:rsid w:val="00271AFB"/>
    <w:rsid w:val="00273F3F"/>
    <w:rsid w:val="00282030"/>
    <w:rsid w:val="00286029"/>
    <w:rsid w:val="00290BF7"/>
    <w:rsid w:val="00291BF9"/>
    <w:rsid w:val="00293CF2"/>
    <w:rsid w:val="002A0A49"/>
    <w:rsid w:val="002A7F4E"/>
    <w:rsid w:val="002B1F6D"/>
    <w:rsid w:val="002B48D1"/>
    <w:rsid w:val="002B4F24"/>
    <w:rsid w:val="002C14AE"/>
    <w:rsid w:val="002C16E2"/>
    <w:rsid w:val="002D0952"/>
    <w:rsid w:val="002D4EE2"/>
    <w:rsid w:val="002D5207"/>
    <w:rsid w:val="002D7B6D"/>
    <w:rsid w:val="002E29A6"/>
    <w:rsid w:val="002E2AAF"/>
    <w:rsid w:val="002F5D5E"/>
    <w:rsid w:val="003031B5"/>
    <w:rsid w:val="00304074"/>
    <w:rsid w:val="00310E52"/>
    <w:rsid w:val="003129F3"/>
    <w:rsid w:val="00333781"/>
    <w:rsid w:val="003347F6"/>
    <w:rsid w:val="00345282"/>
    <w:rsid w:val="00345F63"/>
    <w:rsid w:val="0035055D"/>
    <w:rsid w:val="00360A47"/>
    <w:rsid w:val="00365A0B"/>
    <w:rsid w:val="00367FA0"/>
    <w:rsid w:val="00375F25"/>
    <w:rsid w:val="00383170"/>
    <w:rsid w:val="0038503F"/>
    <w:rsid w:val="0038543A"/>
    <w:rsid w:val="00386D63"/>
    <w:rsid w:val="00394140"/>
    <w:rsid w:val="00394350"/>
    <w:rsid w:val="003957C5"/>
    <w:rsid w:val="00396AF5"/>
    <w:rsid w:val="003A3935"/>
    <w:rsid w:val="003B445A"/>
    <w:rsid w:val="003C3BC2"/>
    <w:rsid w:val="003C609C"/>
    <w:rsid w:val="003D19D3"/>
    <w:rsid w:val="003D76ED"/>
    <w:rsid w:val="003E31C3"/>
    <w:rsid w:val="003E7E96"/>
    <w:rsid w:val="003F1994"/>
    <w:rsid w:val="003F26BE"/>
    <w:rsid w:val="003F5DA8"/>
    <w:rsid w:val="003F6635"/>
    <w:rsid w:val="004006D6"/>
    <w:rsid w:val="00402956"/>
    <w:rsid w:val="00414228"/>
    <w:rsid w:val="0042764F"/>
    <w:rsid w:val="00427EBC"/>
    <w:rsid w:val="00444431"/>
    <w:rsid w:val="00457CCC"/>
    <w:rsid w:val="00485496"/>
    <w:rsid w:val="00485E96"/>
    <w:rsid w:val="0049225E"/>
    <w:rsid w:val="00496F3F"/>
    <w:rsid w:val="004A1D16"/>
    <w:rsid w:val="004B3075"/>
    <w:rsid w:val="004B59EB"/>
    <w:rsid w:val="004C230F"/>
    <w:rsid w:val="004C318B"/>
    <w:rsid w:val="004C3C35"/>
    <w:rsid w:val="004E070C"/>
    <w:rsid w:val="004E603D"/>
    <w:rsid w:val="004E6DC9"/>
    <w:rsid w:val="004F3E5E"/>
    <w:rsid w:val="004F4280"/>
    <w:rsid w:val="00500B74"/>
    <w:rsid w:val="00517EBC"/>
    <w:rsid w:val="0052095A"/>
    <w:rsid w:val="00522C75"/>
    <w:rsid w:val="0052642B"/>
    <w:rsid w:val="005335A3"/>
    <w:rsid w:val="005341F2"/>
    <w:rsid w:val="00535F50"/>
    <w:rsid w:val="00537499"/>
    <w:rsid w:val="0054012F"/>
    <w:rsid w:val="0054511B"/>
    <w:rsid w:val="00550E0D"/>
    <w:rsid w:val="00552856"/>
    <w:rsid w:val="00572C4D"/>
    <w:rsid w:val="005745F2"/>
    <w:rsid w:val="00574CAC"/>
    <w:rsid w:val="0057720D"/>
    <w:rsid w:val="00583AEF"/>
    <w:rsid w:val="005A1B77"/>
    <w:rsid w:val="005A5218"/>
    <w:rsid w:val="005B412B"/>
    <w:rsid w:val="005B5D23"/>
    <w:rsid w:val="005C539B"/>
    <w:rsid w:val="005D0795"/>
    <w:rsid w:val="005D4825"/>
    <w:rsid w:val="005E57CF"/>
    <w:rsid w:val="005F7C73"/>
    <w:rsid w:val="006042A0"/>
    <w:rsid w:val="00616D2F"/>
    <w:rsid w:val="00621A63"/>
    <w:rsid w:val="00642739"/>
    <w:rsid w:val="00643DCD"/>
    <w:rsid w:val="00647499"/>
    <w:rsid w:val="00655913"/>
    <w:rsid w:val="0065707A"/>
    <w:rsid w:val="00661D6E"/>
    <w:rsid w:val="00675186"/>
    <w:rsid w:val="00680FBA"/>
    <w:rsid w:val="006A3B42"/>
    <w:rsid w:val="006B61FA"/>
    <w:rsid w:val="006C3931"/>
    <w:rsid w:val="006D136D"/>
    <w:rsid w:val="006F488F"/>
    <w:rsid w:val="007021EA"/>
    <w:rsid w:val="007121E2"/>
    <w:rsid w:val="00712771"/>
    <w:rsid w:val="00714007"/>
    <w:rsid w:val="0071505F"/>
    <w:rsid w:val="0072027B"/>
    <w:rsid w:val="0073694C"/>
    <w:rsid w:val="007374EC"/>
    <w:rsid w:val="00746B84"/>
    <w:rsid w:val="00752582"/>
    <w:rsid w:val="007600E2"/>
    <w:rsid w:val="00765E2C"/>
    <w:rsid w:val="00772171"/>
    <w:rsid w:val="0078037A"/>
    <w:rsid w:val="007B3E6E"/>
    <w:rsid w:val="007B64B0"/>
    <w:rsid w:val="007C5D7C"/>
    <w:rsid w:val="007D2DE3"/>
    <w:rsid w:val="007E3B9D"/>
    <w:rsid w:val="007E3C5B"/>
    <w:rsid w:val="007F5253"/>
    <w:rsid w:val="007F77FC"/>
    <w:rsid w:val="008035E8"/>
    <w:rsid w:val="00810C9F"/>
    <w:rsid w:val="00814099"/>
    <w:rsid w:val="00821CEB"/>
    <w:rsid w:val="0082357C"/>
    <w:rsid w:val="00840054"/>
    <w:rsid w:val="00891847"/>
    <w:rsid w:val="0089563C"/>
    <w:rsid w:val="00897D87"/>
    <w:rsid w:val="008A62FC"/>
    <w:rsid w:val="008B4032"/>
    <w:rsid w:val="008C169A"/>
    <w:rsid w:val="008C47F9"/>
    <w:rsid w:val="008D0E0E"/>
    <w:rsid w:val="008D4336"/>
    <w:rsid w:val="008D4E6E"/>
    <w:rsid w:val="008D6BA4"/>
    <w:rsid w:val="008E183B"/>
    <w:rsid w:val="0090174C"/>
    <w:rsid w:val="00953C9E"/>
    <w:rsid w:val="009572A6"/>
    <w:rsid w:val="00984441"/>
    <w:rsid w:val="00993164"/>
    <w:rsid w:val="009A7920"/>
    <w:rsid w:val="009B17FF"/>
    <w:rsid w:val="009D4470"/>
    <w:rsid w:val="009D5C82"/>
    <w:rsid w:val="009F1CE8"/>
    <w:rsid w:val="009F5A3A"/>
    <w:rsid w:val="009F6D5B"/>
    <w:rsid w:val="00A01D96"/>
    <w:rsid w:val="00A02CAC"/>
    <w:rsid w:val="00A20185"/>
    <w:rsid w:val="00A21696"/>
    <w:rsid w:val="00A37CD3"/>
    <w:rsid w:val="00A42BCE"/>
    <w:rsid w:val="00A46966"/>
    <w:rsid w:val="00A5174D"/>
    <w:rsid w:val="00A52CD1"/>
    <w:rsid w:val="00A63267"/>
    <w:rsid w:val="00A64595"/>
    <w:rsid w:val="00A70047"/>
    <w:rsid w:val="00A71657"/>
    <w:rsid w:val="00A752AB"/>
    <w:rsid w:val="00A80BCC"/>
    <w:rsid w:val="00A84AE8"/>
    <w:rsid w:val="00A932B7"/>
    <w:rsid w:val="00AA51C9"/>
    <w:rsid w:val="00AA7E00"/>
    <w:rsid w:val="00AB2CE9"/>
    <w:rsid w:val="00AC317A"/>
    <w:rsid w:val="00AC3F01"/>
    <w:rsid w:val="00AD42A6"/>
    <w:rsid w:val="00AE05A5"/>
    <w:rsid w:val="00AE1EF7"/>
    <w:rsid w:val="00AE23CC"/>
    <w:rsid w:val="00AE3F56"/>
    <w:rsid w:val="00AE6A4B"/>
    <w:rsid w:val="00AF2FB7"/>
    <w:rsid w:val="00AF36A7"/>
    <w:rsid w:val="00AF7ECB"/>
    <w:rsid w:val="00B02E5A"/>
    <w:rsid w:val="00B1586F"/>
    <w:rsid w:val="00B23FE6"/>
    <w:rsid w:val="00B37E55"/>
    <w:rsid w:val="00B44695"/>
    <w:rsid w:val="00B6212C"/>
    <w:rsid w:val="00B6497F"/>
    <w:rsid w:val="00B73E7B"/>
    <w:rsid w:val="00B74FEE"/>
    <w:rsid w:val="00B75C3F"/>
    <w:rsid w:val="00B84E30"/>
    <w:rsid w:val="00BA3B31"/>
    <w:rsid w:val="00BB4E74"/>
    <w:rsid w:val="00BC03ED"/>
    <w:rsid w:val="00BC33C4"/>
    <w:rsid w:val="00BC5BFC"/>
    <w:rsid w:val="00BE25FB"/>
    <w:rsid w:val="00BE3C6D"/>
    <w:rsid w:val="00C00773"/>
    <w:rsid w:val="00C04C8F"/>
    <w:rsid w:val="00C068FE"/>
    <w:rsid w:val="00C114FE"/>
    <w:rsid w:val="00C12909"/>
    <w:rsid w:val="00C21439"/>
    <w:rsid w:val="00C24926"/>
    <w:rsid w:val="00C34C19"/>
    <w:rsid w:val="00C37043"/>
    <w:rsid w:val="00C40B54"/>
    <w:rsid w:val="00C41B3C"/>
    <w:rsid w:val="00C463F1"/>
    <w:rsid w:val="00C51CFE"/>
    <w:rsid w:val="00C56192"/>
    <w:rsid w:val="00C74EDA"/>
    <w:rsid w:val="00C762E5"/>
    <w:rsid w:val="00C83DEE"/>
    <w:rsid w:val="00C848EC"/>
    <w:rsid w:val="00C87938"/>
    <w:rsid w:val="00C90DFB"/>
    <w:rsid w:val="00C915E0"/>
    <w:rsid w:val="00C92178"/>
    <w:rsid w:val="00CA680F"/>
    <w:rsid w:val="00CB3899"/>
    <w:rsid w:val="00CB66F6"/>
    <w:rsid w:val="00CC0C7B"/>
    <w:rsid w:val="00CC52BA"/>
    <w:rsid w:val="00CC7193"/>
    <w:rsid w:val="00CF651C"/>
    <w:rsid w:val="00D13F04"/>
    <w:rsid w:val="00D20445"/>
    <w:rsid w:val="00D26E0A"/>
    <w:rsid w:val="00D31379"/>
    <w:rsid w:val="00D429C6"/>
    <w:rsid w:val="00D54FFF"/>
    <w:rsid w:val="00D6510B"/>
    <w:rsid w:val="00D731D2"/>
    <w:rsid w:val="00D834D3"/>
    <w:rsid w:val="00D91F1B"/>
    <w:rsid w:val="00D96F37"/>
    <w:rsid w:val="00DA60EA"/>
    <w:rsid w:val="00DC6AD9"/>
    <w:rsid w:val="00DD0520"/>
    <w:rsid w:val="00DD19DC"/>
    <w:rsid w:val="00E02A48"/>
    <w:rsid w:val="00E04761"/>
    <w:rsid w:val="00E07D94"/>
    <w:rsid w:val="00E15DB7"/>
    <w:rsid w:val="00E33EF6"/>
    <w:rsid w:val="00E417D2"/>
    <w:rsid w:val="00E42D99"/>
    <w:rsid w:val="00E502BA"/>
    <w:rsid w:val="00E527B2"/>
    <w:rsid w:val="00E617DB"/>
    <w:rsid w:val="00E702C6"/>
    <w:rsid w:val="00E74E2A"/>
    <w:rsid w:val="00E86C9F"/>
    <w:rsid w:val="00E92B5B"/>
    <w:rsid w:val="00E94EF8"/>
    <w:rsid w:val="00EA7226"/>
    <w:rsid w:val="00EB1556"/>
    <w:rsid w:val="00EB16D7"/>
    <w:rsid w:val="00EB32FE"/>
    <w:rsid w:val="00EB528A"/>
    <w:rsid w:val="00EB6322"/>
    <w:rsid w:val="00EC0424"/>
    <w:rsid w:val="00EE02CB"/>
    <w:rsid w:val="00EE0F3B"/>
    <w:rsid w:val="00EF0628"/>
    <w:rsid w:val="00F204BB"/>
    <w:rsid w:val="00F26144"/>
    <w:rsid w:val="00F34FFD"/>
    <w:rsid w:val="00F40455"/>
    <w:rsid w:val="00F41970"/>
    <w:rsid w:val="00F52DAB"/>
    <w:rsid w:val="00F5661D"/>
    <w:rsid w:val="00F80198"/>
    <w:rsid w:val="00F8200A"/>
    <w:rsid w:val="00FD2CF9"/>
    <w:rsid w:val="00FD449E"/>
    <w:rsid w:val="00FE1E2E"/>
    <w:rsid w:val="00FF1A86"/>
    <w:rsid w:val="21C67A5E"/>
    <w:rsid w:val="5618F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5A052"/>
  <w15:chartTrackingRefBased/>
  <w15:docId w15:val="{4CB0BB0E-FA88-4429-BE66-6488E34F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4CA"/>
    <w:rPr>
      <w:color w:val="0563C1" w:themeColor="hyperlink"/>
      <w:u w:val="single"/>
    </w:rPr>
  </w:style>
  <w:style w:type="paragraph" w:styleId="Header">
    <w:name w:val="header"/>
    <w:basedOn w:val="Normal"/>
    <w:link w:val="HeaderChar"/>
    <w:uiPriority w:val="99"/>
    <w:unhideWhenUsed/>
    <w:rsid w:val="001F4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4CA"/>
  </w:style>
  <w:style w:type="paragraph" w:styleId="Footer">
    <w:name w:val="footer"/>
    <w:basedOn w:val="Normal"/>
    <w:link w:val="FooterChar"/>
    <w:uiPriority w:val="99"/>
    <w:unhideWhenUsed/>
    <w:rsid w:val="001F4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CA"/>
  </w:style>
  <w:style w:type="paragraph" w:customStyle="1" w:styleId="Default">
    <w:name w:val="Default"/>
    <w:rsid w:val="0082357C"/>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eastAsia="en-GB"/>
    </w:rPr>
  </w:style>
  <w:style w:type="paragraph" w:styleId="ListParagraph">
    <w:name w:val="List Paragraph"/>
    <w:basedOn w:val="Normal"/>
    <w:uiPriority w:val="34"/>
    <w:qFormat/>
    <w:rsid w:val="002D5207"/>
    <w:pPr>
      <w:spacing w:after="200" w:line="276" w:lineRule="auto"/>
      <w:ind w:left="720"/>
      <w:contextualSpacing/>
    </w:pPr>
  </w:style>
  <w:style w:type="character" w:customStyle="1" w:styleId="tx2">
    <w:name w:val="tx2"/>
    <w:basedOn w:val="DefaultParagraphFont"/>
    <w:rsid w:val="0035055D"/>
    <w:rPr>
      <w:rFonts w:ascii="Times New Roman" w:hAnsi="Times New Roman" w:cs="Times New Roman" w:hint="default"/>
    </w:rPr>
  </w:style>
  <w:style w:type="paragraph" w:styleId="BalloonText">
    <w:name w:val="Balloon Text"/>
    <w:basedOn w:val="Normal"/>
    <w:link w:val="BalloonTextChar"/>
    <w:uiPriority w:val="99"/>
    <w:semiHidden/>
    <w:unhideWhenUsed/>
    <w:rsid w:val="0033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7F6"/>
    <w:rPr>
      <w:rFonts w:ascii="Segoe UI" w:hAnsi="Segoe UI" w:cs="Segoe UI"/>
      <w:sz w:val="18"/>
      <w:szCs w:val="18"/>
    </w:rPr>
  </w:style>
  <w:style w:type="character" w:styleId="FollowedHyperlink">
    <w:name w:val="FollowedHyperlink"/>
    <w:basedOn w:val="DefaultParagraphFont"/>
    <w:uiPriority w:val="99"/>
    <w:semiHidden/>
    <w:unhideWhenUsed/>
    <w:rsid w:val="001D4392"/>
    <w:rPr>
      <w:color w:val="954F72" w:themeColor="followedHyperlink"/>
      <w:u w:val="single"/>
    </w:rPr>
  </w:style>
  <w:style w:type="character" w:styleId="CommentReference">
    <w:name w:val="annotation reference"/>
    <w:basedOn w:val="DefaultParagraphFont"/>
    <w:uiPriority w:val="99"/>
    <w:semiHidden/>
    <w:unhideWhenUsed/>
    <w:rsid w:val="0014787C"/>
    <w:rPr>
      <w:sz w:val="16"/>
      <w:szCs w:val="16"/>
    </w:rPr>
  </w:style>
  <w:style w:type="paragraph" w:styleId="CommentText">
    <w:name w:val="annotation text"/>
    <w:basedOn w:val="Normal"/>
    <w:link w:val="CommentTextChar"/>
    <w:uiPriority w:val="99"/>
    <w:semiHidden/>
    <w:unhideWhenUsed/>
    <w:rsid w:val="0014787C"/>
    <w:pPr>
      <w:spacing w:line="240" w:lineRule="auto"/>
    </w:pPr>
    <w:rPr>
      <w:sz w:val="20"/>
      <w:szCs w:val="20"/>
    </w:rPr>
  </w:style>
  <w:style w:type="character" w:customStyle="1" w:styleId="CommentTextChar">
    <w:name w:val="Comment Text Char"/>
    <w:basedOn w:val="DefaultParagraphFont"/>
    <w:link w:val="CommentText"/>
    <w:uiPriority w:val="99"/>
    <w:semiHidden/>
    <w:rsid w:val="0014787C"/>
    <w:rPr>
      <w:sz w:val="20"/>
      <w:szCs w:val="20"/>
    </w:rPr>
  </w:style>
  <w:style w:type="paragraph" w:styleId="CommentSubject">
    <w:name w:val="annotation subject"/>
    <w:basedOn w:val="CommentText"/>
    <w:next w:val="CommentText"/>
    <w:link w:val="CommentSubjectChar"/>
    <w:uiPriority w:val="99"/>
    <w:semiHidden/>
    <w:unhideWhenUsed/>
    <w:rsid w:val="0014787C"/>
    <w:rPr>
      <w:b/>
      <w:bCs/>
    </w:rPr>
  </w:style>
  <w:style w:type="character" w:customStyle="1" w:styleId="CommentSubjectChar">
    <w:name w:val="Comment Subject Char"/>
    <w:basedOn w:val="CommentTextChar"/>
    <w:link w:val="CommentSubject"/>
    <w:uiPriority w:val="99"/>
    <w:semiHidden/>
    <w:rsid w:val="0014787C"/>
    <w:rPr>
      <w:b/>
      <w:bCs/>
      <w:sz w:val="20"/>
      <w:szCs w:val="20"/>
    </w:rPr>
  </w:style>
  <w:style w:type="table" w:styleId="TableGridLight">
    <w:name w:val="Grid Table Light"/>
    <w:basedOn w:val="TableNormal"/>
    <w:uiPriority w:val="40"/>
    <w:rsid w:val="007D2D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820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820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820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20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820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5309">
      <w:bodyDiv w:val="1"/>
      <w:marLeft w:val="0"/>
      <w:marRight w:val="0"/>
      <w:marTop w:val="0"/>
      <w:marBottom w:val="0"/>
      <w:divBdr>
        <w:top w:val="none" w:sz="0" w:space="0" w:color="auto"/>
        <w:left w:val="none" w:sz="0" w:space="0" w:color="auto"/>
        <w:bottom w:val="none" w:sz="0" w:space="0" w:color="auto"/>
        <w:right w:val="none" w:sz="0" w:space="0" w:color="auto"/>
      </w:divBdr>
      <w:divsChild>
        <w:div w:id="591666811">
          <w:marLeft w:val="0"/>
          <w:marRight w:val="0"/>
          <w:marTop w:val="0"/>
          <w:marBottom w:val="0"/>
          <w:divBdr>
            <w:top w:val="none" w:sz="0" w:space="0" w:color="auto"/>
            <w:left w:val="none" w:sz="0" w:space="0" w:color="auto"/>
            <w:bottom w:val="none" w:sz="0" w:space="0" w:color="auto"/>
            <w:right w:val="none" w:sz="0" w:space="0" w:color="auto"/>
          </w:divBdr>
        </w:div>
        <w:div w:id="1743484413">
          <w:marLeft w:val="0"/>
          <w:marRight w:val="0"/>
          <w:marTop w:val="0"/>
          <w:marBottom w:val="0"/>
          <w:divBdr>
            <w:top w:val="none" w:sz="0" w:space="0" w:color="auto"/>
            <w:left w:val="none" w:sz="0" w:space="0" w:color="auto"/>
            <w:bottom w:val="none" w:sz="0" w:space="0" w:color="auto"/>
            <w:right w:val="none" w:sz="0" w:space="0" w:color="auto"/>
          </w:divBdr>
        </w:div>
        <w:div w:id="2136673885">
          <w:marLeft w:val="0"/>
          <w:marRight w:val="0"/>
          <w:marTop w:val="0"/>
          <w:marBottom w:val="0"/>
          <w:divBdr>
            <w:top w:val="none" w:sz="0" w:space="0" w:color="auto"/>
            <w:left w:val="none" w:sz="0" w:space="0" w:color="auto"/>
            <w:bottom w:val="none" w:sz="0" w:space="0" w:color="auto"/>
            <w:right w:val="none" w:sz="0" w:space="0" w:color="auto"/>
          </w:divBdr>
        </w:div>
      </w:divsChild>
    </w:div>
    <w:div w:id="707678818">
      <w:bodyDiv w:val="1"/>
      <w:marLeft w:val="0"/>
      <w:marRight w:val="0"/>
      <w:marTop w:val="0"/>
      <w:marBottom w:val="0"/>
      <w:divBdr>
        <w:top w:val="none" w:sz="0" w:space="0" w:color="auto"/>
        <w:left w:val="none" w:sz="0" w:space="0" w:color="auto"/>
        <w:bottom w:val="none" w:sz="0" w:space="0" w:color="auto"/>
        <w:right w:val="none" w:sz="0" w:space="0" w:color="auto"/>
      </w:divBdr>
      <w:divsChild>
        <w:div w:id="410586230">
          <w:marLeft w:val="0"/>
          <w:marRight w:val="0"/>
          <w:marTop w:val="0"/>
          <w:marBottom w:val="0"/>
          <w:divBdr>
            <w:top w:val="none" w:sz="0" w:space="0" w:color="auto"/>
            <w:left w:val="none" w:sz="0" w:space="0" w:color="auto"/>
            <w:bottom w:val="none" w:sz="0" w:space="0" w:color="auto"/>
            <w:right w:val="none" w:sz="0" w:space="0" w:color="auto"/>
          </w:divBdr>
        </w:div>
        <w:div w:id="555898094">
          <w:marLeft w:val="0"/>
          <w:marRight w:val="0"/>
          <w:marTop w:val="0"/>
          <w:marBottom w:val="0"/>
          <w:divBdr>
            <w:top w:val="none" w:sz="0" w:space="0" w:color="auto"/>
            <w:left w:val="none" w:sz="0" w:space="0" w:color="auto"/>
            <w:bottom w:val="none" w:sz="0" w:space="0" w:color="auto"/>
            <w:right w:val="none" w:sz="0" w:space="0" w:color="auto"/>
          </w:divBdr>
        </w:div>
        <w:div w:id="1193878855">
          <w:marLeft w:val="0"/>
          <w:marRight w:val="0"/>
          <w:marTop w:val="0"/>
          <w:marBottom w:val="0"/>
          <w:divBdr>
            <w:top w:val="none" w:sz="0" w:space="0" w:color="auto"/>
            <w:left w:val="none" w:sz="0" w:space="0" w:color="auto"/>
            <w:bottom w:val="none" w:sz="0" w:space="0" w:color="auto"/>
            <w:right w:val="none" w:sz="0" w:space="0" w:color="auto"/>
          </w:divBdr>
        </w:div>
      </w:divsChild>
    </w:div>
    <w:div w:id="887572912">
      <w:bodyDiv w:val="1"/>
      <w:marLeft w:val="0"/>
      <w:marRight w:val="0"/>
      <w:marTop w:val="0"/>
      <w:marBottom w:val="0"/>
      <w:divBdr>
        <w:top w:val="none" w:sz="0" w:space="0" w:color="auto"/>
        <w:left w:val="none" w:sz="0" w:space="0" w:color="auto"/>
        <w:bottom w:val="none" w:sz="0" w:space="0" w:color="auto"/>
        <w:right w:val="none" w:sz="0" w:space="0" w:color="auto"/>
      </w:divBdr>
    </w:div>
    <w:div w:id="1722363484">
      <w:bodyDiv w:val="1"/>
      <w:marLeft w:val="0"/>
      <w:marRight w:val="0"/>
      <w:marTop w:val="0"/>
      <w:marBottom w:val="0"/>
      <w:divBdr>
        <w:top w:val="none" w:sz="0" w:space="0" w:color="auto"/>
        <w:left w:val="none" w:sz="0" w:space="0" w:color="auto"/>
        <w:bottom w:val="none" w:sz="0" w:space="0" w:color="auto"/>
        <w:right w:val="none" w:sz="0" w:space="0" w:color="auto"/>
      </w:divBdr>
    </w:div>
    <w:div w:id="173454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dward.duncan@stir.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m.reibig@stir.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ir.ac.uk/research/hr-excellence-in-research-awar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ir.ac.uk/research/researchwee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3955-31EC-4C65-A327-555325FA6D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0B5ED7-9B11-4F04-909D-3DA3C5EEE9F5}">
  <ds:schemaRefs>
    <ds:schemaRef ds:uri="http://schemas.microsoft.com/sharepoint/v3/contenttype/forms"/>
  </ds:schemaRefs>
</ds:datastoreItem>
</file>

<file path=customXml/itemProps3.xml><?xml version="1.0" encoding="utf-8"?>
<ds:datastoreItem xmlns:ds="http://schemas.openxmlformats.org/officeDocument/2006/customXml" ds:itemID="{BC7F1892-5F5E-4DE6-B19C-20FDE7315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A2BF83-6EE1-43E5-AEEA-50EC733F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Reibig</dc:creator>
  <cp:keywords/>
  <dc:description/>
  <cp:lastModifiedBy>Alex Cochrane</cp:lastModifiedBy>
  <cp:revision>5</cp:revision>
  <cp:lastPrinted>2017-09-20T13:55:00Z</cp:lastPrinted>
  <dcterms:created xsi:type="dcterms:W3CDTF">2022-04-01T08:43:00Z</dcterms:created>
  <dcterms:modified xsi:type="dcterms:W3CDTF">2022-04-06T15:36:00Z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