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91B9" w14:textId="77777777" w:rsidR="00DC448A" w:rsidRPr="00E46BFD" w:rsidRDefault="00DC448A" w:rsidP="0064789D">
      <w:pPr>
        <w:spacing w:after="0"/>
        <w:ind w:left="2160" w:firstLine="720"/>
        <w:rPr>
          <w:bCs/>
          <w:sz w:val="20"/>
          <w:szCs w:val="20"/>
        </w:rPr>
      </w:pPr>
      <w:r w:rsidRPr="00E46BFD">
        <w:rPr>
          <w:b/>
          <w:sz w:val="20"/>
          <w:szCs w:val="20"/>
        </w:rPr>
        <w:t xml:space="preserve">HR Excellence in Research Award: 10-year report </w:t>
      </w:r>
    </w:p>
    <w:p w14:paraId="29C70800" w14:textId="77777777" w:rsidR="00DC448A" w:rsidRPr="00AE5F08" w:rsidRDefault="00DC448A" w:rsidP="00CC16A0">
      <w:pPr>
        <w:pStyle w:val="Heading1"/>
        <w:rPr>
          <w:b/>
          <w:color w:val="auto"/>
          <w:sz w:val="20"/>
          <w:szCs w:val="20"/>
        </w:rPr>
      </w:pPr>
      <w:r w:rsidRPr="00AE5F08">
        <w:rPr>
          <w:b/>
          <w:color w:val="auto"/>
          <w:sz w:val="20"/>
          <w:szCs w:val="20"/>
        </w:rPr>
        <w:t>Background</w:t>
      </w:r>
    </w:p>
    <w:p w14:paraId="538ABEC4" w14:textId="741FB69D" w:rsidR="00DC448A" w:rsidRPr="005E3398" w:rsidRDefault="00DC448A" w:rsidP="00DC448A">
      <w:pPr>
        <w:spacing w:after="0" w:line="240" w:lineRule="auto"/>
        <w:jc w:val="both"/>
        <w:rPr>
          <w:rFonts w:cstheme="minorHAnsi"/>
          <w:bCs/>
          <w:sz w:val="20"/>
          <w:szCs w:val="20"/>
        </w:rPr>
      </w:pPr>
      <w:r w:rsidRPr="005E3398">
        <w:rPr>
          <w:rFonts w:cstheme="minorHAnsi"/>
          <w:bCs/>
          <w:sz w:val="20"/>
          <w:szCs w:val="20"/>
        </w:rPr>
        <w:t xml:space="preserve">The University of Stirling received the HR Excellence in Research Award in 2011 and has retained it every two years following external review, most recently in September 2019. The University of Stirling has 5 Faculties: Faculty of Arts &amp; Humanities, Faculty of Health Sciences &amp; Sport, Faculty of Natural Sciences, Faculty of Social </w:t>
      </w:r>
      <w:r w:rsidR="0089792A" w:rsidRPr="005E3398">
        <w:rPr>
          <w:rFonts w:cstheme="minorHAnsi"/>
          <w:bCs/>
          <w:sz w:val="20"/>
          <w:szCs w:val="20"/>
        </w:rPr>
        <w:t>Sciences,</w:t>
      </w:r>
      <w:r w:rsidRPr="005E3398">
        <w:rPr>
          <w:rFonts w:cstheme="minorHAnsi"/>
          <w:bCs/>
          <w:sz w:val="20"/>
          <w:szCs w:val="20"/>
        </w:rPr>
        <w:t xml:space="preserve"> and the Stirling Management School, with 577 research active staff as of 1/8/2021, of which 177 research-only members of staff.  </w:t>
      </w:r>
    </w:p>
    <w:p w14:paraId="0CC54C15" w14:textId="77777777" w:rsidR="00DC448A" w:rsidRPr="0064789D" w:rsidRDefault="00DC448A" w:rsidP="00DC448A">
      <w:pPr>
        <w:spacing w:after="0" w:line="240" w:lineRule="auto"/>
        <w:jc w:val="both"/>
        <w:rPr>
          <w:rFonts w:cstheme="minorHAnsi"/>
          <w:bCs/>
          <w:sz w:val="12"/>
          <w:szCs w:val="12"/>
        </w:rPr>
      </w:pPr>
    </w:p>
    <w:p w14:paraId="304F247D" w14:textId="762C08BE" w:rsidR="00DC448A" w:rsidRPr="005919BD" w:rsidRDefault="00DC448A" w:rsidP="008E51F2">
      <w:pPr>
        <w:spacing w:after="0" w:line="240" w:lineRule="auto"/>
        <w:jc w:val="both"/>
        <w:rPr>
          <w:sz w:val="16"/>
          <w:szCs w:val="16"/>
        </w:rPr>
      </w:pPr>
      <w:r w:rsidRPr="005E3398">
        <w:rPr>
          <w:rFonts w:cstheme="minorHAnsi"/>
          <w:bCs/>
          <w:sz w:val="20"/>
          <w:szCs w:val="20"/>
        </w:rPr>
        <w:t xml:space="preserve">The University’s Research Environment Group (REG), formerly the Research Environment Working Group, leads on the development and co-ordination of the HR Excellence in Research Award </w:t>
      </w:r>
      <w:r w:rsidR="00655F71" w:rsidRPr="000A08C1">
        <w:rPr>
          <w:rFonts w:cstheme="minorHAnsi"/>
          <w:bCs/>
          <w:sz w:val="20"/>
          <w:szCs w:val="20"/>
        </w:rPr>
        <w:t>(</w:t>
      </w:r>
      <w:proofErr w:type="spellStart"/>
      <w:r w:rsidR="00655F71" w:rsidRPr="000A08C1">
        <w:rPr>
          <w:rFonts w:cstheme="minorHAnsi"/>
          <w:bCs/>
          <w:sz w:val="20"/>
          <w:szCs w:val="20"/>
        </w:rPr>
        <w:t>HREiR</w:t>
      </w:r>
      <w:proofErr w:type="spellEnd"/>
      <w:r w:rsidR="00655F71" w:rsidRPr="000A08C1">
        <w:rPr>
          <w:rFonts w:cstheme="minorHAnsi"/>
          <w:bCs/>
          <w:sz w:val="20"/>
          <w:szCs w:val="20"/>
        </w:rPr>
        <w:t xml:space="preserve">) </w:t>
      </w:r>
      <w:r w:rsidRPr="005E3398">
        <w:rPr>
          <w:rFonts w:cstheme="minorHAnsi"/>
          <w:bCs/>
          <w:sz w:val="20"/>
          <w:szCs w:val="20"/>
        </w:rPr>
        <w:t xml:space="preserve">process, the Concordat to Support the Career Development of Researchers action plan, and the Culture, Employment and Development in Academic Research Survey (CEDARS). It previously led on the Careers in Research Online Survey (CROS) and Principal Investigators and Research Leaders Survey (PIRLS). REG reports to the University Research Committee quarterly and REG membership is reviewed annually to </w:t>
      </w:r>
      <w:r w:rsidR="00C876E5" w:rsidRPr="005E3398">
        <w:rPr>
          <w:rFonts w:cstheme="minorHAnsi"/>
          <w:bCs/>
          <w:sz w:val="20"/>
          <w:szCs w:val="20"/>
        </w:rPr>
        <w:t>guarantee a</w:t>
      </w:r>
      <w:r w:rsidRPr="005E3398">
        <w:rPr>
          <w:rFonts w:cstheme="minorHAnsi"/>
          <w:bCs/>
          <w:sz w:val="20"/>
          <w:szCs w:val="20"/>
        </w:rPr>
        <w:t xml:space="preserve"> cross Faculty representation at all levels and effective succession planning. In view of Concordat signatory obligations and development work, REG meetings have increased from 4 to 6 per annum</w:t>
      </w:r>
    </w:p>
    <w:p w14:paraId="67379218" w14:textId="77777777" w:rsidR="00DC448A" w:rsidRPr="00AE5F08" w:rsidRDefault="00DC448A" w:rsidP="00CC16A0">
      <w:pPr>
        <w:pStyle w:val="Heading1"/>
        <w:rPr>
          <w:b/>
          <w:color w:val="auto"/>
          <w:sz w:val="20"/>
          <w:szCs w:val="20"/>
        </w:rPr>
      </w:pPr>
      <w:r w:rsidRPr="00AE5F08">
        <w:rPr>
          <w:b/>
          <w:color w:val="auto"/>
          <w:sz w:val="20"/>
          <w:szCs w:val="20"/>
        </w:rPr>
        <w:t>REG Membership and Institutional Networks</w:t>
      </w:r>
    </w:p>
    <w:p w14:paraId="11BA46EE" w14:textId="545839FC" w:rsidR="00DC448A" w:rsidRPr="00AE5F08" w:rsidRDefault="003C5F02" w:rsidP="00AE5F08">
      <w:pPr>
        <w:spacing w:after="0" w:line="240" w:lineRule="auto"/>
        <w:jc w:val="both"/>
        <w:rPr>
          <w:bCs/>
          <w:sz w:val="20"/>
          <w:szCs w:val="20"/>
        </w:rPr>
      </w:pPr>
      <w:r w:rsidRPr="00E46BFD">
        <w:rPr>
          <w:bCs/>
          <w:sz w:val="20"/>
          <w:szCs w:val="20"/>
        </w:rPr>
        <w:t xml:space="preserve">Work has also been done to strengthen REG </w:t>
      </w:r>
      <w:r>
        <w:rPr>
          <w:bCs/>
          <w:sz w:val="20"/>
          <w:szCs w:val="20"/>
        </w:rPr>
        <w:t xml:space="preserve">and </w:t>
      </w:r>
      <w:r w:rsidR="00DC448A" w:rsidRPr="00E46BFD">
        <w:rPr>
          <w:bCs/>
          <w:sz w:val="20"/>
          <w:szCs w:val="20"/>
        </w:rPr>
        <w:t>membership has increased from 1</w:t>
      </w:r>
      <w:r w:rsidR="00F13C20">
        <w:rPr>
          <w:bCs/>
          <w:sz w:val="20"/>
          <w:szCs w:val="20"/>
        </w:rPr>
        <w:t>5</w:t>
      </w:r>
      <w:r w:rsidR="00DC448A" w:rsidRPr="00E46BFD">
        <w:rPr>
          <w:bCs/>
          <w:sz w:val="20"/>
          <w:szCs w:val="20"/>
        </w:rPr>
        <w:t xml:space="preserve"> members at the time of the 8-year review to 18 currently</w:t>
      </w:r>
      <w:r w:rsidR="007E0D6E">
        <w:rPr>
          <w:bCs/>
          <w:sz w:val="20"/>
          <w:szCs w:val="20"/>
        </w:rPr>
        <w:t xml:space="preserve">. </w:t>
      </w:r>
      <w:r w:rsidR="007E0D6E" w:rsidRPr="00E46BFD">
        <w:rPr>
          <w:bCs/>
          <w:sz w:val="20"/>
          <w:szCs w:val="20"/>
        </w:rPr>
        <w:t xml:space="preserve">To ensure that the principles of the Researchers’ Concordat are embedded across the institution at a </w:t>
      </w:r>
      <w:r w:rsidR="007E0D6E" w:rsidRPr="00E46BFD">
        <w:rPr>
          <w:bCs/>
          <w:i/>
          <w:iCs/>
          <w:sz w:val="20"/>
          <w:szCs w:val="20"/>
        </w:rPr>
        <w:t>strategic level</w:t>
      </w:r>
      <w:r w:rsidR="007E0D6E" w:rsidRPr="00E46BFD">
        <w:rPr>
          <w:bCs/>
          <w:sz w:val="20"/>
          <w:szCs w:val="20"/>
        </w:rPr>
        <w:t>, REG membership comprises the Deputy Principal for Research, the</w:t>
      </w:r>
      <w:r w:rsidR="00EC550F">
        <w:rPr>
          <w:bCs/>
          <w:sz w:val="20"/>
          <w:szCs w:val="20"/>
        </w:rPr>
        <w:t xml:space="preserve"> institutional deans</w:t>
      </w:r>
      <w:r w:rsidR="000E2832">
        <w:rPr>
          <w:bCs/>
          <w:sz w:val="20"/>
          <w:szCs w:val="20"/>
        </w:rPr>
        <w:t xml:space="preserve"> for</w:t>
      </w:r>
      <w:r w:rsidR="00EC550F">
        <w:rPr>
          <w:bCs/>
          <w:sz w:val="20"/>
          <w:szCs w:val="20"/>
        </w:rPr>
        <w:t xml:space="preserve"> </w:t>
      </w:r>
      <w:r w:rsidR="007E0D6E" w:rsidRPr="00E46BFD">
        <w:rPr>
          <w:bCs/>
          <w:sz w:val="20"/>
          <w:szCs w:val="20"/>
        </w:rPr>
        <w:t>Research Engagement and Performance</w:t>
      </w:r>
      <w:r w:rsidR="007E0D6E">
        <w:rPr>
          <w:bCs/>
          <w:sz w:val="20"/>
          <w:szCs w:val="20"/>
        </w:rPr>
        <w:t xml:space="preserve"> (Dean REP)</w:t>
      </w:r>
      <w:r w:rsidR="007E0D6E" w:rsidRPr="00E46BFD">
        <w:rPr>
          <w:bCs/>
          <w:sz w:val="20"/>
          <w:szCs w:val="20"/>
        </w:rPr>
        <w:t xml:space="preserve">, </w:t>
      </w:r>
      <w:r w:rsidR="000E2832">
        <w:rPr>
          <w:bCs/>
          <w:sz w:val="20"/>
          <w:szCs w:val="20"/>
        </w:rPr>
        <w:t xml:space="preserve">and for </w:t>
      </w:r>
      <w:r w:rsidR="007E0D6E" w:rsidRPr="00E46BFD">
        <w:rPr>
          <w:bCs/>
          <w:sz w:val="20"/>
          <w:szCs w:val="20"/>
        </w:rPr>
        <w:t>Equality, Diversity and Inclusion</w:t>
      </w:r>
      <w:r w:rsidR="00583D49">
        <w:rPr>
          <w:bCs/>
          <w:sz w:val="20"/>
          <w:szCs w:val="20"/>
        </w:rPr>
        <w:t xml:space="preserve"> (Dean EDI)</w:t>
      </w:r>
      <w:r w:rsidR="007E0D6E" w:rsidRPr="00E46BFD">
        <w:rPr>
          <w:bCs/>
          <w:sz w:val="20"/>
          <w:szCs w:val="20"/>
        </w:rPr>
        <w:t xml:space="preserve"> and two </w:t>
      </w:r>
      <w:r w:rsidR="007D6966">
        <w:rPr>
          <w:bCs/>
          <w:sz w:val="20"/>
          <w:szCs w:val="20"/>
        </w:rPr>
        <w:t xml:space="preserve">faculty research leads, referred to as </w:t>
      </w:r>
      <w:r w:rsidR="007E0D6E" w:rsidRPr="00E46BFD">
        <w:rPr>
          <w:bCs/>
          <w:sz w:val="20"/>
          <w:szCs w:val="20"/>
        </w:rPr>
        <w:t xml:space="preserve">Associate Deans for Research.  </w:t>
      </w:r>
      <w:r w:rsidR="008156F7">
        <w:rPr>
          <w:bCs/>
          <w:sz w:val="20"/>
          <w:szCs w:val="20"/>
        </w:rPr>
        <w:t>T</w:t>
      </w:r>
      <w:r w:rsidR="00D419EC" w:rsidRPr="00E46BFD">
        <w:rPr>
          <w:bCs/>
          <w:sz w:val="20"/>
          <w:szCs w:val="20"/>
        </w:rPr>
        <w:t xml:space="preserve">o ensure a </w:t>
      </w:r>
      <w:r w:rsidR="00D419EC" w:rsidRPr="00E46BFD">
        <w:rPr>
          <w:bCs/>
          <w:i/>
          <w:iCs/>
          <w:sz w:val="20"/>
          <w:szCs w:val="20"/>
        </w:rPr>
        <w:t>diversified representation</w:t>
      </w:r>
      <w:r w:rsidR="00D419EC" w:rsidRPr="00E46BFD">
        <w:rPr>
          <w:bCs/>
          <w:sz w:val="20"/>
          <w:szCs w:val="20"/>
        </w:rPr>
        <w:t xml:space="preserve"> and </w:t>
      </w:r>
      <w:r w:rsidR="00D419EC" w:rsidRPr="00E46BFD">
        <w:rPr>
          <w:bCs/>
          <w:i/>
          <w:iCs/>
          <w:sz w:val="20"/>
          <w:szCs w:val="20"/>
        </w:rPr>
        <w:t>dissemination of activity</w:t>
      </w:r>
      <w:r w:rsidR="00D419EC" w:rsidRPr="00E46BFD">
        <w:rPr>
          <w:bCs/>
          <w:sz w:val="20"/>
          <w:szCs w:val="20"/>
        </w:rPr>
        <w:t xml:space="preserve"> via local networks</w:t>
      </w:r>
      <w:r w:rsidR="007C7C04">
        <w:rPr>
          <w:bCs/>
          <w:sz w:val="20"/>
          <w:szCs w:val="20"/>
        </w:rPr>
        <w:t xml:space="preserve"> </w:t>
      </w:r>
      <w:r w:rsidR="008156F7">
        <w:rPr>
          <w:bCs/>
          <w:sz w:val="20"/>
          <w:szCs w:val="20"/>
        </w:rPr>
        <w:t>REG has</w:t>
      </w:r>
      <w:r w:rsidR="00DC448A" w:rsidRPr="00E46BFD">
        <w:rPr>
          <w:bCs/>
          <w:sz w:val="20"/>
          <w:szCs w:val="20"/>
        </w:rPr>
        <w:t xml:space="preserve"> a strong cross-Faculty academic representation of 12 research-active staff members, including two Research Fellows and a</w:t>
      </w:r>
      <w:r w:rsidR="007E0D6E">
        <w:rPr>
          <w:bCs/>
          <w:sz w:val="20"/>
          <w:szCs w:val="20"/>
        </w:rPr>
        <w:t xml:space="preserve"> Lecturer (</w:t>
      </w:r>
      <w:r w:rsidR="00DC448A" w:rsidRPr="00E46BFD">
        <w:rPr>
          <w:bCs/>
          <w:sz w:val="20"/>
          <w:szCs w:val="20"/>
        </w:rPr>
        <w:t>early career researche</w:t>
      </w:r>
      <w:r w:rsidR="00DC448A" w:rsidRPr="00E809FD">
        <w:rPr>
          <w:bCs/>
          <w:sz w:val="20"/>
          <w:szCs w:val="20"/>
        </w:rPr>
        <w:t>r</w:t>
      </w:r>
      <w:r w:rsidR="007E0D6E" w:rsidRPr="00E809FD">
        <w:rPr>
          <w:bCs/>
          <w:sz w:val="20"/>
          <w:szCs w:val="20"/>
        </w:rPr>
        <w:t>)</w:t>
      </w:r>
      <w:r w:rsidR="00DC448A" w:rsidRPr="00E809FD">
        <w:rPr>
          <w:bCs/>
          <w:sz w:val="20"/>
          <w:szCs w:val="20"/>
        </w:rPr>
        <w:t xml:space="preserve">. </w:t>
      </w:r>
      <w:r w:rsidR="00DC448A" w:rsidRPr="00E46BFD">
        <w:rPr>
          <w:bCs/>
          <w:sz w:val="20"/>
          <w:szCs w:val="20"/>
        </w:rPr>
        <w:t xml:space="preserve">For effective communication into Faculties and local networks, the Research Fellows are also representatives on the Faculty Research Committee and/or on the Fixed Term Contract Researchers Forum. REG has key professional support from HR &amp; Organisation Development, Careers and Employability Service and </w:t>
      </w:r>
      <w:r w:rsidR="00D419EC">
        <w:rPr>
          <w:bCs/>
          <w:sz w:val="20"/>
          <w:szCs w:val="20"/>
        </w:rPr>
        <w:t>Research, Innovation and Business Engagement (RIBE)</w:t>
      </w:r>
      <w:r w:rsidR="00DC448A" w:rsidRPr="00E46BFD">
        <w:rPr>
          <w:bCs/>
          <w:sz w:val="20"/>
          <w:szCs w:val="20"/>
        </w:rPr>
        <w:t xml:space="preserve"> </w:t>
      </w:r>
      <w:r w:rsidR="00072AB3" w:rsidRPr="00E46BFD">
        <w:rPr>
          <w:bCs/>
          <w:sz w:val="20"/>
          <w:szCs w:val="20"/>
        </w:rPr>
        <w:t xml:space="preserve">to </w:t>
      </w:r>
      <w:r w:rsidR="0002669E">
        <w:rPr>
          <w:bCs/>
          <w:sz w:val="20"/>
          <w:szCs w:val="20"/>
        </w:rPr>
        <w:t xml:space="preserve">assure </w:t>
      </w:r>
      <w:r w:rsidR="00072AB3" w:rsidRPr="00E46BFD">
        <w:rPr>
          <w:bCs/>
          <w:sz w:val="20"/>
          <w:szCs w:val="20"/>
        </w:rPr>
        <w:t>interlinking with other staff support initiatives</w:t>
      </w:r>
      <w:r w:rsidR="00072AB3">
        <w:rPr>
          <w:bCs/>
          <w:sz w:val="20"/>
          <w:szCs w:val="20"/>
        </w:rPr>
        <w:t xml:space="preserve">. </w:t>
      </w:r>
      <w:r w:rsidR="0030335A">
        <w:rPr>
          <w:bCs/>
          <w:sz w:val="20"/>
          <w:szCs w:val="20"/>
        </w:rPr>
        <w:t xml:space="preserve">REG Chair meets regularly with the Dean </w:t>
      </w:r>
      <w:r w:rsidR="0097670A">
        <w:rPr>
          <w:bCs/>
          <w:sz w:val="20"/>
          <w:szCs w:val="20"/>
        </w:rPr>
        <w:t>of</w:t>
      </w:r>
      <w:r w:rsidR="0030335A">
        <w:rPr>
          <w:bCs/>
          <w:sz w:val="20"/>
          <w:szCs w:val="20"/>
        </w:rPr>
        <w:t xml:space="preserve"> the Institute for Advanced Studies (IAS)</w:t>
      </w:r>
      <w:r w:rsidR="0002669E">
        <w:rPr>
          <w:bCs/>
          <w:sz w:val="20"/>
          <w:szCs w:val="20"/>
        </w:rPr>
        <w:t xml:space="preserve">. </w:t>
      </w:r>
      <w:r w:rsidR="00DB7ABE">
        <w:rPr>
          <w:bCs/>
          <w:sz w:val="20"/>
          <w:szCs w:val="20"/>
        </w:rPr>
        <w:t xml:space="preserve">IAS </w:t>
      </w:r>
      <w:r w:rsidR="00F17391">
        <w:rPr>
          <w:bCs/>
          <w:sz w:val="20"/>
          <w:szCs w:val="20"/>
        </w:rPr>
        <w:t>was established in 2019</w:t>
      </w:r>
      <w:r w:rsidR="0077686D">
        <w:rPr>
          <w:bCs/>
          <w:sz w:val="20"/>
          <w:szCs w:val="20"/>
        </w:rPr>
        <w:t xml:space="preserve"> </w:t>
      </w:r>
      <w:r w:rsidR="0077686D" w:rsidRPr="000E2832">
        <w:rPr>
          <w:bCs/>
          <w:sz w:val="20"/>
          <w:szCs w:val="20"/>
        </w:rPr>
        <w:t>to support researcher development and foster a sense of community for the whole researcher community</w:t>
      </w:r>
      <w:r w:rsidR="006A1D6A">
        <w:rPr>
          <w:bCs/>
          <w:sz w:val="20"/>
          <w:szCs w:val="20"/>
        </w:rPr>
        <w:t>.</w:t>
      </w:r>
    </w:p>
    <w:p w14:paraId="323FE32A" w14:textId="2B188BD2" w:rsidR="00DC448A" w:rsidRPr="00AE5F08" w:rsidRDefault="00CA2417" w:rsidP="00AE5F08">
      <w:pPr>
        <w:pStyle w:val="Heading1"/>
        <w:rPr>
          <w:b/>
          <w:color w:val="auto"/>
          <w:sz w:val="20"/>
          <w:szCs w:val="20"/>
        </w:rPr>
      </w:pPr>
      <w:proofErr w:type="spellStart"/>
      <w:r w:rsidRPr="00AE5F08">
        <w:rPr>
          <w:b/>
          <w:color w:val="auto"/>
          <w:sz w:val="20"/>
          <w:szCs w:val="20"/>
        </w:rPr>
        <w:t>HREiR</w:t>
      </w:r>
      <w:proofErr w:type="spellEnd"/>
      <w:r w:rsidRPr="00AE5F08">
        <w:rPr>
          <w:b/>
          <w:color w:val="auto"/>
          <w:sz w:val="20"/>
          <w:szCs w:val="20"/>
        </w:rPr>
        <w:t xml:space="preserve"> / Concordat to Support the Career Development of Researchers Action Plan </w:t>
      </w:r>
      <w:r w:rsidR="00904E03" w:rsidRPr="00AE5F08">
        <w:rPr>
          <w:b/>
          <w:color w:val="auto"/>
          <w:sz w:val="20"/>
          <w:szCs w:val="20"/>
        </w:rPr>
        <w:t>Audience</w:t>
      </w:r>
    </w:p>
    <w:p w14:paraId="57FA9FC4" w14:textId="55D808ED" w:rsidR="00DC448A" w:rsidRDefault="00DC448A" w:rsidP="00DC448A">
      <w:pPr>
        <w:spacing w:after="0"/>
        <w:rPr>
          <w:sz w:val="20"/>
          <w:szCs w:val="20"/>
        </w:rPr>
      </w:pPr>
      <w:r w:rsidRPr="00E46BFD">
        <w:rPr>
          <w:sz w:val="20"/>
          <w:szCs w:val="20"/>
        </w:rPr>
        <w:t xml:space="preserve">The </w:t>
      </w:r>
      <w:proofErr w:type="spellStart"/>
      <w:r w:rsidRPr="00E46BFD">
        <w:rPr>
          <w:sz w:val="20"/>
          <w:szCs w:val="20"/>
        </w:rPr>
        <w:t>HREiR</w:t>
      </w:r>
      <w:proofErr w:type="spellEnd"/>
      <w:r w:rsidRPr="00E46BFD">
        <w:rPr>
          <w:sz w:val="20"/>
          <w:szCs w:val="20"/>
        </w:rPr>
        <w:t xml:space="preserve"> 2-year 2019-2021 action plan </w:t>
      </w:r>
      <w:r w:rsidR="00007E01">
        <w:rPr>
          <w:sz w:val="20"/>
          <w:szCs w:val="20"/>
        </w:rPr>
        <w:t>contained</w:t>
      </w:r>
      <w:r w:rsidR="00007E01" w:rsidRPr="00E46BFD">
        <w:rPr>
          <w:sz w:val="20"/>
          <w:szCs w:val="20"/>
        </w:rPr>
        <w:t xml:space="preserve"> </w:t>
      </w:r>
      <w:r w:rsidRPr="00E46BFD">
        <w:rPr>
          <w:sz w:val="20"/>
          <w:szCs w:val="20"/>
        </w:rPr>
        <w:t>over 20 actions, focussing in the main on community and capacity building activities for the research community, comprising welcome lunches and induction events, Faculty away days, promotion of interdisciplinary connections and collaboration via dedicated events, the creation of a new ECR network, the development of an international mentoring programme and resources for PIs.</w:t>
      </w:r>
      <w:r w:rsidRPr="00E46BFD">
        <w:rPr>
          <w:rFonts w:ascii="Calibri" w:eastAsia="Times New Roman" w:hAnsi="Calibri" w:cs="Calibri"/>
          <w:sz w:val="20"/>
          <w:szCs w:val="20"/>
          <w:lang w:eastAsia="en-GB"/>
        </w:rPr>
        <w:t xml:space="preserve">   </w:t>
      </w:r>
      <w:r w:rsidRPr="00E46BFD">
        <w:rPr>
          <w:sz w:val="20"/>
          <w:szCs w:val="20"/>
        </w:rPr>
        <w:t>The emergence of the Covid pandemic in early 2020 necessitated a re-alignment of the action plan priorities considering new challenges faced</w:t>
      </w:r>
      <w:r w:rsidR="00007E01">
        <w:rPr>
          <w:sz w:val="20"/>
          <w:szCs w:val="20"/>
        </w:rPr>
        <w:t>, whilst also</w:t>
      </w:r>
      <w:r w:rsidR="00E809FD">
        <w:rPr>
          <w:sz w:val="20"/>
          <w:szCs w:val="20"/>
        </w:rPr>
        <w:t xml:space="preserve"> </w:t>
      </w:r>
      <w:r w:rsidRPr="00E46BFD">
        <w:rPr>
          <w:sz w:val="20"/>
          <w:szCs w:val="20"/>
        </w:rPr>
        <w:t>becoming a signatory to the Concordat to Support the Career Development of Researchers (Concordat) in October 2020</w:t>
      </w:r>
      <w:r w:rsidR="008F56E9">
        <w:rPr>
          <w:sz w:val="20"/>
          <w:szCs w:val="20"/>
        </w:rPr>
        <w:t xml:space="preserve"> which</w:t>
      </w:r>
      <w:r w:rsidRPr="00E46BFD">
        <w:rPr>
          <w:sz w:val="20"/>
          <w:szCs w:val="20"/>
        </w:rPr>
        <w:t xml:space="preserve"> was welcomed as an opportunity to refresh and reinvigorate </w:t>
      </w:r>
      <w:proofErr w:type="gramStart"/>
      <w:r w:rsidRPr="00E46BFD">
        <w:rPr>
          <w:sz w:val="20"/>
          <w:szCs w:val="20"/>
        </w:rPr>
        <w:t>future plans</w:t>
      </w:r>
      <w:proofErr w:type="gramEnd"/>
      <w:r w:rsidRPr="00E46BFD">
        <w:rPr>
          <w:sz w:val="20"/>
          <w:szCs w:val="20"/>
        </w:rPr>
        <w:t xml:space="preserve"> and scope.</w:t>
      </w:r>
    </w:p>
    <w:p w14:paraId="6F85CFFC" w14:textId="77777777" w:rsidR="00F11328" w:rsidRPr="0064789D" w:rsidRDefault="00F11328" w:rsidP="00DC448A">
      <w:pPr>
        <w:spacing w:after="0"/>
        <w:rPr>
          <w:b/>
          <w:bCs/>
          <w:sz w:val="12"/>
          <w:szCs w:val="12"/>
        </w:rPr>
      </w:pPr>
    </w:p>
    <w:p w14:paraId="304E5DB0" w14:textId="5608A63F" w:rsidR="005C6A2F" w:rsidRPr="00E46BFD" w:rsidRDefault="00DC448A" w:rsidP="0064789D">
      <w:pPr>
        <w:spacing w:after="120"/>
        <w:rPr>
          <w:sz w:val="20"/>
          <w:szCs w:val="20"/>
        </w:rPr>
      </w:pPr>
      <w:r w:rsidRPr="00E46BFD">
        <w:rPr>
          <w:sz w:val="20"/>
          <w:szCs w:val="20"/>
        </w:rPr>
        <w:t xml:space="preserve">The </w:t>
      </w:r>
      <w:proofErr w:type="spellStart"/>
      <w:r w:rsidRPr="00E46BFD">
        <w:rPr>
          <w:sz w:val="20"/>
          <w:szCs w:val="20"/>
        </w:rPr>
        <w:t>HREiR</w:t>
      </w:r>
      <w:proofErr w:type="spellEnd"/>
      <w:r w:rsidRPr="00E46BFD">
        <w:rPr>
          <w:sz w:val="20"/>
          <w:szCs w:val="20"/>
        </w:rPr>
        <w:t xml:space="preserve"> Action Plans had previously embraced initiatives for all research staff, however REG recognised that the focus and activities of the forward-looking action plan could specifically benefit and support early career researchers, who have been disproportionately affected by the impact of Covid-19. Therefore, in developing the revised two-year </w:t>
      </w:r>
      <w:proofErr w:type="spellStart"/>
      <w:r w:rsidRPr="00E46BFD">
        <w:rPr>
          <w:sz w:val="20"/>
          <w:szCs w:val="20"/>
        </w:rPr>
        <w:t>HREiR</w:t>
      </w:r>
      <w:proofErr w:type="spellEnd"/>
      <w:r w:rsidRPr="00E46BFD">
        <w:rPr>
          <w:sz w:val="20"/>
          <w:szCs w:val="20"/>
        </w:rPr>
        <w:t>/Concordat action plan a decision was taken by REG, and agreed with members of the University Research Committee, to focus on activities that would benefit early career researchers defined at Stirling as</w:t>
      </w:r>
      <w:r w:rsidRPr="00E46BFD">
        <w:rPr>
          <w:i/>
          <w:iCs/>
          <w:sz w:val="20"/>
          <w:szCs w:val="20"/>
        </w:rPr>
        <w:t xml:space="preserve"> those who are new post-docs to those transitioning to or establishing independence, with no rules based on years since PhD or whether the ECR currently holds a permanent/open-ended academic position. An early career researcher can be someone returning to research from a career break or following time in other roles, with no limits in respect of time spent outside a research environment</w:t>
      </w:r>
      <w:r w:rsidR="00F11328">
        <w:rPr>
          <w:i/>
          <w:iCs/>
          <w:sz w:val="20"/>
          <w:szCs w:val="20"/>
        </w:rPr>
        <w:t xml:space="preserve">. </w:t>
      </w:r>
      <w:r w:rsidR="00F11328">
        <w:rPr>
          <w:sz w:val="20"/>
          <w:szCs w:val="20"/>
        </w:rPr>
        <w:t>T</w:t>
      </w:r>
      <w:r w:rsidRPr="00E46BFD">
        <w:rPr>
          <w:bCs/>
          <w:sz w:val="20"/>
          <w:szCs w:val="20"/>
        </w:rPr>
        <w:t xml:space="preserve">he institutional audience for this award is primarily Research-only staff (approx. 170) and Research and Teaching staff (approx. 180). </w:t>
      </w:r>
      <w:r w:rsidR="00F11328">
        <w:rPr>
          <w:bCs/>
          <w:sz w:val="20"/>
          <w:szCs w:val="20"/>
        </w:rPr>
        <w:t xml:space="preserve">Not </w:t>
      </w:r>
      <w:r w:rsidRPr="00E46BFD">
        <w:rPr>
          <w:bCs/>
          <w:sz w:val="20"/>
          <w:szCs w:val="20"/>
        </w:rPr>
        <w:t>all these contractual roles will be or identify as an ECR</w:t>
      </w:r>
      <w:r w:rsidR="00F11328">
        <w:rPr>
          <w:bCs/>
          <w:sz w:val="20"/>
          <w:szCs w:val="20"/>
        </w:rPr>
        <w:t xml:space="preserve"> </w:t>
      </w:r>
      <w:r w:rsidR="00F11328" w:rsidRPr="00F11328">
        <w:rPr>
          <w:sz w:val="20"/>
          <w:szCs w:val="20"/>
        </w:rPr>
        <w:t>however th</w:t>
      </w:r>
      <w:r w:rsidR="00F11328" w:rsidRPr="00E46BFD">
        <w:rPr>
          <w:sz w:val="20"/>
          <w:szCs w:val="20"/>
        </w:rPr>
        <w:t>e purpose of this definition is to be inclusive and encourage self-identification</w:t>
      </w:r>
      <w:r w:rsidR="00F11328">
        <w:rPr>
          <w:sz w:val="20"/>
          <w:szCs w:val="20"/>
        </w:rPr>
        <w:t>.</w:t>
      </w:r>
    </w:p>
    <w:p w14:paraId="63782953" w14:textId="0E0D09FE" w:rsidR="005C6A2F" w:rsidRPr="00AE5F08" w:rsidRDefault="00DC448A" w:rsidP="004058C7">
      <w:pPr>
        <w:pStyle w:val="Heading1"/>
        <w:rPr>
          <w:b/>
          <w:color w:val="auto"/>
          <w:sz w:val="20"/>
          <w:szCs w:val="20"/>
        </w:rPr>
      </w:pPr>
      <w:r w:rsidRPr="00AE5F08">
        <w:rPr>
          <w:b/>
          <w:color w:val="auto"/>
          <w:sz w:val="20"/>
          <w:szCs w:val="20"/>
        </w:rPr>
        <w:t>Internal Review and Researcher Engagement</w:t>
      </w:r>
    </w:p>
    <w:p w14:paraId="4E3C2A06" w14:textId="25450F6B" w:rsidR="00DC448A" w:rsidRPr="00E46BFD" w:rsidRDefault="00DC448A" w:rsidP="005C6A2F">
      <w:pPr>
        <w:spacing w:after="0"/>
        <w:rPr>
          <w:sz w:val="20"/>
          <w:szCs w:val="20"/>
        </w:rPr>
      </w:pPr>
      <w:r w:rsidRPr="00E46BFD">
        <w:rPr>
          <w:sz w:val="20"/>
          <w:szCs w:val="20"/>
        </w:rPr>
        <w:t>Since undersigning the Concordat, REG has undertaken a variety of activities to engage with individuals and groups to explore</w:t>
      </w:r>
      <w:r w:rsidR="005C6A2F">
        <w:rPr>
          <w:sz w:val="20"/>
          <w:szCs w:val="20"/>
        </w:rPr>
        <w:t xml:space="preserve"> </w:t>
      </w:r>
      <w:r w:rsidRPr="00E46BFD">
        <w:rPr>
          <w:sz w:val="20"/>
          <w:szCs w:val="20"/>
        </w:rPr>
        <w:t xml:space="preserve">priority areas in which to focus resources, </w:t>
      </w:r>
      <w:r w:rsidR="00EC16CC" w:rsidRPr="00E46BFD">
        <w:rPr>
          <w:sz w:val="20"/>
          <w:szCs w:val="20"/>
        </w:rPr>
        <w:t>actions,</w:t>
      </w:r>
      <w:r w:rsidRPr="00E46BFD">
        <w:rPr>
          <w:sz w:val="20"/>
          <w:szCs w:val="20"/>
        </w:rPr>
        <w:t xml:space="preserve"> and training to better support the ECR community. </w:t>
      </w:r>
    </w:p>
    <w:p w14:paraId="17B25F65" w14:textId="5B244965" w:rsidR="00D22B41" w:rsidRPr="00E46BFD" w:rsidRDefault="00DC448A" w:rsidP="0064789D">
      <w:pPr>
        <w:pStyle w:val="ListParagraph"/>
        <w:numPr>
          <w:ilvl w:val="0"/>
          <w:numId w:val="7"/>
        </w:numPr>
        <w:spacing w:after="120" w:line="276" w:lineRule="auto"/>
        <w:ind w:left="417"/>
        <w:rPr>
          <w:sz w:val="20"/>
          <w:szCs w:val="20"/>
        </w:rPr>
      </w:pPr>
      <w:r w:rsidRPr="00E46BFD">
        <w:rPr>
          <w:rFonts w:ascii="Calibri" w:eastAsia="Times New Roman" w:hAnsi="Calibri" w:cs="Calibri"/>
          <w:i/>
          <w:iCs/>
          <w:color w:val="000000"/>
          <w:sz w:val="20"/>
          <w:szCs w:val="20"/>
          <w:lang w:eastAsia="en-GB"/>
        </w:rPr>
        <w:t>Dedicated</w:t>
      </w:r>
      <w:r w:rsidRPr="00E46BFD">
        <w:rPr>
          <w:i/>
          <w:iCs/>
          <w:sz w:val="20"/>
          <w:szCs w:val="20"/>
        </w:rPr>
        <w:t xml:space="preserve"> REG task groups</w:t>
      </w:r>
      <w:r w:rsidRPr="00E46BFD">
        <w:rPr>
          <w:sz w:val="20"/>
          <w:szCs w:val="20"/>
        </w:rPr>
        <w:t xml:space="preserve"> were developed as part of REG consultations, to undertake </w:t>
      </w:r>
      <w:r w:rsidR="00E7601F">
        <w:rPr>
          <w:sz w:val="20"/>
          <w:szCs w:val="20"/>
        </w:rPr>
        <w:t xml:space="preserve">i) </w:t>
      </w:r>
      <w:r w:rsidRPr="00E46BFD">
        <w:rPr>
          <w:sz w:val="20"/>
          <w:szCs w:val="20"/>
        </w:rPr>
        <w:t xml:space="preserve">the internal gap analysis </w:t>
      </w:r>
      <w:r w:rsidRPr="00E46BFD">
        <w:rPr>
          <w:bCs/>
          <w:sz w:val="20"/>
          <w:szCs w:val="20"/>
        </w:rPr>
        <w:t xml:space="preserve">in Spring-Summer 2020 </w:t>
      </w:r>
      <w:r w:rsidRPr="00E46BFD">
        <w:rPr>
          <w:sz w:val="20"/>
          <w:szCs w:val="20"/>
        </w:rPr>
        <w:t xml:space="preserve">of current practice </w:t>
      </w:r>
      <w:r w:rsidRPr="00E46BFD">
        <w:rPr>
          <w:bCs/>
          <w:sz w:val="20"/>
          <w:szCs w:val="20"/>
        </w:rPr>
        <w:t>against the new Concordat</w:t>
      </w:r>
      <w:r w:rsidR="00E7601F">
        <w:rPr>
          <w:bCs/>
          <w:sz w:val="20"/>
          <w:szCs w:val="20"/>
        </w:rPr>
        <w:t>;</w:t>
      </w:r>
      <w:r w:rsidRPr="00E46BFD">
        <w:rPr>
          <w:bCs/>
          <w:sz w:val="20"/>
          <w:szCs w:val="20"/>
        </w:rPr>
        <w:t xml:space="preserve"> </w:t>
      </w:r>
      <w:r w:rsidRPr="00E46BFD">
        <w:rPr>
          <w:sz w:val="20"/>
          <w:szCs w:val="20"/>
        </w:rPr>
        <w:t xml:space="preserve">and </w:t>
      </w:r>
      <w:r w:rsidR="00E7601F">
        <w:rPr>
          <w:sz w:val="20"/>
          <w:szCs w:val="20"/>
        </w:rPr>
        <w:t xml:space="preserve">ii) </w:t>
      </w:r>
      <w:r w:rsidRPr="00E46BFD">
        <w:rPr>
          <w:sz w:val="20"/>
          <w:szCs w:val="20"/>
        </w:rPr>
        <w:t>to conduct a review of REF Environment Statements for evidence of institutional good practice.</w:t>
      </w:r>
    </w:p>
    <w:p w14:paraId="28948270" w14:textId="19469EED" w:rsidR="00DC448A" w:rsidRPr="0064789D" w:rsidRDefault="00DC448A" w:rsidP="0064789D">
      <w:pPr>
        <w:pStyle w:val="ListParagraph"/>
        <w:numPr>
          <w:ilvl w:val="0"/>
          <w:numId w:val="7"/>
        </w:numPr>
        <w:spacing w:after="200" w:line="276" w:lineRule="auto"/>
        <w:ind w:left="417"/>
        <w:rPr>
          <w:sz w:val="20"/>
          <w:szCs w:val="20"/>
        </w:rPr>
      </w:pPr>
      <w:r w:rsidRPr="0064789D">
        <w:rPr>
          <w:i/>
          <w:iCs/>
          <w:sz w:val="20"/>
          <w:szCs w:val="20"/>
        </w:rPr>
        <w:lastRenderedPageBreak/>
        <w:t>Concordat Discussion Sessions</w:t>
      </w:r>
      <w:r w:rsidRPr="0064789D">
        <w:rPr>
          <w:sz w:val="20"/>
          <w:szCs w:val="20"/>
        </w:rPr>
        <w:t xml:space="preserve"> to </w:t>
      </w:r>
      <w:r w:rsidR="00471490" w:rsidRPr="0064789D">
        <w:rPr>
          <w:sz w:val="20"/>
          <w:szCs w:val="20"/>
        </w:rPr>
        <w:t xml:space="preserve">raise awareness and </w:t>
      </w:r>
      <w:r w:rsidRPr="0064789D">
        <w:rPr>
          <w:sz w:val="20"/>
          <w:szCs w:val="20"/>
        </w:rPr>
        <w:t xml:space="preserve">explore responsibilities with stakeholder groups were held via </w:t>
      </w:r>
      <w:r w:rsidR="008F56E9" w:rsidRPr="0064789D">
        <w:rPr>
          <w:sz w:val="20"/>
          <w:szCs w:val="20"/>
        </w:rPr>
        <w:t xml:space="preserve">MS </w:t>
      </w:r>
      <w:r w:rsidRPr="0064789D">
        <w:rPr>
          <w:sz w:val="20"/>
          <w:szCs w:val="20"/>
        </w:rPr>
        <w:t>Teams with ECRs, PIs and Associate Deans of Research.</w:t>
      </w:r>
    </w:p>
    <w:p w14:paraId="645CC825" w14:textId="5B621083" w:rsidR="00DC448A" w:rsidRPr="00E46BFD" w:rsidRDefault="00DC448A" w:rsidP="00D35CF2">
      <w:pPr>
        <w:pStyle w:val="ListParagraph"/>
        <w:numPr>
          <w:ilvl w:val="0"/>
          <w:numId w:val="7"/>
        </w:numPr>
        <w:spacing w:after="120" w:line="276" w:lineRule="auto"/>
        <w:ind w:left="417"/>
        <w:rPr>
          <w:sz w:val="20"/>
          <w:szCs w:val="20"/>
        </w:rPr>
      </w:pPr>
      <w:r w:rsidRPr="00E46BFD">
        <w:rPr>
          <w:sz w:val="20"/>
          <w:szCs w:val="20"/>
        </w:rPr>
        <w:t xml:space="preserve">Hosting of </w:t>
      </w:r>
      <w:r w:rsidRPr="00E46BFD">
        <w:rPr>
          <w:i/>
          <w:iCs/>
          <w:sz w:val="20"/>
          <w:szCs w:val="20"/>
        </w:rPr>
        <w:t>Café Culture Conversations</w:t>
      </w:r>
      <w:r w:rsidRPr="00E46BFD">
        <w:rPr>
          <w:sz w:val="20"/>
          <w:szCs w:val="20"/>
        </w:rPr>
        <w:t xml:space="preserve"> based on the </w:t>
      </w:r>
      <w:proofErr w:type="spellStart"/>
      <w:r w:rsidRPr="00E46BFD">
        <w:rPr>
          <w:sz w:val="20"/>
          <w:szCs w:val="20"/>
        </w:rPr>
        <w:t>Wellcome</w:t>
      </w:r>
      <w:proofErr w:type="spellEnd"/>
      <w:r w:rsidRPr="00E46BFD">
        <w:rPr>
          <w:sz w:val="20"/>
          <w:szCs w:val="20"/>
        </w:rPr>
        <w:t xml:space="preserve"> Trust Café Cultures over </w:t>
      </w:r>
      <w:r w:rsidRPr="00E46BFD">
        <w:rPr>
          <w:bCs/>
          <w:sz w:val="20"/>
          <w:szCs w:val="20"/>
        </w:rPr>
        <w:t xml:space="preserve">Feb-March 2021, led by the Dean REP were </w:t>
      </w:r>
      <w:r w:rsidRPr="00E46BFD">
        <w:rPr>
          <w:sz w:val="20"/>
          <w:szCs w:val="20"/>
        </w:rPr>
        <w:t>an opportunity to discuss shared perspectives on common challenges and co-create solutions for change.</w:t>
      </w:r>
    </w:p>
    <w:p w14:paraId="3B05774E" w14:textId="77777777" w:rsidR="000072DD" w:rsidRDefault="00DC448A" w:rsidP="0064789D">
      <w:pPr>
        <w:pStyle w:val="ListParagraph"/>
        <w:numPr>
          <w:ilvl w:val="0"/>
          <w:numId w:val="7"/>
        </w:numPr>
        <w:spacing w:after="200" w:line="276" w:lineRule="auto"/>
        <w:ind w:left="417"/>
        <w:rPr>
          <w:sz w:val="20"/>
          <w:szCs w:val="20"/>
        </w:rPr>
      </w:pPr>
      <w:r w:rsidRPr="00E46BFD">
        <w:rPr>
          <w:sz w:val="20"/>
          <w:szCs w:val="20"/>
        </w:rPr>
        <w:t xml:space="preserve">An </w:t>
      </w:r>
      <w:r w:rsidRPr="00E46BFD">
        <w:rPr>
          <w:i/>
          <w:iCs/>
          <w:sz w:val="20"/>
          <w:szCs w:val="20"/>
        </w:rPr>
        <w:t>ECR Teams channel</w:t>
      </w:r>
      <w:r w:rsidRPr="00E46BFD">
        <w:rPr>
          <w:sz w:val="20"/>
          <w:szCs w:val="20"/>
        </w:rPr>
        <w:t xml:space="preserve"> was created hosting 135+ members and we have consulted on our Concordat development plans and provided outcomes of conversations through this network.  </w:t>
      </w:r>
    </w:p>
    <w:p w14:paraId="3275DB9C" w14:textId="4D58C0DE" w:rsidR="00DC448A" w:rsidRPr="00E46BFD" w:rsidRDefault="00DC448A" w:rsidP="0064789D">
      <w:pPr>
        <w:pStyle w:val="ListParagraph"/>
        <w:numPr>
          <w:ilvl w:val="0"/>
          <w:numId w:val="7"/>
        </w:numPr>
        <w:spacing w:after="200" w:line="276" w:lineRule="auto"/>
        <w:ind w:left="417"/>
        <w:rPr>
          <w:sz w:val="20"/>
          <w:szCs w:val="20"/>
        </w:rPr>
      </w:pPr>
      <w:r w:rsidRPr="00E46BFD">
        <w:rPr>
          <w:bCs/>
          <w:i/>
          <w:iCs/>
          <w:sz w:val="20"/>
          <w:szCs w:val="20"/>
        </w:rPr>
        <w:t>A Research Strategy, Development and Ideas Panel Session</w:t>
      </w:r>
      <w:r w:rsidRPr="00E46BFD">
        <w:rPr>
          <w:bCs/>
          <w:sz w:val="20"/>
          <w:szCs w:val="20"/>
        </w:rPr>
        <w:t xml:space="preserve"> with Deputy Principals of Research and Internationalisation was hosted during the Festival of Research</w:t>
      </w:r>
      <w:r w:rsidR="00684B31">
        <w:rPr>
          <w:bCs/>
          <w:sz w:val="20"/>
          <w:szCs w:val="20"/>
        </w:rPr>
        <w:t xml:space="preserve"> in May 2021</w:t>
      </w:r>
      <w:r w:rsidRPr="00E46BFD">
        <w:rPr>
          <w:bCs/>
          <w:sz w:val="20"/>
          <w:szCs w:val="20"/>
        </w:rPr>
        <w:t xml:space="preserve"> as an opportunity for the research community to identify and address specific issues as the interim Strategic Plan and the next Research Strategy</w:t>
      </w:r>
      <w:r w:rsidR="00FF7EEC">
        <w:rPr>
          <w:bCs/>
          <w:sz w:val="20"/>
          <w:szCs w:val="20"/>
        </w:rPr>
        <w:t xml:space="preserve"> are</w:t>
      </w:r>
      <w:r w:rsidRPr="00E46BFD">
        <w:rPr>
          <w:bCs/>
          <w:sz w:val="20"/>
          <w:szCs w:val="20"/>
        </w:rPr>
        <w:t xml:space="preserve"> developed.</w:t>
      </w:r>
    </w:p>
    <w:p w14:paraId="6E76CB15" w14:textId="2E502EAD" w:rsidR="00DC448A" w:rsidRDefault="00DC448A" w:rsidP="0064789D">
      <w:pPr>
        <w:pStyle w:val="ListParagraph"/>
        <w:numPr>
          <w:ilvl w:val="0"/>
          <w:numId w:val="7"/>
        </w:numPr>
        <w:spacing w:after="120" w:line="276" w:lineRule="auto"/>
        <w:ind w:left="417"/>
        <w:rPr>
          <w:sz w:val="20"/>
          <w:szCs w:val="20"/>
        </w:rPr>
      </w:pPr>
      <w:r w:rsidRPr="00E46BFD">
        <w:rPr>
          <w:i/>
          <w:iCs/>
          <w:sz w:val="20"/>
          <w:szCs w:val="20"/>
        </w:rPr>
        <w:t xml:space="preserve">CEDARS </w:t>
      </w:r>
      <w:r w:rsidRPr="00E46BFD">
        <w:rPr>
          <w:sz w:val="20"/>
          <w:szCs w:val="20"/>
        </w:rPr>
        <w:t xml:space="preserve">was undertaken in June 2021 with a 26% research active staff response rate; </w:t>
      </w:r>
      <w:r w:rsidR="00B83426">
        <w:rPr>
          <w:sz w:val="20"/>
          <w:szCs w:val="20"/>
        </w:rPr>
        <w:t>its</w:t>
      </w:r>
      <w:r w:rsidR="00E50D99">
        <w:rPr>
          <w:sz w:val="20"/>
          <w:szCs w:val="20"/>
        </w:rPr>
        <w:t xml:space="preserve"> </w:t>
      </w:r>
      <w:r w:rsidRPr="00E46BFD">
        <w:rPr>
          <w:sz w:val="20"/>
          <w:szCs w:val="20"/>
        </w:rPr>
        <w:t xml:space="preserve">preliminary findings have also informed the final action plan published in October 2021 with longitudinal data from the 2019 CROS &amp; PIRLS. </w:t>
      </w:r>
    </w:p>
    <w:p w14:paraId="5E59D58B" w14:textId="6913356C" w:rsidR="00DC448A" w:rsidRPr="00E46BFD" w:rsidRDefault="00DC448A" w:rsidP="0064789D">
      <w:pPr>
        <w:spacing w:after="120"/>
        <w:rPr>
          <w:sz w:val="20"/>
          <w:szCs w:val="20"/>
        </w:rPr>
      </w:pPr>
      <w:r w:rsidRPr="00E46BFD">
        <w:rPr>
          <w:sz w:val="20"/>
          <w:szCs w:val="20"/>
        </w:rPr>
        <w:t>Updates on this development work were shared with the University community via University Research Committee, cascading of information from REG colleagues to Faculty Research Committees and to ECR networks, the Research Bites blog series, University-wide</w:t>
      </w:r>
      <w:r w:rsidR="008F56E9">
        <w:rPr>
          <w:sz w:val="20"/>
          <w:szCs w:val="20"/>
        </w:rPr>
        <w:t xml:space="preserve"> staff</w:t>
      </w:r>
      <w:r w:rsidRPr="00E46BFD">
        <w:rPr>
          <w:sz w:val="20"/>
          <w:szCs w:val="20"/>
        </w:rPr>
        <w:t xml:space="preserve"> </w:t>
      </w:r>
      <w:r w:rsidR="007770B4" w:rsidRPr="00E46BFD">
        <w:rPr>
          <w:sz w:val="20"/>
          <w:szCs w:val="20"/>
        </w:rPr>
        <w:t>newsletter,</w:t>
      </w:r>
      <w:r w:rsidRPr="00E46BFD">
        <w:rPr>
          <w:sz w:val="20"/>
          <w:szCs w:val="20"/>
        </w:rPr>
        <w:t xml:space="preserve"> and the creation of talking head resources on our internal website.</w:t>
      </w:r>
      <w:r w:rsidRPr="00CE3174">
        <w:rPr>
          <w:rFonts w:ascii="Calibri" w:eastAsia="Times New Roman" w:hAnsi="Calibri" w:cs="Calibri"/>
          <w:color w:val="000000"/>
          <w:sz w:val="20"/>
          <w:szCs w:val="20"/>
          <w:lang w:eastAsia="en-GB"/>
        </w:rPr>
        <w:t xml:space="preserve"> </w:t>
      </w:r>
      <w:r w:rsidRPr="00E03510">
        <w:rPr>
          <w:rFonts w:ascii="Calibri" w:eastAsia="Times New Roman" w:hAnsi="Calibri" w:cs="Calibri"/>
          <w:color w:val="000000"/>
          <w:sz w:val="20"/>
          <w:szCs w:val="20"/>
          <w:lang w:eastAsia="en-GB"/>
        </w:rPr>
        <w:t xml:space="preserve">The engagement and consultation process identified several key areas to be addressed as outlined in the </w:t>
      </w:r>
      <w:r w:rsidRPr="00E03510">
        <w:rPr>
          <w:rFonts w:ascii="Calibri" w:eastAsia="Times New Roman" w:hAnsi="Calibri" w:cs="Calibri"/>
          <w:b/>
          <w:bCs/>
          <w:color w:val="000000"/>
          <w:sz w:val="20"/>
          <w:szCs w:val="20"/>
          <w:lang w:eastAsia="en-GB"/>
        </w:rPr>
        <w:t xml:space="preserve">Key </w:t>
      </w:r>
      <w:r>
        <w:rPr>
          <w:rFonts w:ascii="Calibri" w:eastAsia="Times New Roman" w:hAnsi="Calibri" w:cs="Calibri"/>
          <w:b/>
          <w:bCs/>
          <w:color w:val="000000"/>
          <w:sz w:val="20"/>
          <w:szCs w:val="20"/>
          <w:lang w:eastAsia="en-GB"/>
        </w:rPr>
        <w:t>New Actions and F</w:t>
      </w:r>
      <w:r w:rsidR="007B5AD6">
        <w:rPr>
          <w:rFonts w:ascii="Calibri" w:eastAsia="Times New Roman" w:hAnsi="Calibri" w:cs="Calibri"/>
          <w:b/>
          <w:bCs/>
          <w:color w:val="000000"/>
          <w:sz w:val="20"/>
          <w:szCs w:val="20"/>
          <w:lang w:eastAsia="en-GB"/>
        </w:rPr>
        <w:t>uture Plans</w:t>
      </w:r>
      <w:r w:rsidRPr="00E03510">
        <w:rPr>
          <w:rFonts w:ascii="Calibri" w:eastAsia="Times New Roman" w:hAnsi="Calibri" w:cs="Calibri"/>
          <w:color w:val="000000"/>
          <w:sz w:val="20"/>
          <w:szCs w:val="20"/>
          <w:lang w:eastAsia="en-GB"/>
        </w:rPr>
        <w:t xml:space="preserve"> section.</w:t>
      </w:r>
    </w:p>
    <w:p w14:paraId="37622B82" w14:textId="77777777" w:rsidR="00DC448A" w:rsidRPr="00AE5F08" w:rsidRDefault="00DC448A" w:rsidP="004058C7">
      <w:pPr>
        <w:pStyle w:val="Heading1"/>
        <w:rPr>
          <w:b/>
          <w:color w:val="auto"/>
          <w:sz w:val="20"/>
          <w:szCs w:val="20"/>
        </w:rPr>
      </w:pPr>
      <w:r w:rsidRPr="00AE5F08">
        <w:rPr>
          <w:b/>
          <w:color w:val="auto"/>
          <w:sz w:val="20"/>
          <w:szCs w:val="20"/>
        </w:rPr>
        <w:t xml:space="preserve">Key Achievements &amp; Progress </w:t>
      </w:r>
    </w:p>
    <w:p w14:paraId="4C2BF749" w14:textId="77777777" w:rsidR="00DC448A" w:rsidRPr="00E46BFD" w:rsidRDefault="00DC448A" w:rsidP="00DC448A">
      <w:pPr>
        <w:rPr>
          <w:rFonts w:ascii="Calibri" w:eastAsia="Times New Roman" w:hAnsi="Calibri" w:cs="Calibri"/>
          <w:sz w:val="20"/>
          <w:szCs w:val="20"/>
          <w:lang w:eastAsia="en-GB"/>
        </w:rPr>
      </w:pPr>
      <w:r w:rsidRPr="00E46BFD">
        <w:rPr>
          <w:rFonts w:ascii="Calibri" w:eastAsia="Times New Roman" w:hAnsi="Calibri" w:cs="Calibri"/>
          <w:sz w:val="20"/>
          <w:szCs w:val="20"/>
          <w:lang w:eastAsia="en-GB"/>
        </w:rPr>
        <w:t>The wider University research support system and REG have successfully progressed many new and existing organisational-led initiatives in support of the researcher community:</w:t>
      </w:r>
    </w:p>
    <w:p w14:paraId="4DBA9C49" w14:textId="6EBC8781" w:rsidR="00DC448A" w:rsidRPr="00AE5F08" w:rsidRDefault="00DC448A" w:rsidP="004058C7">
      <w:pPr>
        <w:pStyle w:val="Heading1"/>
        <w:rPr>
          <w:b/>
          <w:color w:val="auto"/>
          <w:sz w:val="20"/>
          <w:szCs w:val="20"/>
        </w:rPr>
      </w:pPr>
      <w:r w:rsidRPr="00AE5F08">
        <w:rPr>
          <w:b/>
          <w:color w:val="auto"/>
          <w:sz w:val="20"/>
          <w:szCs w:val="20"/>
        </w:rPr>
        <w:t>Principles 1 &amp; 2</w:t>
      </w:r>
      <w:r w:rsidR="007770B4" w:rsidRPr="00AE5F08">
        <w:rPr>
          <w:b/>
          <w:color w:val="auto"/>
          <w:sz w:val="20"/>
          <w:szCs w:val="20"/>
        </w:rPr>
        <w:t>: Recruitment and Selection, Recognition and Value</w:t>
      </w:r>
    </w:p>
    <w:p w14:paraId="0B0A8486" w14:textId="795E3BC0" w:rsidR="00DC448A" w:rsidRDefault="00DC448A" w:rsidP="0064789D">
      <w:pPr>
        <w:pStyle w:val="ListParagraph"/>
        <w:numPr>
          <w:ilvl w:val="0"/>
          <w:numId w:val="11"/>
        </w:numPr>
        <w:spacing w:after="0" w:line="276" w:lineRule="auto"/>
        <w:ind w:left="417"/>
        <w:rPr>
          <w:rFonts w:ascii="Calibri" w:eastAsia="Times New Roman" w:hAnsi="Calibri" w:cs="Calibri"/>
          <w:sz w:val="20"/>
          <w:szCs w:val="20"/>
          <w:lang w:eastAsia="en-GB"/>
        </w:rPr>
      </w:pPr>
      <w:r w:rsidRPr="00E46BFD">
        <w:rPr>
          <w:rFonts w:ascii="Calibri" w:eastAsia="Times New Roman" w:hAnsi="Calibri" w:cs="Calibri"/>
          <w:sz w:val="20"/>
          <w:szCs w:val="20"/>
          <w:lang w:eastAsia="en-GB"/>
        </w:rPr>
        <w:t xml:space="preserve">All academic recruitment is currently centralised. Researcher recruitment is managed in Faculty with plans to centralise this activity in the future. </w:t>
      </w:r>
      <w:r w:rsidR="00D95C91">
        <w:rPr>
          <w:rFonts w:ascii="Calibri" w:eastAsia="Times New Roman" w:hAnsi="Calibri" w:cs="Calibri"/>
          <w:sz w:val="20"/>
          <w:szCs w:val="20"/>
          <w:lang w:eastAsia="en-GB"/>
        </w:rPr>
        <w:t xml:space="preserve">Work has been done to </w:t>
      </w:r>
      <w:r w:rsidRPr="00E46BFD">
        <w:rPr>
          <w:rFonts w:ascii="Calibri" w:eastAsia="Times New Roman" w:hAnsi="Calibri" w:cs="Calibri"/>
          <w:sz w:val="20"/>
          <w:szCs w:val="20"/>
          <w:lang w:eastAsia="en-GB"/>
        </w:rPr>
        <w:t>standardise job descriptions</w:t>
      </w:r>
      <w:r w:rsidR="00343B75">
        <w:rPr>
          <w:rFonts w:ascii="Calibri" w:eastAsia="Times New Roman" w:hAnsi="Calibri" w:cs="Calibri"/>
          <w:sz w:val="20"/>
          <w:szCs w:val="20"/>
          <w:lang w:eastAsia="en-GB"/>
        </w:rPr>
        <w:t xml:space="preserve">, </w:t>
      </w:r>
      <w:r w:rsidR="00E15786">
        <w:rPr>
          <w:rFonts w:ascii="Calibri" w:eastAsia="Times New Roman" w:hAnsi="Calibri" w:cs="Calibri"/>
          <w:sz w:val="20"/>
          <w:szCs w:val="20"/>
          <w:lang w:eastAsia="en-GB"/>
        </w:rPr>
        <w:t xml:space="preserve">establish </w:t>
      </w:r>
      <w:r w:rsidR="00343B75">
        <w:rPr>
          <w:rFonts w:ascii="Calibri" w:eastAsia="Times New Roman" w:hAnsi="Calibri" w:cs="Calibri"/>
          <w:sz w:val="20"/>
          <w:szCs w:val="20"/>
          <w:lang w:eastAsia="en-GB"/>
        </w:rPr>
        <w:t>scoring grids and interview questions</w:t>
      </w:r>
      <w:r w:rsidR="00E15786">
        <w:rPr>
          <w:rFonts w:ascii="Calibri" w:eastAsia="Times New Roman" w:hAnsi="Calibri" w:cs="Calibri"/>
          <w:sz w:val="20"/>
          <w:szCs w:val="20"/>
          <w:lang w:eastAsia="en-GB"/>
        </w:rPr>
        <w:t>.</w:t>
      </w:r>
    </w:p>
    <w:p w14:paraId="2CEFCE08" w14:textId="3CA3B0BE" w:rsidR="00EB30D7" w:rsidRPr="00410BB7" w:rsidRDefault="00DC448A" w:rsidP="0064789D">
      <w:pPr>
        <w:pStyle w:val="ListParagraph"/>
        <w:numPr>
          <w:ilvl w:val="0"/>
          <w:numId w:val="11"/>
        </w:numPr>
        <w:spacing w:after="0" w:line="276" w:lineRule="auto"/>
        <w:ind w:left="417"/>
        <w:rPr>
          <w:rFonts w:ascii="Calibri" w:eastAsia="Times New Roman" w:hAnsi="Calibri" w:cs="Calibri"/>
          <w:b/>
          <w:bCs/>
          <w:sz w:val="20"/>
          <w:szCs w:val="20"/>
          <w:lang w:eastAsia="en-GB"/>
        </w:rPr>
      </w:pPr>
      <w:r w:rsidRPr="00E46BFD">
        <w:rPr>
          <w:bCs/>
          <w:sz w:val="20"/>
          <w:szCs w:val="20"/>
        </w:rPr>
        <w:t xml:space="preserve">The institutional Dean of Research Engagement and Performance (Dean REP) was appointed in 2019 as a commitment to enhancing research culture. Since this appointment, there has been a range of initiatives </w:t>
      </w:r>
      <w:r>
        <w:rPr>
          <w:bCs/>
          <w:sz w:val="20"/>
          <w:szCs w:val="20"/>
        </w:rPr>
        <w:t xml:space="preserve">defining and </w:t>
      </w:r>
      <w:r w:rsidRPr="00E46BFD">
        <w:rPr>
          <w:bCs/>
          <w:sz w:val="20"/>
          <w:szCs w:val="20"/>
        </w:rPr>
        <w:t xml:space="preserve">exploring good practice including: the </w:t>
      </w:r>
      <w:r w:rsidRPr="00E46BFD">
        <w:rPr>
          <w:bCs/>
          <w:i/>
          <w:iCs/>
          <w:sz w:val="20"/>
          <w:szCs w:val="20"/>
        </w:rPr>
        <w:t>Research Culture themed Festival of Research in May 2020</w:t>
      </w:r>
      <w:r w:rsidRPr="00E46BFD">
        <w:rPr>
          <w:bCs/>
          <w:sz w:val="20"/>
          <w:szCs w:val="20"/>
        </w:rPr>
        <w:t xml:space="preserve">; the </w:t>
      </w:r>
      <w:r w:rsidRPr="00E46BFD">
        <w:rPr>
          <w:bCs/>
          <w:i/>
          <w:iCs/>
          <w:sz w:val="20"/>
          <w:szCs w:val="20"/>
        </w:rPr>
        <w:t xml:space="preserve">Research Integrity Mini-Festival series of events over Autumn-Winter 2020, </w:t>
      </w:r>
      <w:r w:rsidRPr="00E46BFD">
        <w:rPr>
          <w:bCs/>
          <w:sz w:val="20"/>
          <w:szCs w:val="20"/>
        </w:rPr>
        <w:t>the</w:t>
      </w:r>
      <w:r w:rsidRPr="00E46BFD">
        <w:rPr>
          <w:bCs/>
          <w:i/>
          <w:iCs/>
          <w:sz w:val="20"/>
          <w:szCs w:val="20"/>
        </w:rPr>
        <w:t xml:space="preserve"> </w:t>
      </w:r>
      <w:r w:rsidRPr="00E46BFD">
        <w:rPr>
          <w:bCs/>
          <w:sz w:val="20"/>
          <w:szCs w:val="20"/>
        </w:rPr>
        <w:t xml:space="preserve">internal </w:t>
      </w:r>
      <w:r w:rsidRPr="00E46BFD">
        <w:rPr>
          <w:bCs/>
          <w:i/>
          <w:iCs/>
          <w:sz w:val="20"/>
          <w:szCs w:val="20"/>
        </w:rPr>
        <w:t>Research Integrity staff survey</w:t>
      </w:r>
      <w:r w:rsidRPr="00E46BFD">
        <w:rPr>
          <w:bCs/>
          <w:sz w:val="20"/>
          <w:szCs w:val="20"/>
        </w:rPr>
        <w:t xml:space="preserve"> </w:t>
      </w:r>
      <w:r w:rsidRPr="00E46BFD">
        <w:rPr>
          <w:bCs/>
          <w:i/>
          <w:iCs/>
          <w:sz w:val="20"/>
          <w:szCs w:val="20"/>
        </w:rPr>
        <w:t xml:space="preserve">in </w:t>
      </w:r>
      <w:r w:rsidR="00175AC8">
        <w:rPr>
          <w:bCs/>
          <w:i/>
          <w:iCs/>
          <w:sz w:val="20"/>
          <w:szCs w:val="20"/>
        </w:rPr>
        <w:t xml:space="preserve">November </w:t>
      </w:r>
      <w:r w:rsidRPr="00E46BFD">
        <w:rPr>
          <w:bCs/>
          <w:i/>
          <w:iCs/>
          <w:sz w:val="20"/>
          <w:szCs w:val="20"/>
        </w:rPr>
        <w:t>2020</w:t>
      </w:r>
      <w:r w:rsidRPr="00E46BFD">
        <w:rPr>
          <w:bCs/>
          <w:sz w:val="20"/>
          <w:szCs w:val="20"/>
        </w:rPr>
        <w:t>, and two iterations of the</w:t>
      </w:r>
      <w:r>
        <w:rPr>
          <w:bCs/>
          <w:sz w:val="20"/>
          <w:szCs w:val="20"/>
        </w:rPr>
        <w:t xml:space="preserve"> annual</w:t>
      </w:r>
      <w:r w:rsidRPr="00E46BFD">
        <w:rPr>
          <w:bCs/>
          <w:sz w:val="20"/>
          <w:szCs w:val="20"/>
        </w:rPr>
        <w:t xml:space="preserve"> </w:t>
      </w:r>
      <w:r w:rsidRPr="00E46BFD">
        <w:rPr>
          <w:i/>
          <w:iCs/>
          <w:sz w:val="20"/>
          <w:szCs w:val="20"/>
        </w:rPr>
        <w:t>Research Culture</w:t>
      </w:r>
      <w:r w:rsidRPr="00E46BFD">
        <w:rPr>
          <w:b/>
          <w:bCs/>
          <w:i/>
          <w:iCs/>
          <w:sz w:val="20"/>
          <w:szCs w:val="20"/>
        </w:rPr>
        <w:t xml:space="preserve"> </w:t>
      </w:r>
      <w:r w:rsidRPr="00E46BFD">
        <w:rPr>
          <w:i/>
          <w:iCs/>
          <w:sz w:val="20"/>
          <w:szCs w:val="20"/>
        </w:rPr>
        <w:t>Awards</w:t>
      </w:r>
      <w:r w:rsidRPr="00E46BFD">
        <w:rPr>
          <w:sz w:val="20"/>
          <w:szCs w:val="20"/>
        </w:rPr>
        <w:t xml:space="preserve"> in 2020 and 2021 </w:t>
      </w:r>
      <w:r w:rsidR="00244C8C" w:rsidRPr="00E46BFD">
        <w:rPr>
          <w:sz w:val="20"/>
          <w:szCs w:val="20"/>
        </w:rPr>
        <w:t>to</w:t>
      </w:r>
      <w:r w:rsidRPr="00E46BFD">
        <w:rPr>
          <w:sz w:val="20"/>
          <w:szCs w:val="20"/>
        </w:rPr>
        <w:t xml:space="preserve"> recognise</w:t>
      </w:r>
      <w:r w:rsidR="00B121F9">
        <w:rPr>
          <w:sz w:val="20"/>
          <w:szCs w:val="20"/>
        </w:rPr>
        <w:t xml:space="preserve"> </w:t>
      </w:r>
      <w:r w:rsidRPr="00E46BFD">
        <w:rPr>
          <w:sz w:val="20"/>
          <w:szCs w:val="20"/>
        </w:rPr>
        <w:t>and celebrate wider contributions to research.</w:t>
      </w:r>
      <w:r w:rsidR="00423CCA">
        <w:rPr>
          <w:sz w:val="20"/>
          <w:szCs w:val="20"/>
        </w:rPr>
        <w:t xml:space="preserve"> The Research Awards have gained momentum </w:t>
      </w:r>
      <w:r w:rsidR="00ED7F33">
        <w:rPr>
          <w:sz w:val="20"/>
          <w:szCs w:val="20"/>
        </w:rPr>
        <w:t>with the number of people nominating increasing from 66</w:t>
      </w:r>
      <w:r w:rsidR="00402E46">
        <w:rPr>
          <w:sz w:val="20"/>
          <w:szCs w:val="20"/>
        </w:rPr>
        <w:t xml:space="preserve"> in 2020</w:t>
      </w:r>
      <w:r w:rsidR="00ED7F33">
        <w:rPr>
          <w:sz w:val="20"/>
          <w:szCs w:val="20"/>
        </w:rPr>
        <w:t xml:space="preserve"> to 116</w:t>
      </w:r>
      <w:r w:rsidR="00402E46">
        <w:rPr>
          <w:sz w:val="20"/>
          <w:szCs w:val="20"/>
        </w:rPr>
        <w:t xml:space="preserve"> in 2021</w:t>
      </w:r>
      <w:r w:rsidR="00EF6915">
        <w:rPr>
          <w:sz w:val="20"/>
          <w:szCs w:val="20"/>
        </w:rPr>
        <w:t xml:space="preserve"> and the number or </w:t>
      </w:r>
      <w:r w:rsidR="00CC1813">
        <w:rPr>
          <w:sz w:val="20"/>
          <w:szCs w:val="20"/>
        </w:rPr>
        <w:t>nominations</w:t>
      </w:r>
      <w:r w:rsidR="00423CCA">
        <w:rPr>
          <w:sz w:val="20"/>
          <w:szCs w:val="20"/>
        </w:rPr>
        <w:t xml:space="preserve"> increas</w:t>
      </w:r>
      <w:r w:rsidR="00EF6915">
        <w:rPr>
          <w:sz w:val="20"/>
          <w:szCs w:val="20"/>
        </w:rPr>
        <w:t xml:space="preserve">ing </w:t>
      </w:r>
      <w:r w:rsidR="00423CCA">
        <w:rPr>
          <w:sz w:val="20"/>
          <w:szCs w:val="20"/>
        </w:rPr>
        <w:t>from</w:t>
      </w:r>
      <w:r w:rsidR="00CC1813">
        <w:rPr>
          <w:sz w:val="20"/>
          <w:szCs w:val="20"/>
        </w:rPr>
        <w:t xml:space="preserve"> </w:t>
      </w:r>
      <w:r w:rsidR="00EF6915" w:rsidRPr="00EF6915">
        <w:rPr>
          <w:sz w:val="20"/>
          <w:szCs w:val="20"/>
        </w:rPr>
        <w:t>97</w:t>
      </w:r>
      <w:r w:rsidR="00CC1813" w:rsidRPr="00EF6915">
        <w:rPr>
          <w:sz w:val="20"/>
          <w:szCs w:val="20"/>
        </w:rPr>
        <w:t xml:space="preserve"> to</w:t>
      </w:r>
      <w:r w:rsidR="00CC1813">
        <w:rPr>
          <w:sz w:val="20"/>
          <w:szCs w:val="20"/>
        </w:rPr>
        <w:t xml:space="preserve"> 1</w:t>
      </w:r>
      <w:r w:rsidR="00EF6915">
        <w:rPr>
          <w:sz w:val="20"/>
          <w:szCs w:val="20"/>
        </w:rPr>
        <w:t>64</w:t>
      </w:r>
      <w:r w:rsidR="00402E46">
        <w:rPr>
          <w:sz w:val="20"/>
          <w:szCs w:val="20"/>
        </w:rPr>
        <w:t xml:space="preserve"> respectively</w:t>
      </w:r>
      <w:r w:rsidR="00EB30D7">
        <w:rPr>
          <w:sz w:val="20"/>
          <w:szCs w:val="20"/>
        </w:rPr>
        <w:t>.</w:t>
      </w:r>
    </w:p>
    <w:p w14:paraId="3F0D9472" w14:textId="69AB529D" w:rsidR="00DC448A" w:rsidRPr="00AE5F08" w:rsidRDefault="00614BC5" w:rsidP="00DC448A">
      <w:pPr>
        <w:pStyle w:val="ListParagraph"/>
        <w:numPr>
          <w:ilvl w:val="0"/>
          <w:numId w:val="11"/>
        </w:numPr>
        <w:spacing w:after="0" w:line="276" w:lineRule="auto"/>
        <w:ind w:left="417"/>
        <w:rPr>
          <w:rFonts w:ascii="Calibri" w:eastAsia="Times New Roman" w:hAnsi="Calibri" w:cs="Calibri"/>
          <w:b/>
          <w:bCs/>
          <w:sz w:val="20"/>
          <w:szCs w:val="20"/>
          <w:lang w:eastAsia="en-GB"/>
        </w:rPr>
      </w:pPr>
      <w:r w:rsidRPr="0064789D">
        <w:rPr>
          <w:iCs/>
          <w:sz w:val="20"/>
          <w:szCs w:val="20"/>
        </w:rPr>
        <w:t xml:space="preserve">The first </w:t>
      </w:r>
      <w:r w:rsidRPr="0064789D">
        <w:rPr>
          <w:i/>
          <w:sz w:val="20"/>
          <w:szCs w:val="20"/>
        </w:rPr>
        <w:t>Induction for Researchers</w:t>
      </w:r>
      <w:r w:rsidRPr="0064789D">
        <w:rPr>
          <w:iCs/>
          <w:sz w:val="20"/>
          <w:szCs w:val="20"/>
        </w:rPr>
        <w:t xml:space="preserve"> was piloted in October 2020 as part of the wider Corporate Online Induction, with 2 further Researcher Inductions delivered virtually in March and October 2021. The inductions were extended to 30+ new research staff at each event and as inductions have rolled out, engagement has increased with a near full attendance at the most recent October 2021 iteration. </w:t>
      </w:r>
      <w:r w:rsidR="00137C61" w:rsidRPr="0064789D">
        <w:rPr>
          <w:iCs/>
          <w:sz w:val="20"/>
          <w:szCs w:val="20"/>
        </w:rPr>
        <w:t>A positive i</w:t>
      </w:r>
      <w:r w:rsidRPr="0064789D">
        <w:rPr>
          <w:iCs/>
          <w:sz w:val="20"/>
          <w:szCs w:val="20"/>
        </w:rPr>
        <w:t xml:space="preserve">mpact of these dedicated events </w:t>
      </w:r>
      <w:r w:rsidR="00137C61" w:rsidRPr="0064789D">
        <w:rPr>
          <w:iCs/>
          <w:sz w:val="20"/>
          <w:szCs w:val="20"/>
        </w:rPr>
        <w:t xml:space="preserve">is </w:t>
      </w:r>
      <w:r w:rsidRPr="0064789D">
        <w:rPr>
          <w:iCs/>
          <w:sz w:val="20"/>
          <w:szCs w:val="20"/>
        </w:rPr>
        <w:t>a greater engagement with RIBE for funding support activity and with the IAS Researcher Development Programme.</w:t>
      </w:r>
    </w:p>
    <w:p w14:paraId="0704A1B9" w14:textId="73CD83E1" w:rsidR="00DC448A" w:rsidRPr="00AE5F08" w:rsidRDefault="00DC448A" w:rsidP="004058C7">
      <w:pPr>
        <w:pStyle w:val="Heading1"/>
        <w:rPr>
          <w:b/>
          <w:color w:val="auto"/>
          <w:sz w:val="20"/>
          <w:szCs w:val="20"/>
        </w:rPr>
      </w:pPr>
      <w:r w:rsidRPr="00AE5F08">
        <w:rPr>
          <w:b/>
          <w:color w:val="auto"/>
          <w:sz w:val="20"/>
          <w:szCs w:val="20"/>
        </w:rPr>
        <w:t>Principles 3 &amp; 4</w:t>
      </w:r>
      <w:r w:rsidR="007770B4" w:rsidRPr="00AE5F08">
        <w:rPr>
          <w:b/>
          <w:color w:val="auto"/>
          <w:sz w:val="20"/>
          <w:szCs w:val="20"/>
        </w:rPr>
        <w:t>: Support and Career Development</w:t>
      </w:r>
    </w:p>
    <w:p w14:paraId="57BCF48C" w14:textId="77777777" w:rsidR="00DC448A" w:rsidRPr="00E46BFD" w:rsidRDefault="00DC448A" w:rsidP="0064789D">
      <w:pPr>
        <w:pStyle w:val="ListParagraph"/>
        <w:numPr>
          <w:ilvl w:val="0"/>
          <w:numId w:val="10"/>
        </w:numPr>
        <w:spacing w:after="0" w:line="276" w:lineRule="auto"/>
        <w:ind w:left="417"/>
        <w:rPr>
          <w:rFonts w:ascii="Calibri" w:eastAsia="Times New Roman" w:hAnsi="Calibri" w:cs="Calibri"/>
          <w:b/>
          <w:bCs/>
          <w:sz w:val="20"/>
          <w:szCs w:val="20"/>
          <w:lang w:eastAsia="en-GB"/>
        </w:rPr>
      </w:pPr>
      <w:r w:rsidRPr="00E46BFD">
        <w:rPr>
          <w:sz w:val="20"/>
          <w:szCs w:val="20"/>
        </w:rPr>
        <w:t>A new</w:t>
      </w:r>
      <w:r w:rsidRPr="00E46BFD">
        <w:rPr>
          <w:i/>
          <w:iCs/>
          <w:sz w:val="20"/>
          <w:szCs w:val="20"/>
        </w:rPr>
        <w:t xml:space="preserve"> Ethics Review Manager</w:t>
      </w:r>
      <w:r w:rsidRPr="00E46BFD">
        <w:rPr>
          <w:b/>
          <w:bCs/>
          <w:sz w:val="20"/>
          <w:szCs w:val="20"/>
        </w:rPr>
        <w:t xml:space="preserve"> </w:t>
      </w:r>
      <w:r w:rsidRPr="00E46BFD">
        <w:rPr>
          <w:sz w:val="20"/>
          <w:szCs w:val="20"/>
        </w:rPr>
        <w:t>online system for managing the ethics approval process was launched in October 2020 with institution wide training sessions run in academic year 2020-21.</w:t>
      </w:r>
    </w:p>
    <w:p w14:paraId="6C21346C" w14:textId="0F90B3FA" w:rsidR="00DC448A" w:rsidRPr="00474C06" w:rsidRDefault="00244C8C" w:rsidP="0064789D">
      <w:pPr>
        <w:pStyle w:val="ListParagraph"/>
        <w:numPr>
          <w:ilvl w:val="0"/>
          <w:numId w:val="10"/>
        </w:numPr>
        <w:spacing w:after="0" w:line="276" w:lineRule="auto"/>
        <w:ind w:left="417"/>
        <w:rPr>
          <w:rFonts w:ascii="Calibri" w:eastAsia="Times New Roman" w:hAnsi="Calibri" w:cs="Calibri"/>
          <w:b/>
          <w:bCs/>
          <w:sz w:val="20"/>
          <w:szCs w:val="20"/>
          <w:lang w:eastAsia="en-GB"/>
        </w:rPr>
      </w:pPr>
      <w:r>
        <w:rPr>
          <w:iCs/>
          <w:sz w:val="20"/>
          <w:szCs w:val="20"/>
        </w:rPr>
        <w:t>The</w:t>
      </w:r>
      <w:r w:rsidR="00DC448A" w:rsidRPr="00E46BFD">
        <w:rPr>
          <w:iCs/>
          <w:sz w:val="20"/>
          <w:szCs w:val="20"/>
        </w:rPr>
        <w:t xml:space="preserve"> new </w:t>
      </w:r>
      <w:r w:rsidR="00DC448A" w:rsidRPr="00E46BFD">
        <w:rPr>
          <w:i/>
          <w:sz w:val="20"/>
          <w:szCs w:val="20"/>
        </w:rPr>
        <w:t>Mental Health Strategy 2021-24</w:t>
      </w:r>
      <w:r w:rsidR="00DC448A" w:rsidRPr="00E46BFD">
        <w:rPr>
          <w:iCs/>
          <w:sz w:val="20"/>
          <w:szCs w:val="20"/>
        </w:rPr>
        <w:t xml:space="preserve"> makes the protection and enhancement of mental health a priority for the University.</w:t>
      </w:r>
    </w:p>
    <w:p w14:paraId="4FB43F3C" w14:textId="623C84AB" w:rsidR="001B389E" w:rsidRPr="00B92E17" w:rsidRDefault="00474C06" w:rsidP="0064789D">
      <w:pPr>
        <w:pStyle w:val="ListParagraph"/>
        <w:numPr>
          <w:ilvl w:val="0"/>
          <w:numId w:val="7"/>
        </w:numPr>
        <w:spacing w:after="200" w:line="276" w:lineRule="auto"/>
        <w:ind w:left="417"/>
        <w:rPr>
          <w:rFonts w:ascii="Calibri" w:eastAsia="Times New Roman" w:hAnsi="Calibri" w:cs="Calibri"/>
          <w:b/>
          <w:bCs/>
          <w:sz w:val="20"/>
          <w:szCs w:val="20"/>
          <w:lang w:eastAsia="en-GB"/>
        </w:rPr>
      </w:pPr>
      <w:r>
        <w:rPr>
          <w:bCs/>
          <w:sz w:val="20"/>
          <w:szCs w:val="20"/>
        </w:rPr>
        <w:t xml:space="preserve">Creation of the </w:t>
      </w:r>
      <w:r w:rsidRPr="00C750B1">
        <w:rPr>
          <w:bCs/>
          <w:i/>
          <w:iCs/>
          <w:sz w:val="20"/>
          <w:szCs w:val="20"/>
        </w:rPr>
        <w:t>Global Challenges Research Fund (GCRF) Toolkit</w:t>
      </w:r>
      <w:r>
        <w:rPr>
          <w:bCs/>
          <w:sz w:val="20"/>
          <w:szCs w:val="20"/>
        </w:rPr>
        <w:t xml:space="preserve"> developed in partnership with the University of Cape Town, </w:t>
      </w:r>
      <w:proofErr w:type="spellStart"/>
      <w:r w:rsidRPr="006E0873">
        <w:rPr>
          <w:bCs/>
          <w:sz w:val="20"/>
          <w:szCs w:val="20"/>
        </w:rPr>
        <w:t>Universidade</w:t>
      </w:r>
      <w:proofErr w:type="spellEnd"/>
      <w:r w:rsidRPr="006E0873">
        <w:rPr>
          <w:bCs/>
          <w:sz w:val="20"/>
          <w:szCs w:val="20"/>
        </w:rPr>
        <w:t> </w:t>
      </w:r>
      <w:proofErr w:type="spellStart"/>
      <w:r w:rsidRPr="006E0873">
        <w:rPr>
          <w:bCs/>
          <w:sz w:val="20"/>
          <w:szCs w:val="20"/>
        </w:rPr>
        <w:t>Estadual</w:t>
      </w:r>
      <w:proofErr w:type="spellEnd"/>
      <w:r w:rsidRPr="006E0873">
        <w:rPr>
          <w:bCs/>
          <w:sz w:val="20"/>
          <w:szCs w:val="20"/>
        </w:rPr>
        <w:t> </w:t>
      </w:r>
      <w:proofErr w:type="spellStart"/>
      <w:r w:rsidRPr="006E0873">
        <w:rPr>
          <w:bCs/>
          <w:sz w:val="20"/>
          <w:szCs w:val="20"/>
        </w:rPr>
        <w:t>Paulista</w:t>
      </w:r>
      <w:proofErr w:type="spellEnd"/>
      <w:r w:rsidRPr="006E0873">
        <w:rPr>
          <w:bCs/>
          <w:sz w:val="20"/>
          <w:szCs w:val="20"/>
        </w:rPr>
        <w:t> - São Paulo State University, and Ashoka Trust for Research in Ecology and the Environment </w:t>
      </w:r>
      <w:r>
        <w:rPr>
          <w:bCs/>
          <w:sz w:val="20"/>
          <w:szCs w:val="20"/>
        </w:rPr>
        <w:t>to provide core information, case studies and structured resources to support the creation of new research collaborations and the management of GCRF/international funded research projects</w:t>
      </w:r>
      <w:r w:rsidR="00C9685A">
        <w:rPr>
          <w:bCs/>
          <w:sz w:val="20"/>
          <w:szCs w:val="20"/>
        </w:rPr>
        <w:t>.</w:t>
      </w:r>
    </w:p>
    <w:p w14:paraId="147EA412" w14:textId="54002343" w:rsidR="00B567A1" w:rsidRPr="0064789D" w:rsidRDefault="00A72054" w:rsidP="0064789D">
      <w:pPr>
        <w:pStyle w:val="ListParagraph"/>
        <w:numPr>
          <w:ilvl w:val="0"/>
          <w:numId w:val="7"/>
        </w:numPr>
        <w:spacing w:after="0" w:line="276" w:lineRule="auto"/>
        <w:ind w:left="417"/>
        <w:rPr>
          <w:rFonts w:ascii="Calibri" w:eastAsia="Times New Roman" w:hAnsi="Calibri" w:cs="Calibri"/>
          <w:b/>
          <w:bCs/>
          <w:sz w:val="20"/>
          <w:szCs w:val="20"/>
          <w:lang w:eastAsia="en-GB"/>
        </w:rPr>
      </w:pPr>
      <w:r w:rsidRPr="0064789D">
        <w:rPr>
          <w:i/>
          <w:sz w:val="20"/>
          <w:szCs w:val="20"/>
        </w:rPr>
        <w:t xml:space="preserve">Monthly coffee morning </w:t>
      </w:r>
      <w:r w:rsidRPr="0064789D">
        <w:rPr>
          <w:iCs/>
          <w:sz w:val="20"/>
          <w:szCs w:val="20"/>
        </w:rPr>
        <w:t xml:space="preserve">virtual events co-hosted by Dean REP and IAS were introduced in October 2020 and ran throughout 2020-21 as a dedicated informal space for the research community </w:t>
      </w:r>
      <w:r w:rsidRPr="0064789D">
        <w:rPr>
          <w:color w:val="2D3B45"/>
          <w:sz w:val="20"/>
          <w:szCs w:val="20"/>
        </w:rPr>
        <w:t>to connect, discuss challenges and network.</w:t>
      </w:r>
    </w:p>
    <w:p w14:paraId="7A0E7C25" w14:textId="573B2EC8" w:rsidR="00DC448A" w:rsidRPr="0064789D" w:rsidRDefault="00DC448A" w:rsidP="0064789D">
      <w:pPr>
        <w:pStyle w:val="ListParagraph"/>
        <w:numPr>
          <w:ilvl w:val="0"/>
          <w:numId w:val="7"/>
        </w:numPr>
        <w:spacing w:after="0" w:line="276" w:lineRule="auto"/>
        <w:ind w:left="417"/>
        <w:rPr>
          <w:rFonts w:ascii="Calibri" w:eastAsia="Times New Roman" w:hAnsi="Calibri" w:cs="Calibri"/>
          <w:b/>
          <w:bCs/>
          <w:sz w:val="20"/>
          <w:szCs w:val="20"/>
          <w:lang w:eastAsia="en-GB"/>
        </w:rPr>
      </w:pPr>
      <w:r w:rsidRPr="0064789D">
        <w:rPr>
          <w:sz w:val="20"/>
          <w:szCs w:val="20"/>
        </w:rPr>
        <w:t xml:space="preserve">A dedicated </w:t>
      </w:r>
      <w:r w:rsidRPr="0064789D">
        <w:rPr>
          <w:i/>
          <w:iCs/>
          <w:sz w:val="20"/>
          <w:szCs w:val="20"/>
        </w:rPr>
        <w:t>Safeguarding Policy for Research</w:t>
      </w:r>
      <w:r w:rsidRPr="0064789D">
        <w:rPr>
          <w:sz w:val="20"/>
          <w:szCs w:val="20"/>
        </w:rPr>
        <w:t xml:space="preserve"> was approved in Dec 2020.</w:t>
      </w:r>
    </w:p>
    <w:p w14:paraId="18BD9553" w14:textId="7E743131" w:rsidR="00DC448A" w:rsidRPr="00E46BFD" w:rsidRDefault="00DC448A" w:rsidP="0064789D">
      <w:pPr>
        <w:pStyle w:val="ListParagraph"/>
        <w:numPr>
          <w:ilvl w:val="0"/>
          <w:numId w:val="10"/>
        </w:numPr>
        <w:spacing w:after="0" w:line="276" w:lineRule="auto"/>
        <w:ind w:left="417"/>
        <w:rPr>
          <w:rFonts w:ascii="Calibri" w:eastAsia="Times New Roman" w:hAnsi="Calibri" w:cs="Calibri"/>
          <w:b/>
          <w:bCs/>
          <w:sz w:val="20"/>
          <w:szCs w:val="20"/>
          <w:lang w:eastAsia="en-GB"/>
        </w:rPr>
      </w:pPr>
      <w:r w:rsidRPr="00E46BFD">
        <w:rPr>
          <w:bCs/>
          <w:sz w:val="20"/>
          <w:szCs w:val="20"/>
        </w:rPr>
        <w:t>Stirling became a signatory to the San Francisco Declaration on Research Assessment (DORA)</w:t>
      </w:r>
      <w:r w:rsidR="00D13558">
        <w:rPr>
          <w:bCs/>
          <w:sz w:val="20"/>
          <w:szCs w:val="20"/>
        </w:rPr>
        <w:t xml:space="preserve"> at the beginning March 2020 and a code of practice is under development. </w:t>
      </w:r>
    </w:p>
    <w:p w14:paraId="3C164A9F" w14:textId="0512861B" w:rsidR="00DC448A" w:rsidRDefault="00DC448A" w:rsidP="00287A3F">
      <w:pPr>
        <w:spacing w:after="0"/>
        <w:rPr>
          <w:rFonts w:asciiTheme="majorHAnsi" w:eastAsiaTheme="majorEastAsia" w:hAnsiTheme="majorHAnsi" w:cstheme="majorBidi"/>
          <w:b/>
          <w:color w:val="2E74B5" w:themeColor="accent1" w:themeShade="BF"/>
          <w:sz w:val="20"/>
          <w:szCs w:val="20"/>
        </w:rPr>
      </w:pPr>
    </w:p>
    <w:p w14:paraId="2F81980B" w14:textId="77777777" w:rsidR="008E51F2" w:rsidRPr="00CC16A0" w:rsidRDefault="008E51F2" w:rsidP="00CC16A0">
      <w:pPr>
        <w:spacing w:after="0"/>
        <w:rPr>
          <w:rFonts w:asciiTheme="majorHAnsi" w:eastAsiaTheme="majorEastAsia" w:hAnsiTheme="majorHAnsi" w:cstheme="majorBidi"/>
          <w:b/>
          <w:color w:val="2E74B5" w:themeColor="accent1" w:themeShade="BF"/>
          <w:sz w:val="20"/>
          <w:szCs w:val="20"/>
        </w:rPr>
      </w:pPr>
    </w:p>
    <w:p w14:paraId="3E399BD1" w14:textId="7B397159" w:rsidR="00DC448A" w:rsidRPr="00AE5F08" w:rsidRDefault="00DC448A" w:rsidP="004058C7">
      <w:pPr>
        <w:pStyle w:val="Heading1"/>
        <w:rPr>
          <w:b/>
          <w:color w:val="auto"/>
          <w:sz w:val="20"/>
          <w:szCs w:val="20"/>
        </w:rPr>
      </w:pPr>
      <w:r w:rsidRPr="00AE5F08">
        <w:rPr>
          <w:b/>
          <w:color w:val="auto"/>
          <w:sz w:val="20"/>
          <w:szCs w:val="20"/>
        </w:rPr>
        <w:t>Principles 5</w:t>
      </w:r>
      <w:r w:rsidR="007770B4" w:rsidRPr="00AE5F08">
        <w:rPr>
          <w:b/>
          <w:color w:val="auto"/>
          <w:sz w:val="20"/>
          <w:szCs w:val="20"/>
        </w:rPr>
        <w:t>: Researchers’ Responsibilities</w:t>
      </w:r>
    </w:p>
    <w:p w14:paraId="431B638A" w14:textId="77777777" w:rsidR="00DC448A" w:rsidRPr="00E46BFD" w:rsidRDefault="00DC448A" w:rsidP="0064789D">
      <w:pPr>
        <w:pStyle w:val="ListParagraph"/>
        <w:numPr>
          <w:ilvl w:val="0"/>
          <w:numId w:val="9"/>
        </w:numPr>
        <w:spacing w:after="0" w:line="276" w:lineRule="auto"/>
        <w:ind w:left="417"/>
        <w:rPr>
          <w:rFonts w:ascii="Calibri" w:eastAsia="Times New Roman" w:hAnsi="Calibri" w:cs="Calibri"/>
          <w:b/>
          <w:bCs/>
          <w:sz w:val="20"/>
          <w:szCs w:val="20"/>
          <w:lang w:eastAsia="en-GB"/>
        </w:rPr>
      </w:pPr>
      <w:r w:rsidRPr="00E46BFD">
        <w:rPr>
          <w:sz w:val="20"/>
          <w:szCs w:val="20"/>
        </w:rPr>
        <w:t xml:space="preserve">A pilot </w:t>
      </w:r>
      <w:r w:rsidRPr="00E46BFD">
        <w:rPr>
          <w:i/>
          <w:iCs/>
          <w:sz w:val="20"/>
          <w:szCs w:val="20"/>
        </w:rPr>
        <w:t>International Mentoring Partnership Programme</w:t>
      </w:r>
      <w:r w:rsidRPr="00E46BFD">
        <w:rPr>
          <w:sz w:val="20"/>
          <w:szCs w:val="20"/>
        </w:rPr>
        <w:t xml:space="preserve"> (IMPP) to develop research capability and enhance cultural and social learning between the University of Stirling and S</w:t>
      </w:r>
      <w:r w:rsidRPr="00E46BFD">
        <w:rPr>
          <w:rFonts w:cstheme="minorHAnsi"/>
          <w:sz w:val="20"/>
          <w:szCs w:val="20"/>
        </w:rPr>
        <w:t>ã</w:t>
      </w:r>
      <w:r w:rsidRPr="00E46BFD">
        <w:rPr>
          <w:sz w:val="20"/>
          <w:szCs w:val="20"/>
        </w:rPr>
        <w:t>o Paulo State University (Brazil) was successfully delivered to two cohorts of 10 mentors and 10 mentees as part of our GCRF-funded activity. The first pilot ran in June 2019, with the second iteration was re-designed to be delivered as a distance course online which began in February 2021 and was completed in June 2021.</w:t>
      </w:r>
    </w:p>
    <w:p w14:paraId="0CC66AF8" w14:textId="18F8C6ED" w:rsidR="00DC448A" w:rsidRPr="007770B4" w:rsidRDefault="00DC448A" w:rsidP="0064789D">
      <w:pPr>
        <w:pStyle w:val="ListParagraph"/>
        <w:numPr>
          <w:ilvl w:val="0"/>
          <w:numId w:val="9"/>
        </w:numPr>
        <w:spacing w:after="200" w:line="276" w:lineRule="auto"/>
        <w:ind w:left="417"/>
        <w:rPr>
          <w:rFonts w:ascii="Calibri" w:eastAsia="Times New Roman" w:hAnsi="Calibri" w:cs="Calibri"/>
          <w:b/>
          <w:bCs/>
          <w:sz w:val="20"/>
          <w:szCs w:val="20"/>
          <w:lang w:eastAsia="en-GB"/>
        </w:rPr>
      </w:pPr>
      <w:r w:rsidRPr="00E46BFD">
        <w:rPr>
          <w:bCs/>
          <w:sz w:val="20"/>
          <w:szCs w:val="20"/>
        </w:rPr>
        <w:t>The</w:t>
      </w:r>
      <w:r w:rsidRPr="00E46BFD">
        <w:rPr>
          <w:bCs/>
          <w:i/>
          <w:iCs/>
          <w:sz w:val="20"/>
          <w:szCs w:val="20"/>
        </w:rPr>
        <w:t xml:space="preserve"> </w:t>
      </w:r>
      <w:r w:rsidRPr="00E46BFD">
        <w:rPr>
          <w:bCs/>
          <w:sz w:val="20"/>
          <w:szCs w:val="20"/>
        </w:rPr>
        <w:t xml:space="preserve">ECR focussed leadership and networking initiative </w:t>
      </w:r>
      <w:r w:rsidRPr="00E46BFD">
        <w:rPr>
          <w:bCs/>
          <w:i/>
          <w:iCs/>
          <w:sz w:val="20"/>
          <w:szCs w:val="20"/>
        </w:rPr>
        <w:t>Stirling Crucible</w:t>
      </w:r>
      <w:r w:rsidRPr="00E46BFD">
        <w:rPr>
          <w:bCs/>
          <w:sz w:val="20"/>
          <w:szCs w:val="20"/>
        </w:rPr>
        <w:t xml:space="preserve">, was delivered to 17 early career researchers from across all 5 Faculties April-June 2021. This </w:t>
      </w:r>
      <w:r w:rsidR="00EE6549">
        <w:rPr>
          <w:bCs/>
          <w:sz w:val="20"/>
          <w:szCs w:val="20"/>
        </w:rPr>
        <w:t xml:space="preserve">biennial </w:t>
      </w:r>
      <w:r w:rsidRPr="00E46BFD">
        <w:rPr>
          <w:bCs/>
          <w:sz w:val="20"/>
          <w:szCs w:val="20"/>
        </w:rPr>
        <w:t xml:space="preserve">6-day </w:t>
      </w:r>
      <w:r w:rsidR="001E278B">
        <w:rPr>
          <w:bCs/>
          <w:sz w:val="20"/>
          <w:szCs w:val="20"/>
        </w:rPr>
        <w:t xml:space="preserve">training </w:t>
      </w:r>
      <w:r w:rsidRPr="00E46BFD">
        <w:rPr>
          <w:bCs/>
          <w:sz w:val="20"/>
          <w:szCs w:val="20"/>
        </w:rPr>
        <w:t>event</w:t>
      </w:r>
      <w:r w:rsidR="001E278B" w:rsidRPr="001E278B">
        <w:rPr>
          <w:bCs/>
          <w:sz w:val="20"/>
          <w:szCs w:val="20"/>
        </w:rPr>
        <w:t xml:space="preserve"> </w:t>
      </w:r>
      <w:r w:rsidR="001E278B" w:rsidRPr="00E46BFD">
        <w:rPr>
          <w:bCs/>
          <w:sz w:val="20"/>
          <w:szCs w:val="20"/>
        </w:rPr>
        <w:t>aim</w:t>
      </w:r>
      <w:r w:rsidR="001E278B">
        <w:rPr>
          <w:bCs/>
          <w:sz w:val="20"/>
          <w:szCs w:val="20"/>
        </w:rPr>
        <w:t>s</w:t>
      </w:r>
      <w:r w:rsidR="001E278B" w:rsidRPr="00E46BFD">
        <w:rPr>
          <w:bCs/>
          <w:sz w:val="20"/>
          <w:szCs w:val="20"/>
        </w:rPr>
        <w:t xml:space="preserve"> to enhance the potential for interdisciplinary research collaborations</w:t>
      </w:r>
      <w:r w:rsidR="001E278B">
        <w:rPr>
          <w:bCs/>
          <w:sz w:val="20"/>
          <w:szCs w:val="20"/>
        </w:rPr>
        <w:t xml:space="preserve"> and </w:t>
      </w:r>
      <w:r w:rsidRPr="00E46BFD">
        <w:rPr>
          <w:bCs/>
          <w:sz w:val="20"/>
          <w:szCs w:val="20"/>
        </w:rPr>
        <w:t>support</w:t>
      </w:r>
      <w:r w:rsidR="00010D67">
        <w:rPr>
          <w:bCs/>
          <w:sz w:val="20"/>
          <w:szCs w:val="20"/>
        </w:rPr>
        <w:t>s</w:t>
      </w:r>
      <w:r w:rsidRPr="00E46BFD">
        <w:rPr>
          <w:bCs/>
          <w:sz w:val="20"/>
          <w:szCs w:val="20"/>
        </w:rPr>
        <w:t xml:space="preserve"> early career researchers </w:t>
      </w:r>
      <w:r w:rsidR="00975528">
        <w:rPr>
          <w:bCs/>
          <w:sz w:val="20"/>
          <w:szCs w:val="20"/>
        </w:rPr>
        <w:t>with</w:t>
      </w:r>
      <w:r w:rsidR="00975528" w:rsidRPr="00E46BFD">
        <w:rPr>
          <w:bCs/>
          <w:sz w:val="20"/>
          <w:szCs w:val="20"/>
        </w:rPr>
        <w:t xml:space="preserve"> </w:t>
      </w:r>
      <w:r w:rsidRPr="00E46BFD">
        <w:rPr>
          <w:bCs/>
          <w:sz w:val="20"/>
          <w:szCs w:val="20"/>
        </w:rPr>
        <w:t>the opportunity to bid for seed funding of new collaborative research projects</w:t>
      </w:r>
      <w:r w:rsidR="00975528">
        <w:rPr>
          <w:bCs/>
          <w:sz w:val="20"/>
          <w:szCs w:val="20"/>
        </w:rPr>
        <w:t>.</w:t>
      </w:r>
    </w:p>
    <w:p w14:paraId="5B04B60B" w14:textId="0A4A2406" w:rsidR="007F40D7" w:rsidRPr="00AE5F08" w:rsidRDefault="004F0F6A" w:rsidP="00AE5F08">
      <w:pPr>
        <w:pStyle w:val="ListParagraph"/>
        <w:numPr>
          <w:ilvl w:val="0"/>
          <w:numId w:val="9"/>
        </w:numPr>
        <w:spacing w:after="0" w:line="276" w:lineRule="auto"/>
        <w:ind w:left="417"/>
        <w:rPr>
          <w:rFonts w:ascii="Calibri" w:eastAsia="Times New Roman" w:hAnsi="Calibri" w:cs="Calibri"/>
          <w:b/>
          <w:bCs/>
          <w:sz w:val="20"/>
          <w:szCs w:val="20"/>
          <w:lang w:eastAsia="en-GB"/>
        </w:rPr>
      </w:pPr>
      <w:r w:rsidRPr="004F0F6A">
        <w:rPr>
          <w:bCs/>
          <w:sz w:val="20"/>
          <w:szCs w:val="20"/>
        </w:rPr>
        <w:t xml:space="preserve">Increase in </w:t>
      </w:r>
      <w:r w:rsidRPr="00C750B1">
        <w:rPr>
          <w:bCs/>
          <w:i/>
          <w:iCs/>
          <w:sz w:val="20"/>
          <w:szCs w:val="20"/>
        </w:rPr>
        <w:t>awareness of the Concordat</w:t>
      </w:r>
      <w:r w:rsidRPr="004F0F6A">
        <w:rPr>
          <w:bCs/>
          <w:sz w:val="20"/>
          <w:szCs w:val="20"/>
        </w:rPr>
        <w:t>: 43.6% of CEDARS 2021 respondents had “some knowledge &amp; understanding of the Concordat”</w:t>
      </w:r>
      <w:r>
        <w:rPr>
          <w:bCs/>
          <w:sz w:val="20"/>
          <w:szCs w:val="20"/>
        </w:rPr>
        <w:t xml:space="preserve"> compared to 19</w:t>
      </w:r>
      <w:r w:rsidR="007F40D7">
        <w:rPr>
          <w:bCs/>
          <w:sz w:val="20"/>
          <w:szCs w:val="20"/>
        </w:rPr>
        <w:t xml:space="preserve">.5 </w:t>
      </w:r>
      <w:r>
        <w:rPr>
          <w:bCs/>
          <w:sz w:val="20"/>
          <w:szCs w:val="20"/>
        </w:rPr>
        <w:t>% in CROS 2019.</w:t>
      </w:r>
    </w:p>
    <w:p w14:paraId="33026AA9" w14:textId="1065AF78" w:rsidR="00DC448A" w:rsidRPr="00AE5F08" w:rsidRDefault="00DC448A" w:rsidP="004058C7">
      <w:pPr>
        <w:pStyle w:val="Heading1"/>
        <w:rPr>
          <w:b/>
          <w:color w:val="auto"/>
          <w:sz w:val="20"/>
          <w:szCs w:val="20"/>
        </w:rPr>
      </w:pPr>
      <w:r w:rsidRPr="00AE5F08">
        <w:rPr>
          <w:b/>
          <w:color w:val="auto"/>
          <w:sz w:val="20"/>
          <w:szCs w:val="20"/>
        </w:rPr>
        <w:t>Principles 6 &amp; 7</w:t>
      </w:r>
      <w:r w:rsidR="007770B4" w:rsidRPr="00AE5F08">
        <w:rPr>
          <w:b/>
          <w:color w:val="auto"/>
          <w:sz w:val="20"/>
          <w:szCs w:val="20"/>
        </w:rPr>
        <w:t>: Diversity and Equality, Implementation and Review</w:t>
      </w:r>
    </w:p>
    <w:p w14:paraId="7EC2A291" w14:textId="13EEE347" w:rsidR="00DC448A" w:rsidRPr="00A179FC" w:rsidRDefault="00DC448A" w:rsidP="0064789D">
      <w:pPr>
        <w:pStyle w:val="ListParagraph"/>
        <w:numPr>
          <w:ilvl w:val="0"/>
          <w:numId w:val="8"/>
        </w:numPr>
        <w:spacing w:after="200" w:line="276" w:lineRule="auto"/>
        <w:ind w:left="417"/>
        <w:rPr>
          <w:rFonts w:ascii="Calibri" w:eastAsia="Times New Roman" w:hAnsi="Calibri" w:cs="Calibri"/>
          <w:b/>
          <w:bCs/>
          <w:sz w:val="20"/>
          <w:szCs w:val="20"/>
          <w:lang w:eastAsia="en-GB"/>
        </w:rPr>
      </w:pPr>
      <w:r w:rsidRPr="00E46BFD">
        <w:rPr>
          <w:iCs/>
          <w:sz w:val="20"/>
          <w:szCs w:val="20"/>
        </w:rPr>
        <w:t xml:space="preserve">Continued support for </w:t>
      </w:r>
      <w:r w:rsidRPr="00E46BFD">
        <w:rPr>
          <w:i/>
          <w:sz w:val="20"/>
          <w:szCs w:val="20"/>
        </w:rPr>
        <w:t>Athena Swan submissions</w:t>
      </w:r>
      <w:r w:rsidRPr="00E46BFD">
        <w:rPr>
          <w:iCs/>
          <w:sz w:val="20"/>
          <w:szCs w:val="20"/>
        </w:rPr>
        <w:t xml:space="preserve"> is led by our Dean for Equality, Diversity &amp; Inclusion with the new Institutional Bronze submission anticipated in J</w:t>
      </w:r>
      <w:r w:rsidR="00C750B1">
        <w:rPr>
          <w:iCs/>
          <w:sz w:val="20"/>
          <w:szCs w:val="20"/>
        </w:rPr>
        <w:t xml:space="preserve">uly </w:t>
      </w:r>
      <w:r w:rsidRPr="00E46BFD">
        <w:rPr>
          <w:iCs/>
          <w:sz w:val="20"/>
          <w:szCs w:val="20"/>
        </w:rPr>
        <w:t xml:space="preserve">2022. </w:t>
      </w:r>
      <w:r w:rsidRPr="00E46BFD">
        <w:rPr>
          <w:sz w:val="20"/>
          <w:szCs w:val="20"/>
        </w:rPr>
        <w:t xml:space="preserve">Faculty Bronze awards are currently held in Health Sciences &amp; Sport, Social Sciences and most recently the Stirling Management School. Divisional awards are also held by </w:t>
      </w:r>
      <w:r w:rsidRPr="00E46BFD">
        <w:rPr>
          <w:iCs/>
          <w:sz w:val="20"/>
          <w:szCs w:val="20"/>
        </w:rPr>
        <w:t>Biological and Environmental Sciences, the Institute of Aquaculture and Psychology.</w:t>
      </w:r>
    </w:p>
    <w:p w14:paraId="35578789" w14:textId="00D045A7" w:rsidR="00DC448A" w:rsidRPr="00AE5F08" w:rsidRDefault="00DC448A" w:rsidP="00AE5F08">
      <w:pPr>
        <w:pStyle w:val="ListParagraph"/>
        <w:numPr>
          <w:ilvl w:val="0"/>
          <w:numId w:val="8"/>
        </w:numPr>
        <w:spacing w:after="0" w:line="276" w:lineRule="auto"/>
        <w:ind w:left="417"/>
        <w:rPr>
          <w:bCs/>
          <w:sz w:val="20"/>
          <w:szCs w:val="20"/>
        </w:rPr>
      </w:pPr>
      <w:r w:rsidRPr="00C750B1">
        <w:rPr>
          <w:bCs/>
          <w:i/>
          <w:iCs/>
          <w:sz w:val="20"/>
          <w:szCs w:val="20"/>
        </w:rPr>
        <w:t>REG membership</w:t>
      </w:r>
      <w:r w:rsidRPr="00E46BFD">
        <w:rPr>
          <w:bCs/>
          <w:sz w:val="20"/>
          <w:szCs w:val="20"/>
        </w:rPr>
        <w:t xml:space="preserve"> has been strengthened to include 3 early career researchers allowing for REG work to link into early career networks and communicate more effectively with postdoctoral fora.</w:t>
      </w:r>
    </w:p>
    <w:p w14:paraId="79F7755F" w14:textId="2E44EC1A" w:rsidR="00DC448A" w:rsidRPr="0037184E" w:rsidRDefault="00DC448A" w:rsidP="004058C7">
      <w:pPr>
        <w:pStyle w:val="Heading1"/>
        <w:rPr>
          <w:b/>
          <w:color w:val="auto"/>
          <w:sz w:val="20"/>
          <w:szCs w:val="20"/>
        </w:rPr>
      </w:pPr>
      <w:r w:rsidRPr="0037184E">
        <w:rPr>
          <w:b/>
          <w:color w:val="auto"/>
          <w:sz w:val="20"/>
          <w:szCs w:val="20"/>
        </w:rPr>
        <w:t xml:space="preserve">Key new actions and </w:t>
      </w:r>
      <w:proofErr w:type="gramStart"/>
      <w:r w:rsidR="007B5AD6" w:rsidRPr="0037184E">
        <w:rPr>
          <w:b/>
          <w:color w:val="auto"/>
          <w:sz w:val="20"/>
          <w:szCs w:val="20"/>
        </w:rPr>
        <w:t>future plans</w:t>
      </w:r>
      <w:proofErr w:type="gramEnd"/>
    </w:p>
    <w:p w14:paraId="0ED92C3A" w14:textId="6E0D23CD" w:rsidR="00F5534E" w:rsidRPr="0064789D" w:rsidRDefault="00DC448A" w:rsidP="00C750B1">
      <w:pPr>
        <w:pStyle w:val="NormalWeb"/>
        <w:spacing w:before="0" w:beforeAutospacing="0" w:after="0" w:afterAutospacing="0"/>
        <w:rPr>
          <w:iCs/>
          <w:sz w:val="20"/>
          <w:szCs w:val="20"/>
        </w:rPr>
      </w:pPr>
      <w:r w:rsidRPr="00C750B1">
        <w:rPr>
          <w:rFonts w:asciiTheme="minorHAnsi" w:eastAsiaTheme="minorHAnsi" w:hAnsiTheme="minorHAnsi" w:cstheme="minorBidi"/>
          <w:iCs/>
          <w:sz w:val="20"/>
          <w:szCs w:val="20"/>
          <w:lang w:eastAsia="en-US"/>
        </w:rPr>
        <w:t>The engagement and consultation process highlighted several key areas for</w:t>
      </w:r>
      <w:r w:rsidR="00D763BD" w:rsidRPr="00C750B1">
        <w:rPr>
          <w:rFonts w:asciiTheme="minorHAnsi" w:eastAsiaTheme="minorHAnsi" w:hAnsiTheme="minorHAnsi" w:cstheme="minorBidi"/>
          <w:iCs/>
          <w:sz w:val="20"/>
          <w:szCs w:val="20"/>
          <w:lang w:eastAsia="en-US"/>
        </w:rPr>
        <w:t xml:space="preserve"> </w:t>
      </w:r>
      <w:r w:rsidR="008F456D">
        <w:rPr>
          <w:rFonts w:asciiTheme="minorHAnsi" w:eastAsiaTheme="minorHAnsi" w:hAnsiTheme="minorHAnsi" w:cstheme="minorBidi"/>
          <w:iCs/>
          <w:sz w:val="20"/>
          <w:szCs w:val="20"/>
          <w:lang w:eastAsia="en-US"/>
        </w:rPr>
        <w:t xml:space="preserve">inclusion in the </w:t>
      </w:r>
      <w:proofErr w:type="spellStart"/>
      <w:r w:rsidR="008F456D">
        <w:rPr>
          <w:rFonts w:asciiTheme="minorHAnsi" w:eastAsiaTheme="minorHAnsi" w:hAnsiTheme="minorHAnsi" w:cstheme="minorBidi"/>
          <w:iCs/>
          <w:sz w:val="20"/>
          <w:szCs w:val="20"/>
          <w:lang w:eastAsia="en-US"/>
        </w:rPr>
        <w:t>HREiR</w:t>
      </w:r>
      <w:proofErr w:type="spellEnd"/>
      <w:r w:rsidR="008F456D">
        <w:rPr>
          <w:rFonts w:asciiTheme="minorHAnsi" w:eastAsiaTheme="minorHAnsi" w:hAnsiTheme="minorHAnsi" w:cstheme="minorBidi"/>
          <w:iCs/>
          <w:sz w:val="20"/>
          <w:szCs w:val="20"/>
          <w:lang w:eastAsia="en-US"/>
        </w:rPr>
        <w:t xml:space="preserve"> / Concordat 2021-22 Action Plan</w:t>
      </w:r>
      <w:r w:rsidR="004F5ECE">
        <w:rPr>
          <w:rFonts w:asciiTheme="minorHAnsi" w:eastAsiaTheme="minorHAnsi" w:hAnsiTheme="minorHAnsi" w:cstheme="minorBidi"/>
          <w:iCs/>
          <w:sz w:val="20"/>
          <w:szCs w:val="20"/>
          <w:lang w:eastAsia="en-US"/>
        </w:rPr>
        <w:t xml:space="preserve"> including</w:t>
      </w:r>
      <w:r w:rsidR="008F456D">
        <w:rPr>
          <w:rFonts w:asciiTheme="minorHAnsi" w:eastAsiaTheme="minorHAnsi" w:hAnsiTheme="minorHAnsi" w:cstheme="minorBidi"/>
          <w:iCs/>
          <w:sz w:val="20"/>
          <w:szCs w:val="20"/>
          <w:lang w:eastAsia="en-US"/>
        </w:rPr>
        <w:t>:</w:t>
      </w:r>
      <w:r w:rsidR="00AD108C" w:rsidRPr="00C750B1">
        <w:rPr>
          <w:rFonts w:asciiTheme="minorHAnsi" w:eastAsiaTheme="minorHAnsi" w:hAnsiTheme="minorHAnsi" w:cstheme="minorBidi"/>
          <w:iCs/>
          <w:sz w:val="20"/>
          <w:szCs w:val="20"/>
          <w:lang w:eastAsia="en-US"/>
        </w:rPr>
        <w:t xml:space="preserve"> </w:t>
      </w:r>
      <w:r w:rsidR="008F456D">
        <w:rPr>
          <w:rFonts w:asciiTheme="minorHAnsi" w:eastAsiaTheme="minorHAnsi" w:hAnsiTheme="minorHAnsi" w:cstheme="minorBidi"/>
          <w:iCs/>
          <w:sz w:val="20"/>
          <w:szCs w:val="20"/>
          <w:lang w:eastAsia="en-US"/>
        </w:rPr>
        <w:t>i</w:t>
      </w:r>
      <w:r w:rsidRPr="00B92E17">
        <w:rPr>
          <w:rFonts w:asciiTheme="minorHAnsi" w:eastAsiaTheme="minorHAnsi" w:hAnsiTheme="minorHAnsi" w:cstheme="minorBidi"/>
          <w:iCs/>
          <w:sz w:val="20"/>
          <w:szCs w:val="20"/>
          <w:lang w:eastAsia="en-US"/>
        </w:rPr>
        <w:t>mprov</w:t>
      </w:r>
      <w:r w:rsidR="004E4CD2">
        <w:rPr>
          <w:rFonts w:asciiTheme="minorHAnsi" w:eastAsiaTheme="minorHAnsi" w:hAnsiTheme="minorHAnsi" w:cstheme="minorBidi"/>
          <w:iCs/>
          <w:sz w:val="20"/>
          <w:szCs w:val="20"/>
          <w:lang w:eastAsia="en-US"/>
        </w:rPr>
        <w:t>ing</w:t>
      </w:r>
      <w:r w:rsidR="00CF0797">
        <w:rPr>
          <w:rFonts w:asciiTheme="minorHAnsi" w:eastAsiaTheme="minorHAnsi" w:hAnsiTheme="minorHAnsi" w:cstheme="minorBidi"/>
          <w:iCs/>
          <w:sz w:val="20"/>
          <w:szCs w:val="20"/>
          <w:lang w:eastAsia="en-US"/>
        </w:rPr>
        <w:t xml:space="preserve"> </w:t>
      </w:r>
      <w:r w:rsidRPr="00B92E17">
        <w:rPr>
          <w:rFonts w:asciiTheme="minorHAnsi" w:eastAsiaTheme="minorHAnsi" w:hAnsiTheme="minorHAnsi" w:cstheme="minorBidi"/>
          <w:iCs/>
          <w:sz w:val="20"/>
          <w:szCs w:val="20"/>
          <w:lang w:eastAsia="en-US"/>
        </w:rPr>
        <w:t xml:space="preserve">career management </w:t>
      </w:r>
      <w:r w:rsidR="007C6E77" w:rsidRPr="00B92E17">
        <w:rPr>
          <w:rFonts w:asciiTheme="minorHAnsi" w:eastAsiaTheme="minorHAnsi" w:hAnsiTheme="minorHAnsi" w:cstheme="minorBidi"/>
          <w:iCs/>
          <w:sz w:val="20"/>
          <w:szCs w:val="20"/>
          <w:lang w:eastAsia="en-US"/>
        </w:rPr>
        <w:t xml:space="preserve">and mentoring </w:t>
      </w:r>
      <w:r w:rsidRPr="00B92E17">
        <w:rPr>
          <w:rFonts w:asciiTheme="minorHAnsi" w:eastAsiaTheme="minorHAnsi" w:hAnsiTheme="minorHAnsi" w:cstheme="minorBidi"/>
          <w:iCs/>
          <w:sz w:val="20"/>
          <w:szCs w:val="20"/>
          <w:lang w:eastAsia="en-US"/>
        </w:rPr>
        <w:t>support for early</w:t>
      </w:r>
      <w:r w:rsidRPr="00B92E17">
        <w:rPr>
          <w:iCs/>
          <w:sz w:val="20"/>
          <w:szCs w:val="20"/>
        </w:rPr>
        <w:t xml:space="preserve"> </w:t>
      </w:r>
      <w:r w:rsidRPr="00B92E17">
        <w:rPr>
          <w:rFonts w:asciiTheme="minorHAnsi" w:eastAsiaTheme="minorHAnsi" w:hAnsiTheme="minorHAnsi" w:cstheme="minorBidi"/>
          <w:iCs/>
          <w:sz w:val="20"/>
          <w:szCs w:val="20"/>
          <w:lang w:eastAsia="en-US"/>
        </w:rPr>
        <w:t>career staff</w:t>
      </w:r>
      <w:r w:rsidR="00AD108C" w:rsidRPr="00B92E17">
        <w:rPr>
          <w:rFonts w:asciiTheme="minorHAnsi" w:eastAsiaTheme="minorHAnsi" w:hAnsiTheme="minorHAnsi" w:cstheme="minorBidi"/>
          <w:iCs/>
          <w:sz w:val="20"/>
          <w:szCs w:val="20"/>
          <w:lang w:eastAsia="en-US"/>
        </w:rPr>
        <w:t>;</w:t>
      </w:r>
      <w:r w:rsidR="00AA71E1">
        <w:rPr>
          <w:rFonts w:asciiTheme="minorHAnsi" w:eastAsiaTheme="minorHAnsi" w:hAnsiTheme="minorHAnsi" w:cstheme="minorBidi"/>
          <w:iCs/>
          <w:sz w:val="20"/>
          <w:szCs w:val="20"/>
          <w:lang w:eastAsia="en-US"/>
        </w:rPr>
        <w:t xml:space="preserve"> </w:t>
      </w:r>
      <w:r w:rsidR="00CF0797">
        <w:rPr>
          <w:rFonts w:asciiTheme="minorHAnsi" w:eastAsiaTheme="minorHAnsi" w:hAnsiTheme="minorHAnsi" w:cstheme="minorBidi"/>
          <w:iCs/>
          <w:sz w:val="20"/>
          <w:szCs w:val="20"/>
          <w:lang w:eastAsia="en-US"/>
        </w:rPr>
        <w:t>im</w:t>
      </w:r>
      <w:r w:rsidR="00FD28D1" w:rsidRPr="00B92E17">
        <w:rPr>
          <w:rFonts w:asciiTheme="minorHAnsi" w:eastAsiaTheme="minorHAnsi" w:hAnsiTheme="minorHAnsi" w:cstheme="minorBidi"/>
          <w:iCs/>
          <w:sz w:val="20"/>
          <w:szCs w:val="20"/>
          <w:lang w:eastAsia="en-US"/>
        </w:rPr>
        <w:t>prov</w:t>
      </w:r>
      <w:r w:rsidR="004E4CD2">
        <w:rPr>
          <w:rFonts w:asciiTheme="minorHAnsi" w:eastAsiaTheme="minorHAnsi" w:hAnsiTheme="minorHAnsi" w:cstheme="minorBidi"/>
          <w:iCs/>
          <w:sz w:val="20"/>
          <w:szCs w:val="20"/>
          <w:lang w:eastAsia="en-US"/>
        </w:rPr>
        <w:t>ing</w:t>
      </w:r>
      <w:r w:rsidR="00932E42" w:rsidRPr="00B92E17">
        <w:rPr>
          <w:rFonts w:asciiTheme="minorHAnsi" w:eastAsiaTheme="minorHAnsi" w:hAnsiTheme="minorHAnsi" w:cstheme="minorBidi"/>
          <w:iCs/>
          <w:sz w:val="20"/>
          <w:szCs w:val="20"/>
          <w:lang w:eastAsia="en-US"/>
        </w:rPr>
        <w:t xml:space="preserve"> institutional and local induction experiences</w:t>
      </w:r>
      <w:r w:rsidR="00AD108C" w:rsidRPr="00B92E17">
        <w:rPr>
          <w:rFonts w:asciiTheme="minorHAnsi" w:eastAsiaTheme="minorHAnsi" w:hAnsiTheme="minorHAnsi" w:cstheme="minorBidi"/>
          <w:iCs/>
          <w:sz w:val="20"/>
          <w:szCs w:val="20"/>
          <w:lang w:eastAsia="en-US"/>
        </w:rPr>
        <w:t xml:space="preserve">; </w:t>
      </w:r>
      <w:r w:rsidR="00CF0797">
        <w:rPr>
          <w:rFonts w:asciiTheme="minorHAnsi" w:eastAsiaTheme="minorHAnsi" w:hAnsiTheme="minorHAnsi" w:cstheme="minorBidi"/>
          <w:iCs/>
          <w:sz w:val="20"/>
          <w:szCs w:val="20"/>
          <w:lang w:eastAsia="en-US"/>
        </w:rPr>
        <w:t>i</w:t>
      </w:r>
      <w:r w:rsidRPr="00B92E17">
        <w:rPr>
          <w:rFonts w:asciiTheme="minorHAnsi" w:eastAsiaTheme="minorHAnsi" w:hAnsiTheme="minorHAnsi" w:cstheme="minorBidi"/>
          <w:iCs/>
          <w:sz w:val="20"/>
          <w:szCs w:val="20"/>
          <w:lang w:eastAsia="en-US"/>
        </w:rPr>
        <w:t>mprov</w:t>
      </w:r>
      <w:r w:rsidR="004E4CD2">
        <w:rPr>
          <w:rFonts w:asciiTheme="minorHAnsi" w:eastAsiaTheme="minorHAnsi" w:hAnsiTheme="minorHAnsi" w:cstheme="minorBidi"/>
          <w:iCs/>
          <w:sz w:val="20"/>
          <w:szCs w:val="20"/>
          <w:lang w:eastAsia="en-US"/>
        </w:rPr>
        <w:t>ing</w:t>
      </w:r>
      <w:r w:rsidRPr="00B92E17">
        <w:rPr>
          <w:rFonts w:asciiTheme="minorHAnsi" w:eastAsiaTheme="minorHAnsi" w:hAnsiTheme="minorHAnsi" w:cstheme="minorBidi"/>
          <w:iCs/>
          <w:sz w:val="20"/>
          <w:szCs w:val="20"/>
          <w:lang w:eastAsia="en-US"/>
        </w:rPr>
        <w:t xml:space="preserve"> staff mental health and well-being</w:t>
      </w:r>
      <w:r w:rsidR="00AD108C" w:rsidRPr="00B92E17">
        <w:rPr>
          <w:rFonts w:asciiTheme="minorHAnsi" w:eastAsiaTheme="minorHAnsi" w:hAnsiTheme="minorHAnsi" w:cstheme="minorBidi"/>
          <w:iCs/>
          <w:sz w:val="20"/>
          <w:szCs w:val="20"/>
          <w:lang w:eastAsia="en-US"/>
        </w:rPr>
        <w:t xml:space="preserve">; </w:t>
      </w:r>
      <w:r w:rsidR="006B0D4F">
        <w:rPr>
          <w:rFonts w:asciiTheme="minorHAnsi" w:eastAsiaTheme="minorHAnsi" w:hAnsiTheme="minorHAnsi" w:cstheme="minorBidi"/>
          <w:iCs/>
          <w:sz w:val="20"/>
          <w:szCs w:val="20"/>
          <w:lang w:eastAsia="en-US"/>
        </w:rPr>
        <w:t xml:space="preserve">improving </w:t>
      </w:r>
      <w:r w:rsidRPr="00B92E17">
        <w:rPr>
          <w:rFonts w:asciiTheme="minorHAnsi" w:eastAsiaTheme="minorHAnsi" w:hAnsiTheme="minorHAnsi" w:cstheme="minorBidi"/>
          <w:iCs/>
          <w:sz w:val="20"/>
          <w:szCs w:val="20"/>
          <w:lang w:eastAsia="en-US"/>
        </w:rPr>
        <w:t>communication of staff policies, procedures and reporting mechanisms</w:t>
      </w:r>
      <w:r w:rsidR="00916D1C">
        <w:rPr>
          <w:rFonts w:asciiTheme="minorHAnsi" w:eastAsiaTheme="minorHAnsi" w:hAnsiTheme="minorHAnsi" w:cstheme="minorBidi"/>
          <w:iCs/>
          <w:sz w:val="20"/>
          <w:szCs w:val="20"/>
          <w:lang w:eastAsia="en-US"/>
        </w:rPr>
        <w:t>; e</w:t>
      </w:r>
      <w:r w:rsidR="00916D1C" w:rsidRPr="00241DEC">
        <w:rPr>
          <w:rFonts w:asciiTheme="minorHAnsi" w:eastAsiaTheme="minorHAnsi" w:hAnsiTheme="minorHAnsi" w:cstheme="minorBidi"/>
          <w:iCs/>
          <w:sz w:val="20"/>
          <w:szCs w:val="20"/>
          <w:lang w:eastAsia="en-US"/>
        </w:rPr>
        <w:t>nhanced opportunities to participate in decision making</w:t>
      </w:r>
      <w:r w:rsidR="00916D1C">
        <w:rPr>
          <w:rFonts w:asciiTheme="minorHAnsi" w:eastAsiaTheme="minorHAnsi" w:hAnsiTheme="minorHAnsi" w:cstheme="minorBidi"/>
          <w:iCs/>
          <w:sz w:val="20"/>
          <w:szCs w:val="20"/>
          <w:lang w:eastAsia="en-US"/>
        </w:rPr>
        <w:t xml:space="preserve"> and </w:t>
      </w:r>
      <w:r w:rsidR="004E4CD2">
        <w:rPr>
          <w:rFonts w:asciiTheme="minorHAnsi" w:eastAsiaTheme="minorHAnsi" w:hAnsiTheme="minorHAnsi" w:cstheme="minorBidi"/>
          <w:iCs/>
          <w:sz w:val="20"/>
          <w:szCs w:val="20"/>
          <w:lang w:eastAsia="en-US"/>
        </w:rPr>
        <w:t xml:space="preserve">enhanced </w:t>
      </w:r>
      <w:r w:rsidR="00916D1C" w:rsidRPr="00241DEC">
        <w:rPr>
          <w:rFonts w:asciiTheme="minorHAnsi" w:eastAsiaTheme="minorHAnsi" w:hAnsiTheme="minorHAnsi" w:cstheme="minorBidi"/>
          <w:iCs/>
          <w:sz w:val="20"/>
          <w:szCs w:val="20"/>
          <w:lang w:eastAsia="en-US"/>
        </w:rPr>
        <w:t>provision of leadership and project management training opportunities</w:t>
      </w:r>
      <w:r w:rsidR="004E4CD2">
        <w:rPr>
          <w:rFonts w:asciiTheme="minorHAnsi" w:eastAsiaTheme="minorHAnsi" w:hAnsiTheme="minorHAnsi" w:cstheme="minorBidi"/>
          <w:iCs/>
          <w:sz w:val="20"/>
          <w:szCs w:val="20"/>
          <w:lang w:eastAsia="en-US"/>
        </w:rPr>
        <w:t>.</w:t>
      </w:r>
      <w:r w:rsidR="00AA71E1">
        <w:rPr>
          <w:rFonts w:asciiTheme="minorHAnsi" w:eastAsiaTheme="minorHAnsi" w:hAnsiTheme="minorHAnsi" w:cstheme="minorBidi"/>
          <w:iCs/>
          <w:sz w:val="20"/>
          <w:szCs w:val="20"/>
          <w:lang w:eastAsia="en-US"/>
        </w:rPr>
        <w:t xml:space="preserve"> Key new actions to address these areas are outlined in the table below</w:t>
      </w:r>
      <w:r w:rsidR="00FD59AC">
        <w:rPr>
          <w:rFonts w:asciiTheme="minorHAnsi" w:eastAsiaTheme="minorHAnsi" w:hAnsiTheme="minorHAnsi" w:cstheme="minorBidi"/>
          <w:iCs/>
          <w:sz w:val="20"/>
          <w:szCs w:val="20"/>
          <w:lang w:eastAsia="en-US"/>
        </w:rPr>
        <w:t>.</w:t>
      </w:r>
      <w:r w:rsidR="004353BD">
        <w:rPr>
          <w:rFonts w:asciiTheme="minorHAnsi" w:eastAsiaTheme="minorHAnsi" w:hAnsiTheme="minorHAnsi" w:cstheme="minorBidi"/>
          <w:iCs/>
          <w:sz w:val="20"/>
          <w:szCs w:val="20"/>
          <w:lang w:eastAsia="en-US"/>
        </w:rPr>
        <w:t xml:space="preserve"> Ful</w:t>
      </w:r>
      <w:r w:rsidR="00210D5D">
        <w:rPr>
          <w:rFonts w:asciiTheme="minorHAnsi" w:eastAsiaTheme="minorHAnsi" w:hAnsiTheme="minorHAnsi" w:cstheme="minorBidi"/>
          <w:iCs/>
          <w:sz w:val="20"/>
          <w:szCs w:val="20"/>
          <w:lang w:eastAsia="en-US"/>
        </w:rPr>
        <w:t xml:space="preserve">l details and intended success measures are detailed in the </w:t>
      </w:r>
      <w:hyperlink r:id="rId8" w:history="1">
        <w:proofErr w:type="spellStart"/>
        <w:r w:rsidR="00210D5D" w:rsidRPr="002477A8">
          <w:rPr>
            <w:rStyle w:val="Hyperlink"/>
            <w:rFonts w:asciiTheme="minorHAnsi" w:eastAsiaTheme="minorHAnsi" w:hAnsiTheme="minorHAnsi" w:cstheme="minorBidi"/>
            <w:iCs/>
            <w:sz w:val="20"/>
            <w:szCs w:val="20"/>
            <w:lang w:eastAsia="en-US"/>
          </w:rPr>
          <w:t>HREiR</w:t>
        </w:r>
        <w:proofErr w:type="spellEnd"/>
        <w:r w:rsidR="00210D5D" w:rsidRPr="002477A8">
          <w:rPr>
            <w:rStyle w:val="Hyperlink"/>
            <w:rFonts w:asciiTheme="minorHAnsi" w:eastAsiaTheme="minorHAnsi" w:hAnsiTheme="minorHAnsi" w:cstheme="minorBidi"/>
            <w:iCs/>
            <w:sz w:val="20"/>
            <w:szCs w:val="20"/>
            <w:lang w:eastAsia="en-US"/>
          </w:rPr>
          <w:t xml:space="preserve">/Concordat </w:t>
        </w:r>
        <w:r w:rsidR="00E74F21" w:rsidRPr="002477A8">
          <w:rPr>
            <w:rStyle w:val="Hyperlink"/>
            <w:rFonts w:asciiTheme="minorHAnsi" w:eastAsiaTheme="minorHAnsi" w:hAnsiTheme="minorHAnsi" w:cstheme="minorBidi"/>
            <w:iCs/>
            <w:sz w:val="20"/>
            <w:szCs w:val="20"/>
            <w:lang w:eastAsia="en-US"/>
          </w:rPr>
          <w:t xml:space="preserve">2021-23 </w:t>
        </w:r>
        <w:r w:rsidR="00210D5D" w:rsidRPr="002477A8">
          <w:rPr>
            <w:rStyle w:val="Hyperlink"/>
            <w:rFonts w:asciiTheme="minorHAnsi" w:eastAsiaTheme="minorHAnsi" w:hAnsiTheme="minorHAnsi" w:cstheme="minorBidi"/>
            <w:iCs/>
            <w:sz w:val="20"/>
            <w:szCs w:val="20"/>
            <w:lang w:eastAsia="en-US"/>
          </w:rPr>
          <w:t>Action Plan</w:t>
        </w:r>
        <w:r w:rsidR="00E74F21" w:rsidRPr="002477A8">
          <w:rPr>
            <w:rStyle w:val="Hyperlink"/>
            <w:rFonts w:asciiTheme="minorHAnsi" w:eastAsiaTheme="minorHAnsi" w:hAnsiTheme="minorHAnsi" w:cstheme="minorBidi"/>
            <w:iCs/>
            <w:sz w:val="20"/>
            <w:szCs w:val="20"/>
            <w:lang w:eastAsia="en-US"/>
          </w:rPr>
          <w:t>.</w:t>
        </w:r>
      </w:hyperlink>
    </w:p>
    <w:p w14:paraId="2A0F900A" w14:textId="77777777" w:rsidR="00DC448A" w:rsidRPr="0064789D" w:rsidRDefault="00DC448A" w:rsidP="00DC448A">
      <w:pPr>
        <w:pStyle w:val="NormalWeb"/>
        <w:spacing w:before="0" w:beforeAutospacing="0" w:after="0" w:afterAutospacing="0"/>
        <w:rPr>
          <w:rFonts w:asciiTheme="minorHAnsi" w:eastAsiaTheme="minorHAnsi" w:hAnsiTheme="minorHAnsi" w:cstheme="minorBidi"/>
          <w:bCs/>
          <w:sz w:val="8"/>
          <w:szCs w:val="8"/>
          <w:lang w:eastAsia="en-US"/>
        </w:rPr>
      </w:pPr>
    </w:p>
    <w:tbl>
      <w:tblPr>
        <w:tblStyle w:val="TableGrid"/>
        <w:tblW w:w="0" w:type="auto"/>
        <w:tblLook w:val="04A0" w:firstRow="1" w:lastRow="0" w:firstColumn="1" w:lastColumn="0" w:noHBand="0" w:noVBand="1"/>
      </w:tblPr>
      <w:tblGrid>
        <w:gridCol w:w="10201"/>
      </w:tblGrid>
      <w:tr w:rsidR="00AA71E1" w:rsidRPr="00E46BFD" w14:paraId="64D045C8" w14:textId="77777777" w:rsidTr="0064789D">
        <w:tc>
          <w:tcPr>
            <w:tcW w:w="10201" w:type="dxa"/>
          </w:tcPr>
          <w:p w14:paraId="17103BBB" w14:textId="74CA004F" w:rsidR="00AA71E1" w:rsidRPr="00E46BFD" w:rsidRDefault="008A034E" w:rsidP="00C750B1">
            <w:pPr>
              <w:jc w:val="both"/>
              <w:rPr>
                <w:b/>
                <w:sz w:val="20"/>
                <w:szCs w:val="20"/>
              </w:rPr>
            </w:pPr>
            <w:r>
              <w:rPr>
                <w:b/>
                <w:sz w:val="20"/>
                <w:szCs w:val="20"/>
              </w:rPr>
              <w:t xml:space="preserve">Key new actions </w:t>
            </w:r>
            <w:proofErr w:type="spellStart"/>
            <w:r w:rsidR="00AA71E1">
              <w:rPr>
                <w:b/>
                <w:sz w:val="20"/>
                <w:szCs w:val="20"/>
              </w:rPr>
              <w:t>HREiR</w:t>
            </w:r>
            <w:proofErr w:type="spellEnd"/>
            <w:r w:rsidR="00AA71E1">
              <w:rPr>
                <w:b/>
                <w:sz w:val="20"/>
                <w:szCs w:val="20"/>
              </w:rPr>
              <w:t xml:space="preserve">/Concordat Action Plan 2021-23 </w:t>
            </w:r>
          </w:p>
        </w:tc>
      </w:tr>
      <w:tr w:rsidR="00DC448A" w:rsidRPr="00E46BFD" w14:paraId="52F506A8" w14:textId="77777777" w:rsidTr="0064789D">
        <w:tc>
          <w:tcPr>
            <w:tcW w:w="10201" w:type="dxa"/>
          </w:tcPr>
          <w:p w14:paraId="321595B1" w14:textId="77777777" w:rsidR="00DC448A" w:rsidRPr="00E46BFD" w:rsidRDefault="00DC448A" w:rsidP="0064789D">
            <w:pPr>
              <w:jc w:val="both"/>
              <w:rPr>
                <w:b/>
                <w:sz w:val="20"/>
                <w:szCs w:val="20"/>
              </w:rPr>
            </w:pPr>
            <w:r w:rsidRPr="00E46BFD">
              <w:rPr>
                <w:b/>
                <w:sz w:val="20"/>
                <w:szCs w:val="20"/>
              </w:rPr>
              <w:t>Environment &amp; Culture</w:t>
            </w:r>
          </w:p>
          <w:p w14:paraId="011C7AC6" w14:textId="3BE9D9E7" w:rsidR="00DC448A" w:rsidRPr="00E46BFD" w:rsidRDefault="00DC448A" w:rsidP="0064789D">
            <w:pPr>
              <w:pStyle w:val="ListParagraph"/>
              <w:numPr>
                <w:ilvl w:val="0"/>
                <w:numId w:val="4"/>
              </w:numPr>
              <w:ind w:left="417"/>
              <w:jc w:val="both"/>
              <w:rPr>
                <w:bCs/>
                <w:sz w:val="20"/>
                <w:szCs w:val="20"/>
              </w:rPr>
            </w:pPr>
            <w:r w:rsidRPr="00E46BFD">
              <w:rPr>
                <w:bCs/>
                <w:sz w:val="20"/>
                <w:szCs w:val="20"/>
              </w:rPr>
              <w:t>Embed research culture and activities into Research Strategy and Faculty Research Strategies</w:t>
            </w:r>
            <w:r w:rsidR="00884028">
              <w:rPr>
                <w:bCs/>
                <w:sz w:val="20"/>
                <w:szCs w:val="20"/>
              </w:rPr>
              <w:t xml:space="preserve"> </w:t>
            </w:r>
            <w:r w:rsidR="00884028" w:rsidRPr="00241DEC">
              <w:rPr>
                <w:bCs/>
                <w:sz w:val="20"/>
                <w:szCs w:val="20"/>
              </w:rPr>
              <w:t>(</w:t>
            </w:r>
            <w:r w:rsidR="00884028">
              <w:rPr>
                <w:bCs/>
                <w:sz w:val="20"/>
                <w:szCs w:val="20"/>
              </w:rPr>
              <w:t>further details and success measures ECI5</w:t>
            </w:r>
            <w:r w:rsidR="00884028" w:rsidRPr="00241DEC">
              <w:rPr>
                <w:bCs/>
                <w:sz w:val="20"/>
                <w:szCs w:val="20"/>
              </w:rPr>
              <w:t>).</w:t>
            </w:r>
            <w:r w:rsidR="007A769E">
              <w:rPr>
                <w:bCs/>
                <w:sz w:val="20"/>
                <w:szCs w:val="20"/>
              </w:rPr>
              <w:t xml:space="preserve"> </w:t>
            </w:r>
            <w:r w:rsidRPr="00E46BFD">
              <w:rPr>
                <w:bCs/>
                <w:sz w:val="20"/>
                <w:szCs w:val="20"/>
              </w:rPr>
              <w:t>The University’s new research culture and environment strategy is currently under development.</w:t>
            </w:r>
          </w:p>
          <w:p w14:paraId="03AF2F1B" w14:textId="0E22F5E8" w:rsidR="00B8679C" w:rsidRPr="00E46BFD" w:rsidRDefault="00DC448A" w:rsidP="0064789D">
            <w:pPr>
              <w:pStyle w:val="ListParagraph"/>
              <w:numPr>
                <w:ilvl w:val="0"/>
                <w:numId w:val="4"/>
              </w:numPr>
              <w:ind w:left="417"/>
              <w:jc w:val="both"/>
              <w:rPr>
                <w:bCs/>
                <w:sz w:val="20"/>
                <w:szCs w:val="20"/>
              </w:rPr>
            </w:pPr>
            <w:r w:rsidRPr="00E46BFD">
              <w:rPr>
                <w:bCs/>
                <w:sz w:val="20"/>
                <w:szCs w:val="20"/>
              </w:rPr>
              <w:t>Development of new information resource</w:t>
            </w:r>
            <w:r w:rsidR="00DC4ED5">
              <w:rPr>
                <w:bCs/>
                <w:sz w:val="20"/>
                <w:szCs w:val="20"/>
              </w:rPr>
              <w:t>/s</w:t>
            </w:r>
            <w:r w:rsidRPr="00E46BFD">
              <w:rPr>
                <w:bCs/>
                <w:sz w:val="20"/>
                <w:szCs w:val="20"/>
              </w:rPr>
              <w:t xml:space="preserve"> to support Induction– </w:t>
            </w:r>
            <w:r w:rsidR="00DC4ED5">
              <w:rPr>
                <w:bCs/>
                <w:sz w:val="20"/>
                <w:szCs w:val="20"/>
              </w:rPr>
              <w:t xml:space="preserve">an </w:t>
            </w:r>
            <w:r w:rsidR="00DC4ED5" w:rsidRPr="0018448B">
              <w:rPr>
                <w:bCs/>
                <w:i/>
                <w:iCs/>
                <w:sz w:val="20"/>
                <w:szCs w:val="20"/>
              </w:rPr>
              <w:t>Induction Checklist</w:t>
            </w:r>
            <w:r w:rsidR="00DC4ED5">
              <w:rPr>
                <w:bCs/>
                <w:sz w:val="20"/>
                <w:szCs w:val="20"/>
              </w:rPr>
              <w:t xml:space="preserve"> and a </w:t>
            </w:r>
            <w:r w:rsidRPr="00E46BFD">
              <w:rPr>
                <w:bCs/>
                <w:i/>
                <w:iCs/>
                <w:sz w:val="20"/>
                <w:szCs w:val="20"/>
              </w:rPr>
              <w:t>Researcher Guide</w:t>
            </w:r>
            <w:r w:rsidRPr="00E46BFD">
              <w:rPr>
                <w:bCs/>
                <w:sz w:val="20"/>
                <w:szCs w:val="20"/>
              </w:rPr>
              <w:t xml:space="preserve"> -</w:t>
            </w:r>
            <w:r w:rsidR="00DC522C">
              <w:rPr>
                <w:bCs/>
                <w:sz w:val="20"/>
                <w:szCs w:val="20"/>
              </w:rPr>
              <w:t>to aid</w:t>
            </w:r>
            <w:r w:rsidRPr="00E46BFD">
              <w:rPr>
                <w:bCs/>
                <w:sz w:val="20"/>
                <w:szCs w:val="20"/>
              </w:rPr>
              <w:t xml:space="preserve"> new Research Staff and PIs to navigate institutional policies</w:t>
            </w:r>
            <w:r w:rsidR="00043187">
              <w:rPr>
                <w:bCs/>
                <w:sz w:val="20"/>
                <w:szCs w:val="20"/>
              </w:rPr>
              <w:t xml:space="preserve">, practices and support </w:t>
            </w:r>
            <w:r w:rsidR="005B7714">
              <w:rPr>
                <w:bCs/>
                <w:sz w:val="20"/>
                <w:szCs w:val="20"/>
              </w:rPr>
              <w:t>relevant to researcher life</w:t>
            </w:r>
            <w:r w:rsidR="006D0B91">
              <w:rPr>
                <w:bCs/>
                <w:sz w:val="20"/>
                <w:szCs w:val="20"/>
              </w:rPr>
              <w:t xml:space="preserve"> </w:t>
            </w:r>
            <w:r w:rsidR="00351113">
              <w:rPr>
                <w:bCs/>
                <w:sz w:val="20"/>
                <w:szCs w:val="20"/>
              </w:rPr>
              <w:t>(</w:t>
            </w:r>
            <w:r w:rsidR="0022251B">
              <w:rPr>
                <w:bCs/>
                <w:sz w:val="20"/>
                <w:szCs w:val="20"/>
              </w:rPr>
              <w:t xml:space="preserve">further details and success measure in </w:t>
            </w:r>
            <w:r w:rsidR="00351113">
              <w:rPr>
                <w:bCs/>
                <w:sz w:val="20"/>
                <w:szCs w:val="20"/>
              </w:rPr>
              <w:t>EI2</w:t>
            </w:r>
            <w:r w:rsidR="00F00D78">
              <w:rPr>
                <w:bCs/>
                <w:sz w:val="20"/>
                <w:szCs w:val="20"/>
              </w:rPr>
              <w:t xml:space="preserve"> in Action Plan</w:t>
            </w:r>
            <w:r w:rsidR="00351113">
              <w:rPr>
                <w:bCs/>
                <w:sz w:val="20"/>
                <w:szCs w:val="20"/>
              </w:rPr>
              <w:t>)</w:t>
            </w:r>
            <w:r w:rsidR="000B189B">
              <w:rPr>
                <w:bCs/>
                <w:sz w:val="20"/>
                <w:szCs w:val="20"/>
              </w:rPr>
              <w:t>.</w:t>
            </w:r>
          </w:p>
          <w:p w14:paraId="46909B4F" w14:textId="41AD7A51" w:rsidR="004A485A" w:rsidRPr="00B8679C" w:rsidRDefault="00DC448A" w:rsidP="0064789D">
            <w:pPr>
              <w:pStyle w:val="ListParagraph"/>
              <w:numPr>
                <w:ilvl w:val="0"/>
                <w:numId w:val="4"/>
              </w:numPr>
              <w:ind w:left="417"/>
              <w:jc w:val="both"/>
            </w:pPr>
            <w:r w:rsidRPr="00C750B1">
              <w:rPr>
                <w:bCs/>
                <w:sz w:val="20"/>
                <w:szCs w:val="20"/>
              </w:rPr>
              <w:t>Development of a Research Integrity Action Plan in 2022 with guidance in good research integrity practices</w:t>
            </w:r>
            <w:r w:rsidR="00A520C1" w:rsidRPr="00C750B1">
              <w:rPr>
                <w:bCs/>
                <w:sz w:val="20"/>
                <w:szCs w:val="20"/>
              </w:rPr>
              <w:t xml:space="preserve"> </w:t>
            </w:r>
            <w:r w:rsidR="00B8679C">
              <w:rPr>
                <w:bCs/>
                <w:sz w:val="20"/>
                <w:szCs w:val="20"/>
              </w:rPr>
              <w:t>(</w:t>
            </w:r>
            <w:r w:rsidR="0022251B">
              <w:rPr>
                <w:bCs/>
                <w:sz w:val="20"/>
                <w:szCs w:val="20"/>
              </w:rPr>
              <w:t xml:space="preserve">further details and success measure in </w:t>
            </w:r>
            <w:r w:rsidR="00B8679C">
              <w:rPr>
                <w:bCs/>
                <w:sz w:val="20"/>
                <w:szCs w:val="20"/>
              </w:rPr>
              <w:t>EC15)</w:t>
            </w:r>
            <w:r w:rsidR="000B189B">
              <w:rPr>
                <w:bCs/>
                <w:sz w:val="20"/>
                <w:szCs w:val="20"/>
              </w:rPr>
              <w:t>.</w:t>
            </w:r>
          </w:p>
          <w:p w14:paraId="655F82EF" w14:textId="4AF846EA" w:rsidR="00DC448A" w:rsidRPr="00E46BFD" w:rsidRDefault="004A485A" w:rsidP="0064789D">
            <w:pPr>
              <w:pStyle w:val="ListParagraph"/>
              <w:numPr>
                <w:ilvl w:val="0"/>
                <w:numId w:val="4"/>
              </w:numPr>
              <w:ind w:left="417"/>
              <w:jc w:val="both"/>
              <w:rPr>
                <w:bCs/>
                <w:sz w:val="20"/>
                <w:szCs w:val="20"/>
              </w:rPr>
            </w:pPr>
            <w:r>
              <w:rPr>
                <w:bCs/>
                <w:sz w:val="20"/>
                <w:szCs w:val="20"/>
              </w:rPr>
              <w:t>I</w:t>
            </w:r>
            <w:r w:rsidR="00DC448A" w:rsidRPr="00E46BFD">
              <w:rPr>
                <w:bCs/>
                <w:sz w:val="20"/>
                <w:szCs w:val="20"/>
              </w:rPr>
              <w:t xml:space="preserve">mplementation of the recently launched institutional Mental Health Strategy </w:t>
            </w:r>
            <w:r>
              <w:rPr>
                <w:bCs/>
                <w:sz w:val="20"/>
                <w:szCs w:val="20"/>
              </w:rPr>
              <w:t xml:space="preserve">2021-24 </w:t>
            </w:r>
            <w:r w:rsidR="00DC448A" w:rsidRPr="00E46BFD">
              <w:rPr>
                <w:bCs/>
                <w:sz w:val="20"/>
                <w:szCs w:val="20"/>
              </w:rPr>
              <w:t>with the roll out of dedicated mental health and wellbeing development programme of training for line managers</w:t>
            </w:r>
            <w:r w:rsidR="000B189B">
              <w:rPr>
                <w:bCs/>
                <w:sz w:val="20"/>
                <w:szCs w:val="20"/>
              </w:rPr>
              <w:t xml:space="preserve"> (</w:t>
            </w:r>
            <w:r w:rsidR="0022251B">
              <w:rPr>
                <w:bCs/>
                <w:sz w:val="20"/>
                <w:szCs w:val="20"/>
              </w:rPr>
              <w:t xml:space="preserve">further details and success measure in </w:t>
            </w:r>
            <w:r w:rsidR="000B189B">
              <w:rPr>
                <w:bCs/>
                <w:sz w:val="20"/>
                <w:szCs w:val="20"/>
              </w:rPr>
              <w:t>ECI3).</w:t>
            </w:r>
          </w:p>
          <w:p w14:paraId="119149E1" w14:textId="75EC25E9" w:rsidR="000B189B" w:rsidRDefault="00DC448A" w:rsidP="0064789D">
            <w:pPr>
              <w:pStyle w:val="ListParagraph"/>
              <w:numPr>
                <w:ilvl w:val="0"/>
                <w:numId w:val="4"/>
              </w:numPr>
              <w:ind w:left="417"/>
              <w:jc w:val="both"/>
              <w:rPr>
                <w:bCs/>
                <w:sz w:val="20"/>
                <w:szCs w:val="20"/>
              </w:rPr>
            </w:pPr>
            <w:r w:rsidRPr="00E46BFD">
              <w:rPr>
                <w:bCs/>
                <w:sz w:val="20"/>
                <w:szCs w:val="20"/>
              </w:rPr>
              <w:t>Ongoing commitment to report on and seek to improve the quality of the research environment via participation in CEDARS 2023</w:t>
            </w:r>
            <w:r w:rsidR="0022251B">
              <w:rPr>
                <w:bCs/>
                <w:sz w:val="20"/>
                <w:szCs w:val="20"/>
              </w:rPr>
              <w:t xml:space="preserve"> (further details and success measure in ECI3).</w:t>
            </w:r>
          </w:p>
          <w:p w14:paraId="1C2F058F" w14:textId="473839FF" w:rsidR="008A034E" w:rsidRPr="00AC76B2" w:rsidRDefault="000F0702" w:rsidP="0064789D">
            <w:pPr>
              <w:pStyle w:val="ListParagraph"/>
              <w:numPr>
                <w:ilvl w:val="0"/>
                <w:numId w:val="4"/>
              </w:numPr>
              <w:ind w:left="417"/>
              <w:jc w:val="both"/>
            </w:pPr>
            <w:r>
              <w:rPr>
                <w:rFonts w:ascii="Calibri" w:eastAsia="Times New Roman" w:hAnsi="Calibri" w:cs="Calibri"/>
                <w:sz w:val="20"/>
                <w:szCs w:val="20"/>
                <w:lang w:eastAsia="en-GB"/>
              </w:rPr>
              <w:t>Increase</w:t>
            </w:r>
            <w:r w:rsidR="00DC448A" w:rsidRPr="00E46BFD">
              <w:rPr>
                <w:rFonts w:ascii="Calibri" w:eastAsia="Times New Roman" w:hAnsi="Calibri" w:cs="Calibri"/>
                <w:sz w:val="20"/>
                <w:szCs w:val="20"/>
                <w:lang w:eastAsia="en-GB"/>
              </w:rPr>
              <w:t xml:space="preserve"> engagement of researchers in institutional policy development and researcher </w:t>
            </w:r>
            <w:r w:rsidR="00960E9B">
              <w:rPr>
                <w:rFonts w:ascii="Calibri" w:eastAsia="Times New Roman" w:hAnsi="Calibri" w:cs="Calibri"/>
                <w:sz w:val="20"/>
                <w:szCs w:val="20"/>
                <w:lang w:eastAsia="en-GB"/>
              </w:rPr>
              <w:t xml:space="preserve">fora, encouraging an ECR rep on each Faculty Research Committee, expanding REG representation further and promoting engagement of early career researchers on all EDI policy </w:t>
            </w:r>
            <w:r w:rsidR="001112B8">
              <w:rPr>
                <w:rFonts w:ascii="Calibri" w:eastAsia="Times New Roman" w:hAnsi="Calibri" w:cs="Calibri"/>
                <w:sz w:val="20"/>
                <w:szCs w:val="20"/>
                <w:lang w:eastAsia="en-GB"/>
              </w:rPr>
              <w:t>fora (</w:t>
            </w:r>
            <w:r w:rsidR="005B2F1C">
              <w:rPr>
                <w:bCs/>
                <w:sz w:val="20"/>
                <w:szCs w:val="20"/>
              </w:rPr>
              <w:t xml:space="preserve">further details and success measures in </w:t>
            </w:r>
            <w:r w:rsidR="002B4A95">
              <w:rPr>
                <w:bCs/>
                <w:sz w:val="20"/>
                <w:szCs w:val="20"/>
              </w:rPr>
              <w:t>EI7).</w:t>
            </w:r>
          </w:p>
        </w:tc>
      </w:tr>
      <w:tr w:rsidR="00DC448A" w:rsidRPr="00E46BFD" w14:paraId="14E01497" w14:textId="77777777" w:rsidTr="0064789D">
        <w:tc>
          <w:tcPr>
            <w:tcW w:w="10201" w:type="dxa"/>
          </w:tcPr>
          <w:p w14:paraId="1D0D2E5B" w14:textId="77777777" w:rsidR="00DC448A" w:rsidRPr="00E46BFD" w:rsidRDefault="00DC448A" w:rsidP="000841F1">
            <w:pPr>
              <w:jc w:val="both"/>
              <w:rPr>
                <w:b/>
                <w:sz w:val="20"/>
                <w:szCs w:val="20"/>
              </w:rPr>
            </w:pPr>
            <w:r w:rsidRPr="00E46BFD">
              <w:rPr>
                <w:b/>
                <w:sz w:val="20"/>
                <w:szCs w:val="20"/>
              </w:rPr>
              <w:t>Employment</w:t>
            </w:r>
          </w:p>
          <w:p w14:paraId="1DB80BF0" w14:textId="215E04E4" w:rsidR="00DC448A" w:rsidRPr="00E46BFD" w:rsidRDefault="00DC448A" w:rsidP="0064789D">
            <w:pPr>
              <w:pStyle w:val="ListParagraph"/>
              <w:numPr>
                <w:ilvl w:val="0"/>
                <w:numId w:val="5"/>
              </w:numPr>
              <w:ind w:left="417"/>
              <w:jc w:val="both"/>
              <w:rPr>
                <w:bCs/>
                <w:sz w:val="20"/>
                <w:szCs w:val="20"/>
              </w:rPr>
            </w:pPr>
            <w:r w:rsidRPr="00E46BFD">
              <w:rPr>
                <w:bCs/>
                <w:sz w:val="20"/>
                <w:szCs w:val="20"/>
              </w:rPr>
              <w:t>Raise awareness of DORA and develop clear guidance on recruitment, promotion and career advancement with the creation of a guide to responsible research assessment, with specific training on “</w:t>
            </w:r>
            <w:r w:rsidRPr="00E46BFD">
              <w:rPr>
                <w:bCs/>
                <w:i/>
                <w:iCs/>
                <w:sz w:val="20"/>
                <w:szCs w:val="20"/>
              </w:rPr>
              <w:t>What is responsible and fair research assessment and what does it mean for me</w:t>
            </w:r>
            <w:r w:rsidRPr="00E46BFD">
              <w:rPr>
                <w:bCs/>
                <w:sz w:val="20"/>
                <w:szCs w:val="20"/>
              </w:rPr>
              <w:t>"</w:t>
            </w:r>
            <w:r w:rsidR="004E418E">
              <w:rPr>
                <w:bCs/>
                <w:sz w:val="20"/>
                <w:szCs w:val="20"/>
              </w:rPr>
              <w:t xml:space="preserve"> (further details and success measure EI1).</w:t>
            </w:r>
          </w:p>
          <w:p w14:paraId="38AEB67A" w14:textId="474D2153" w:rsidR="00DC448A" w:rsidRPr="00E46BFD" w:rsidRDefault="0036598B" w:rsidP="0064789D">
            <w:pPr>
              <w:pStyle w:val="ListParagraph"/>
              <w:numPr>
                <w:ilvl w:val="0"/>
                <w:numId w:val="5"/>
              </w:numPr>
              <w:ind w:left="417"/>
              <w:jc w:val="both"/>
              <w:rPr>
                <w:bCs/>
                <w:sz w:val="20"/>
                <w:szCs w:val="20"/>
              </w:rPr>
            </w:pPr>
            <w:r>
              <w:rPr>
                <w:bCs/>
                <w:sz w:val="20"/>
                <w:szCs w:val="20"/>
              </w:rPr>
              <w:t xml:space="preserve">Inclusion of </w:t>
            </w:r>
            <w:r w:rsidR="00F6121C">
              <w:rPr>
                <w:bCs/>
                <w:sz w:val="20"/>
                <w:szCs w:val="20"/>
              </w:rPr>
              <w:t xml:space="preserve">research </w:t>
            </w:r>
            <w:r w:rsidR="004E418E">
              <w:rPr>
                <w:bCs/>
                <w:sz w:val="20"/>
                <w:szCs w:val="20"/>
              </w:rPr>
              <w:t xml:space="preserve">specific </w:t>
            </w:r>
            <w:r w:rsidR="00DC448A" w:rsidRPr="00E46BFD">
              <w:rPr>
                <w:bCs/>
                <w:sz w:val="20"/>
                <w:szCs w:val="20"/>
              </w:rPr>
              <w:t xml:space="preserve">leadership and </w:t>
            </w:r>
            <w:r w:rsidR="00F6121C">
              <w:rPr>
                <w:bCs/>
                <w:sz w:val="20"/>
                <w:szCs w:val="20"/>
              </w:rPr>
              <w:t xml:space="preserve">research </w:t>
            </w:r>
            <w:r w:rsidR="00DC448A" w:rsidRPr="00E46BFD">
              <w:rPr>
                <w:bCs/>
                <w:sz w:val="20"/>
                <w:szCs w:val="20"/>
              </w:rPr>
              <w:t>project management training opportunities for Managers of Researchers</w:t>
            </w:r>
            <w:r>
              <w:rPr>
                <w:bCs/>
                <w:sz w:val="20"/>
                <w:szCs w:val="20"/>
              </w:rPr>
              <w:t xml:space="preserve"> and </w:t>
            </w:r>
            <w:r w:rsidR="00DD79BD">
              <w:rPr>
                <w:bCs/>
                <w:sz w:val="20"/>
                <w:szCs w:val="20"/>
              </w:rPr>
              <w:t>Researchers</w:t>
            </w:r>
            <w:r>
              <w:rPr>
                <w:bCs/>
                <w:sz w:val="20"/>
                <w:szCs w:val="20"/>
              </w:rPr>
              <w:t xml:space="preserve"> within the IA</w:t>
            </w:r>
            <w:r w:rsidR="004E418E">
              <w:rPr>
                <w:bCs/>
                <w:sz w:val="20"/>
                <w:szCs w:val="20"/>
              </w:rPr>
              <w:t>S</w:t>
            </w:r>
            <w:r>
              <w:rPr>
                <w:bCs/>
                <w:sz w:val="20"/>
                <w:szCs w:val="20"/>
              </w:rPr>
              <w:t xml:space="preserve"> Researcher Development Programme</w:t>
            </w:r>
            <w:r w:rsidR="00F91A63">
              <w:rPr>
                <w:bCs/>
                <w:sz w:val="20"/>
                <w:szCs w:val="20"/>
              </w:rPr>
              <w:t xml:space="preserve"> 2021-22</w:t>
            </w:r>
            <w:r w:rsidR="00DE67CD">
              <w:rPr>
                <w:bCs/>
                <w:sz w:val="20"/>
                <w:szCs w:val="20"/>
              </w:rPr>
              <w:t xml:space="preserve"> (</w:t>
            </w:r>
            <w:r w:rsidR="00061CC0">
              <w:rPr>
                <w:bCs/>
                <w:sz w:val="20"/>
                <w:szCs w:val="20"/>
              </w:rPr>
              <w:t>further details and success measure in EI4).</w:t>
            </w:r>
          </w:p>
          <w:p w14:paraId="219B3A51" w14:textId="2E9AC00D" w:rsidR="00DC448A" w:rsidRPr="00E46BFD" w:rsidRDefault="00DC448A" w:rsidP="0064789D">
            <w:pPr>
              <w:pStyle w:val="ListParagraph"/>
              <w:numPr>
                <w:ilvl w:val="0"/>
                <w:numId w:val="5"/>
              </w:numPr>
              <w:ind w:left="417"/>
              <w:jc w:val="both"/>
              <w:rPr>
                <w:bCs/>
                <w:sz w:val="20"/>
                <w:szCs w:val="20"/>
              </w:rPr>
            </w:pPr>
            <w:r w:rsidRPr="00E46BFD">
              <w:rPr>
                <w:bCs/>
                <w:sz w:val="20"/>
                <w:szCs w:val="20"/>
              </w:rPr>
              <w:lastRenderedPageBreak/>
              <w:t>Delivery of dedicated ECR Preparing for Promotions training sessions and Performance Conversations suite of training to support excellent people management</w:t>
            </w:r>
            <w:r w:rsidR="00DB24D5">
              <w:rPr>
                <w:bCs/>
                <w:sz w:val="20"/>
                <w:szCs w:val="20"/>
              </w:rPr>
              <w:t xml:space="preserve"> (further details and success measure EI3)</w:t>
            </w:r>
            <w:r w:rsidRPr="00E46BFD">
              <w:rPr>
                <w:bCs/>
                <w:sz w:val="20"/>
                <w:szCs w:val="20"/>
              </w:rPr>
              <w:t>.</w:t>
            </w:r>
          </w:p>
          <w:p w14:paraId="5B1900A7" w14:textId="07D55059" w:rsidR="00DC448A" w:rsidRPr="00E46BFD" w:rsidRDefault="00DC448A" w:rsidP="0064789D">
            <w:pPr>
              <w:pStyle w:val="ListParagraph"/>
              <w:numPr>
                <w:ilvl w:val="0"/>
                <w:numId w:val="5"/>
              </w:numPr>
              <w:ind w:left="417"/>
              <w:jc w:val="both"/>
              <w:rPr>
                <w:bCs/>
                <w:sz w:val="20"/>
                <w:szCs w:val="20"/>
              </w:rPr>
            </w:pPr>
            <w:r w:rsidRPr="00E46BFD">
              <w:rPr>
                <w:bCs/>
                <w:sz w:val="20"/>
                <w:szCs w:val="20"/>
              </w:rPr>
              <w:t>Explore the introduction of EDI criteria in recruitment and selection criteria and processes and Equality-impact assess promotions criteria</w:t>
            </w:r>
            <w:r w:rsidR="00512AAB">
              <w:rPr>
                <w:bCs/>
                <w:sz w:val="20"/>
                <w:szCs w:val="20"/>
              </w:rPr>
              <w:t xml:space="preserve"> (further details and success measures in EI1 &amp; EI3)</w:t>
            </w:r>
          </w:p>
          <w:p w14:paraId="6BB5AF73" w14:textId="77777777" w:rsidR="00DC448A" w:rsidRDefault="00DC448A" w:rsidP="0064789D">
            <w:pPr>
              <w:pStyle w:val="ListParagraph"/>
              <w:numPr>
                <w:ilvl w:val="0"/>
                <w:numId w:val="5"/>
              </w:numPr>
              <w:ind w:left="417"/>
              <w:jc w:val="both"/>
              <w:rPr>
                <w:bCs/>
                <w:sz w:val="20"/>
                <w:szCs w:val="20"/>
              </w:rPr>
            </w:pPr>
            <w:r w:rsidRPr="00E46BFD">
              <w:rPr>
                <w:bCs/>
                <w:sz w:val="20"/>
                <w:szCs w:val="20"/>
              </w:rPr>
              <w:t>Explore the implications of offering open ended contracts from 3 years with funding where possible</w:t>
            </w:r>
            <w:r w:rsidR="00C9317A">
              <w:rPr>
                <w:bCs/>
                <w:sz w:val="20"/>
                <w:szCs w:val="20"/>
              </w:rPr>
              <w:t xml:space="preserve"> (</w:t>
            </w:r>
            <w:r w:rsidR="00563B8A">
              <w:rPr>
                <w:bCs/>
                <w:sz w:val="20"/>
                <w:szCs w:val="20"/>
              </w:rPr>
              <w:t xml:space="preserve">further details and success measure in </w:t>
            </w:r>
            <w:r w:rsidR="00C9317A">
              <w:rPr>
                <w:bCs/>
                <w:sz w:val="20"/>
                <w:szCs w:val="20"/>
              </w:rPr>
              <w:t>EI6)</w:t>
            </w:r>
            <w:r w:rsidRPr="00E46BFD">
              <w:rPr>
                <w:bCs/>
                <w:sz w:val="20"/>
                <w:szCs w:val="20"/>
              </w:rPr>
              <w:t>.</w:t>
            </w:r>
          </w:p>
          <w:p w14:paraId="693AEE97" w14:textId="484EE273" w:rsidR="00FD28D1" w:rsidRPr="0064789D" w:rsidRDefault="005B1A30" w:rsidP="0064789D">
            <w:pPr>
              <w:pStyle w:val="ListParagraph"/>
              <w:numPr>
                <w:ilvl w:val="0"/>
                <w:numId w:val="5"/>
              </w:numPr>
              <w:ind w:left="417"/>
              <w:rPr>
                <w:bCs/>
                <w:sz w:val="20"/>
                <w:szCs w:val="20"/>
              </w:rPr>
            </w:pPr>
            <w:r>
              <w:rPr>
                <w:rFonts w:ascii="Calibri" w:eastAsia="Times New Roman" w:hAnsi="Calibri" w:cs="Calibri"/>
                <w:sz w:val="20"/>
                <w:szCs w:val="20"/>
                <w:lang w:eastAsia="en-GB"/>
              </w:rPr>
              <w:t>Improve institutional and local induction experiences</w:t>
            </w:r>
            <w:r w:rsidR="002923F9">
              <w:rPr>
                <w:rFonts w:ascii="Calibri" w:eastAsia="Times New Roman" w:hAnsi="Calibri" w:cs="Calibri"/>
                <w:sz w:val="20"/>
                <w:szCs w:val="20"/>
                <w:lang w:eastAsia="en-GB"/>
              </w:rPr>
              <w:t xml:space="preserve"> (EI2).</w:t>
            </w:r>
          </w:p>
        </w:tc>
      </w:tr>
      <w:tr w:rsidR="00DC448A" w:rsidRPr="00E46BFD" w14:paraId="7C36B860" w14:textId="77777777" w:rsidTr="00CC16A0">
        <w:trPr>
          <w:trHeight w:val="3720"/>
        </w:trPr>
        <w:tc>
          <w:tcPr>
            <w:tcW w:w="10201" w:type="dxa"/>
          </w:tcPr>
          <w:p w14:paraId="73829063" w14:textId="77777777" w:rsidR="00DC448A" w:rsidRPr="00E46BFD" w:rsidRDefault="00DC448A" w:rsidP="0064789D">
            <w:pPr>
              <w:jc w:val="both"/>
              <w:rPr>
                <w:b/>
                <w:sz w:val="20"/>
                <w:szCs w:val="20"/>
              </w:rPr>
            </w:pPr>
            <w:r w:rsidRPr="00E46BFD">
              <w:rPr>
                <w:b/>
                <w:sz w:val="20"/>
                <w:szCs w:val="20"/>
              </w:rPr>
              <w:lastRenderedPageBreak/>
              <w:t>Professional and Career Development</w:t>
            </w:r>
          </w:p>
          <w:p w14:paraId="72EA1442" w14:textId="570314AA" w:rsidR="00DC448A" w:rsidRPr="00E46BFD" w:rsidRDefault="00DC448A" w:rsidP="0064789D">
            <w:pPr>
              <w:pStyle w:val="ListParagraph"/>
              <w:numPr>
                <w:ilvl w:val="0"/>
                <w:numId w:val="6"/>
              </w:numPr>
              <w:spacing w:after="160" w:line="259" w:lineRule="auto"/>
              <w:ind w:left="417"/>
              <w:jc w:val="both"/>
              <w:rPr>
                <w:bCs/>
                <w:sz w:val="20"/>
                <w:szCs w:val="20"/>
              </w:rPr>
            </w:pPr>
            <w:r w:rsidRPr="00E46BFD">
              <w:rPr>
                <w:bCs/>
                <w:sz w:val="20"/>
                <w:szCs w:val="20"/>
              </w:rPr>
              <w:t>Embed our institutional commitment to supporting research staff to achieve a min of 10 days professional development within drafting of Research Strategy, clearly communicating examples of internal and external development opportunities</w:t>
            </w:r>
            <w:r w:rsidR="00003338">
              <w:rPr>
                <w:bCs/>
                <w:sz w:val="20"/>
                <w:szCs w:val="20"/>
              </w:rPr>
              <w:t xml:space="preserve"> </w:t>
            </w:r>
            <w:r w:rsidR="007A6DBE">
              <w:rPr>
                <w:bCs/>
                <w:sz w:val="20"/>
                <w:szCs w:val="20"/>
              </w:rPr>
              <w:t>(</w:t>
            </w:r>
            <w:r w:rsidR="003A7644">
              <w:rPr>
                <w:bCs/>
                <w:sz w:val="20"/>
                <w:szCs w:val="20"/>
              </w:rPr>
              <w:t xml:space="preserve">awareness of opportunities and a positive increase in engagement </w:t>
            </w:r>
            <w:r w:rsidR="00BA5707">
              <w:rPr>
                <w:bCs/>
                <w:sz w:val="20"/>
                <w:szCs w:val="20"/>
              </w:rPr>
              <w:t>will be monitored via CEDARS 2023 – action PCDI1)</w:t>
            </w:r>
          </w:p>
          <w:p w14:paraId="006045DC" w14:textId="0A1709F8" w:rsidR="004F17A0" w:rsidRDefault="0039452C" w:rsidP="0064789D">
            <w:pPr>
              <w:pStyle w:val="ListParagraph"/>
              <w:numPr>
                <w:ilvl w:val="0"/>
                <w:numId w:val="6"/>
              </w:numPr>
              <w:spacing w:after="160" w:line="259" w:lineRule="auto"/>
              <w:ind w:left="417"/>
              <w:jc w:val="both"/>
              <w:rPr>
                <w:bCs/>
                <w:sz w:val="20"/>
                <w:szCs w:val="20"/>
              </w:rPr>
            </w:pPr>
            <w:r>
              <w:rPr>
                <w:rFonts w:ascii="Calibri" w:eastAsia="Times New Roman" w:hAnsi="Calibri" w:cs="Calibri"/>
                <w:sz w:val="20"/>
                <w:szCs w:val="20"/>
                <w:lang w:eastAsia="en-GB"/>
              </w:rPr>
              <w:t>Creation of</w:t>
            </w:r>
            <w:r w:rsidR="00414944" w:rsidRPr="00E46BFD">
              <w:rPr>
                <w:rFonts w:ascii="Calibri" w:eastAsia="Times New Roman" w:hAnsi="Calibri" w:cs="Calibri"/>
                <w:sz w:val="20"/>
                <w:szCs w:val="20"/>
                <w:lang w:eastAsia="en-GB"/>
              </w:rPr>
              <w:t xml:space="preserve"> </w:t>
            </w:r>
            <w:r w:rsidR="00414944">
              <w:rPr>
                <w:rFonts w:ascii="Calibri" w:eastAsia="Times New Roman" w:hAnsi="Calibri" w:cs="Calibri"/>
                <w:sz w:val="20"/>
                <w:szCs w:val="20"/>
                <w:lang w:eastAsia="en-GB"/>
              </w:rPr>
              <w:t>a dedicated Achieving Success</w:t>
            </w:r>
            <w:r w:rsidR="004F17A0">
              <w:rPr>
                <w:rFonts w:ascii="Calibri" w:eastAsia="Times New Roman" w:hAnsi="Calibri" w:cs="Calibri"/>
                <w:sz w:val="20"/>
                <w:szCs w:val="20"/>
                <w:lang w:eastAsia="en-GB"/>
              </w:rPr>
              <w:t xml:space="preserve"> </w:t>
            </w:r>
            <w:r w:rsidR="004F17A0" w:rsidRPr="00E46BFD">
              <w:rPr>
                <w:bCs/>
                <w:sz w:val="20"/>
                <w:szCs w:val="20"/>
              </w:rPr>
              <w:t>form for fixed term/early career staff</w:t>
            </w:r>
            <w:r w:rsidR="00414944">
              <w:rPr>
                <w:rFonts w:ascii="Calibri" w:eastAsia="Times New Roman" w:hAnsi="Calibri" w:cs="Calibri"/>
                <w:sz w:val="20"/>
                <w:szCs w:val="20"/>
                <w:lang w:eastAsia="en-GB"/>
              </w:rPr>
              <w:t xml:space="preserve"> </w:t>
            </w:r>
            <w:r w:rsidR="006E1CC4">
              <w:rPr>
                <w:rFonts w:ascii="Calibri" w:eastAsia="Times New Roman" w:hAnsi="Calibri" w:cs="Calibri"/>
                <w:sz w:val="20"/>
                <w:szCs w:val="20"/>
                <w:lang w:eastAsia="en-GB"/>
              </w:rPr>
              <w:t xml:space="preserve">to facilitate </w:t>
            </w:r>
            <w:r w:rsidR="00414944" w:rsidRPr="00E46BFD">
              <w:rPr>
                <w:rFonts w:ascii="Calibri" w:eastAsia="Times New Roman" w:hAnsi="Calibri" w:cs="Calibri"/>
                <w:color w:val="000000"/>
                <w:sz w:val="20"/>
                <w:szCs w:val="20"/>
                <w:lang w:eastAsia="en-GB"/>
              </w:rPr>
              <w:t>career development reviews for early career staff</w:t>
            </w:r>
            <w:r w:rsidR="004F17A0">
              <w:rPr>
                <w:rFonts w:ascii="Calibri" w:eastAsia="Times New Roman" w:hAnsi="Calibri" w:cs="Calibri"/>
                <w:color w:val="000000"/>
                <w:sz w:val="20"/>
                <w:szCs w:val="20"/>
                <w:lang w:eastAsia="en-GB"/>
              </w:rPr>
              <w:t xml:space="preserve"> </w:t>
            </w:r>
            <w:r w:rsidR="004F17A0" w:rsidRPr="00E46BFD">
              <w:rPr>
                <w:bCs/>
                <w:sz w:val="20"/>
                <w:szCs w:val="20"/>
              </w:rPr>
              <w:t>and deliver a dedicated Achieving Success Reviewers course for Managers of Researchers</w:t>
            </w:r>
            <w:r w:rsidR="00F027A1">
              <w:rPr>
                <w:bCs/>
                <w:sz w:val="20"/>
                <w:szCs w:val="20"/>
              </w:rPr>
              <w:t xml:space="preserve"> within year</w:t>
            </w:r>
            <w:r w:rsidR="00101B46">
              <w:rPr>
                <w:bCs/>
                <w:sz w:val="20"/>
                <w:szCs w:val="20"/>
              </w:rPr>
              <w:t xml:space="preserve"> (further details and success measure </w:t>
            </w:r>
            <w:r w:rsidR="00851276">
              <w:rPr>
                <w:bCs/>
                <w:sz w:val="20"/>
                <w:szCs w:val="20"/>
              </w:rPr>
              <w:t>in</w:t>
            </w:r>
            <w:r w:rsidR="00101B46">
              <w:rPr>
                <w:bCs/>
                <w:sz w:val="20"/>
                <w:szCs w:val="20"/>
              </w:rPr>
              <w:t xml:space="preserve"> EI5</w:t>
            </w:r>
            <w:r w:rsidR="00851276">
              <w:rPr>
                <w:bCs/>
                <w:sz w:val="20"/>
                <w:szCs w:val="20"/>
              </w:rPr>
              <w:t xml:space="preserve"> &amp; PCD</w:t>
            </w:r>
            <w:r w:rsidR="00361768">
              <w:rPr>
                <w:bCs/>
                <w:sz w:val="20"/>
                <w:szCs w:val="20"/>
              </w:rPr>
              <w:t>2</w:t>
            </w:r>
            <w:r w:rsidR="00851276">
              <w:rPr>
                <w:bCs/>
                <w:sz w:val="20"/>
                <w:szCs w:val="20"/>
              </w:rPr>
              <w:t>).</w:t>
            </w:r>
          </w:p>
          <w:p w14:paraId="4B3267D7" w14:textId="0CBA1E54" w:rsidR="00DC448A" w:rsidRPr="00E46BFD" w:rsidRDefault="00DC448A" w:rsidP="0064789D">
            <w:pPr>
              <w:pStyle w:val="ListParagraph"/>
              <w:numPr>
                <w:ilvl w:val="0"/>
                <w:numId w:val="6"/>
              </w:numPr>
              <w:spacing w:after="160" w:line="259" w:lineRule="auto"/>
              <w:ind w:left="417"/>
              <w:jc w:val="both"/>
              <w:rPr>
                <w:bCs/>
                <w:sz w:val="20"/>
                <w:szCs w:val="20"/>
              </w:rPr>
            </w:pPr>
            <w:r w:rsidRPr="00E46BFD">
              <w:rPr>
                <w:bCs/>
                <w:sz w:val="20"/>
                <w:szCs w:val="20"/>
              </w:rPr>
              <w:t>Promote engagement in the University Mentoring Scheme</w:t>
            </w:r>
            <w:r w:rsidR="00003A3E">
              <w:rPr>
                <w:bCs/>
                <w:sz w:val="20"/>
                <w:szCs w:val="20"/>
              </w:rPr>
              <w:t xml:space="preserve"> </w:t>
            </w:r>
            <w:r w:rsidR="005A24CE">
              <w:rPr>
                <w:bCs/>
                <w:sz w:val="20"/>
                <w:szCs w:val="20"/>
              </w:rPr>
              <w:t xml:space="preserve">via the Managers Network </w:t>
            </w:r>
            <w:r w:rsidR="008A3746">
              <w:rPr>
                <w:bCs/>
                <w:sz w:val="20"/>
                <w:szCs w:val="20"/>
              </w:rPr>
              <w:t xml:space="preserve">newsletter </w:t>
            </w:r>
            <w:r w:rsidR="008A3746" w:rsidRPr="00241DEC">
              <w:rPr>
                <w:bCs/>
                <w:sz w:val="20"/>
                <w:szCs w:val="20"/>
              </w:rPr>
              <w:t>(</w:t>
            </w:r>
            <w:r w:rsidR="008A3746">
              <w:rPr>
                <w:bCs/>
                <w:sz w:val="20"/>
                <w:szCs w:val="20"/>
              </w:rPr>
              <w:t xml:space="preserve">further details and success measures </w:t>
            </w:r>
            <w:r w:rsidR="008A3746" w:rsidRPr="00241DEC">
              <w:rPr>
                <w:bCs/>
                <w:sz w:val="20"/>
                <w:szCs w:val="20"/>
              </w:rPr>
              <w:t>PCDI4).</w:t>
            </w:r>
          </w:p>
          <w:p w14:paraId="67C691D9" w14:textId="2F8628D3" w:rsidR="00DC448A" w:rsidRPr="00C750B1" w:rsidRDefault="00DC448A" w:rsidP="0064789D">
            <w:pPr>
              <w:pStyle w:val="ListParagraph"/>
              <w:numPr>
                <w:ilvl w:val="0"/>
                <w:numId w:val="6"/>
              </w:numPr>
              <w:spacing w:after="160" w:line="259" w:lineRule="auto"/>
              <w:ind w:left="417"/>
              <w:jc w:val="both"/>
              <w:rPr>
                <w:bCs/>
                <w:sz w:val="20"/>
                <w:szCs w:val="20"/>
              </w:rPr>
            </w:pPr>
            <w:r w:rsidRPr="00E46BFD">
              <w:rPr>
                <w:bCs/>
                <w:sz w:val="20"/>
                <w:szCs w:val="20"/>
              </w:rPr>
              <w:t>Explore participation in the external Teaching, Research and Academic Mentoring Scheme (TRAMS) a 7-way HEI collaboration hosted by St Andrews and University of Dundee</w:t>
            </w:r>
            <w:r w:rsidR="00A34941">
              <w:rPr>
                <w:bCs/>
                <w:sz w:val="20"/>
                <w:szCs w:val="20"/>
              </w:rPr>
              <w:t xml:space="preserve"> </w:t>
            </w:r>
            <w:r w:rsidR="002B36D5" w:rsidRPr="00C750B1">
              <w:rPr>
                <w:bCs/>
                <w:sz w:val="20"/>
                <w:szCs w:val="20"/>
              </w:rPr>
              <w:t>(</w:t>
            </w:r>
            <w:r w:rsidR="00A34941">
              <w:rPr>
                <w:bCs/>
                <w:sz w:val="20"/>
                <w:szCs w:val="20"/>
              </w:rPr>
              <w:t xml:space="preserve">further details and success measures </w:t>
            </w:r>
            <w:r w:rsidR="002B36D5" w:rsidRPr="00C750B1">
              <w:rPr>
                <w:bCs/>
                <w:sz w:val="20"/>
                <w:szCs w:val="20"/>
              </w:rPr>
              <w:t>PCDI4)</w:t>
            </w:r>
            <w:r w:rsidR="00A34941" w:rsidRPr="00C750B1">
              <w:rPr>
                <w:bCs/>
                <w:sz w:val="20"/>
                <w:szCs w:val="20"/>
              </w:rPr>
              <w:t>.</w:t>
            </w:r>
          </w:p>
          <w:p w14:paraId="47D61D81" w14:textId="6CCE7FF2" w:rsidR="00DC448A" w:rsidRPr="00E46BFD" w:rsidDel="00C90469" w:rsidRDefault="00DC448A" w:rsidP="0064789D">
            <w:pPr>
              <w:pStyle w:val="ListParagraph"/>
              <w:numPr>
                <w:ilvl w:val="0"/>
                <w:numId w:val="6"/>
              </w:numPr>
              <w:spacing w:line="259" w:lineRule="auto"/>
              <w:ind w:left="417"/>
              <w:jc w:val="both"/>
              <w:rPr>
                <w:bCs/>
                <w:sz w:val="20"/>
                <w:szCs w:val="20"/>
              </w:rPr>
            </w:pPr>
            <w:r w:rsidRPr="00E46BFD">
              <w:rPr>
                <w:bCs/>
                <w:sz w:val="20"/>
                <w:szCs w:val="20"/>
              </w:rPr>
              <w:t>Ensure researchers have access to professional advice on career management with dedicated Careers</w:t>
            </w:r>
            <w:r w:rsidR="00D956E1">
              <w:rPr>
                <w:bCs/>
                <w:sz w:val="20"/>
                <w:szCs w:val="20"/>
              </w:rPr>
              <w:t xml:space="preserve"> -I</w:t>
            </w:r>
            <w:r w:rsidRPr="00E46BFD">
              <w:rPr>
                <w:bCs/>
                <w:sz w:val="20"/>
                <w:szCs w:val="20"/>
              </w:rPr>
              <w:t>AS</w:t>
            </w:r>
            <w:r w:rsidR="00D956E1">
              <w:rPr>
                <w:bCs/>
                <w:sz w:val="20"/>
                <w:szCs w:val="20"/>
              </w:rPr>
              <w:t>-A</w:t>
            </w:r>
            <w:r w:rsidRPr="00E46BFD">
              <w:rPr>
                <w:bCs/>
                <w:sz w:val="20"/>
                <w:szCs w:val="20"/>
              </w:rPr>
              <w:t>lumni networking events and workshops</w:t>
            </w:r>
            <w:r w:rsidR="00806968">
              <w:rPr>
                <w:bCs/>
                <w:sz w:val="20"/>
                <w:szCs w:val="20"/>
              </w:rPr>
              <w:t xml:space="preserve"> </w:t>
            </w:r>
            <w:r w:rsidR="00806968" w:rsidRPr="00241DEC">
              <w:rPr>
                <w:bCs/>
                <w:sz w:val="20"/>
                <w:szCs w:val="20"/>
              </w:rPr>
              <w:t>(</w:t>
            </w:r>
            <w:r w:rsidR="00806968">
              <w:rPr>
                <w:bCs/>
                <w:sz w:val="20"/>
                <w:szCs w:val="20"/>
              </w:rPr>
              <w:t xml:space="preserve">further details and success measures </w:t>
            </w:r>
            <w:r w:rsidR="00806968" w:rsidRPr="00241DEC">
              <w:rPr>
                <w:bCs/>
                <w:sz w:val="20"/>
                <w:szCs w:val="20"/>
              </w:rPr>
              <w:t>PCDI</w:t>
            </w:r>
            <w:r w:rsidR="00806968">
              <w:rPr>
                <w:bCs/>
                <w:sz w:val="20"/>
                <w:szCs w:val="20"/>
              </w:rPr>
              <w:t>3</w:t>
            </w:r>
            <w:r w:rsidR="00806968" w:rsidRPr="00241DEC">
              <w:rPr>
                <w:bCs/>
                <w:sz w:val="20"/>
                <w:szCs w:val="20"/>
              </w:rPr>
              <w:t>).</w:t>
            </w:r>
          </w:p>
        </w:tc>
      </w:tr>
    </w:tbl>
    <w:p w14:paraId="5A4C24E6" w14:textId="77777777" w:rsidR="00DC448A" w:rsidRPr="00E46BFD" w:rsidRDefault="00DC448A" w:rsidP="00DC448A">
      <w:pPr>
        <w:pStyle w:val="NormalWeb"/>
        <w:spacing w:before="0" w:beforeAutospacing="0" w:after="0" w:afterAutospacing="0"/>
        <w:rPr>
          <w:rFonts w:ascii="Calibri" w:hAnsi="Calibri" w:cs="Calibri"/>
          <w:b/>
          <w:bCs/>
          <w:sz w:val="20"/>
          <w:szCs w:val="20"/>
        </w:rPr>
      </w:pPr>
    </w:p>
    <w:p w14:paraId="3630664B" w14:textId="77777777" w:rsidR="00DC448A" w:rsidRPr="00E46BFD" w:rsidRDefault="00DC448A" w:rsidP="00DC448A">
      <w:pPr>
        <w:pStyle w:val="ListParagraph"/>
        <w:spacing w:after="0" w:line="240" w:lineRule="auto"/>
        <w:jc w:val="both"/>
        <w:rPr>
          <w:bCs/>
          <w:sz w:val="20"/>
          <w:szCs w:val="20"/>
        </w:rPr>
      </w:pPr>
    </w:p>
    <w:p w14:paraId="79D123CF" w14:textId="77777777" w:rsidR="00DC448A" w:rsidRPr="00E46BFD" w:rsidRDefault="00DC448A" w:rsidP="00DC448A">
      <w:pPr>
        <w:pStyle w:val="ListParagraph"/>
        <w:spacing w:after="0" w:line="240" w:lineRule="auto"/>
        <w:jc w:val="both"/>
        <w:rPr>
          <w:bCs/>
          <w:sz w:val="20"/>
          <w:szCs w:val="20"/>
        </w:rPr>
      </w:pPr>
    </w:p>
    <w:p w14:paraId="6757B0DC" w14:textId="77777777" w:rsidR="00DC448A" w:rsidRPr="00E46BFD" w:rsidRDefault="00DC448A" w:rsidP="00DC448A">
      <w:pPr>
        <w:pStyle w:val="ListParagraph"/>
        <w:framePr w:hSpace="180" w:wrap="around" w:vAnchor="text" w:hAnchor="margin" w:y="78"/>
        <w:jc w:val="both"/>
        <w:rPr>
          <w:bCs/>
          <w:sz w:val="20"/>
          <w:szCs w:val="20"/>
        </w:rPr>
      </w:pPr>
    </w:p>
    <w:p w14:paraId="2A28E115" w14:textId="77777777" w:rsidR="00DC448A" w:rsidRPr="00E46BFD" w:rsidRDefault="00DC448A" w:rsidP="00DC448A">
      <w:pPr>
        <w:rPr>
          <w:b/>
          <w:bCs/>
          <w:sz w:val="20"/>
          <w:szCs w:val="20"/>
        </w:rPr>
      </w:pPr>
    </w:p>
    <w:p w14:paraId="7B303AF0" w14:textId="190C13DF" w:rsidR="00F32B2C" w:rsidRPr="00DC448A" w:rsidRDefault="00291962" w:rsidP="00DC448A">
      <w:r w:rsidRPr="00DC448A">
        <w:t xml:space="preserve"> </w:t>
      </w:r>
    </w:p>
    <w:sectPr w:rsidR="00F32B2C" w:rsidRPr="00DC448A" w:rsidSect="0064789D">
      <w:headerReference w:type="default" r:id="rId9"/>
      <w:footerReference w:type="default" r:id="rId10"/>
      <w:pgSz w:w="11906" w:h="16838"/>
      <w:pgMar w:top="720"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2A47" w14:textId="77777777" w:rsidR="007F2CB0" w:rsidRDefault="007F2CB0" w:rsidP="00844AB9">
      <w:pPr>
        <w:spacing w:after="0" w:line="240" w:lineRule="auto"/>
      </w:pPr>
      <w:r>
        <w:separator/>
      </w:r>
    </w:p>
  </w:endnote>
  <w:endnote w:type="continuationSeparator" w:id="0">
    <w:p w14:paraId="527182F9" w14:textId="77777777" w:rsidR="007F2CB0" w:rsidRDefault="007F2CB0" w:rsidP="0084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C6D7" w14:textId="46670A5B" w:rsidR="00657721" w:rsidRDefault="00657721">
    <w:pPr>
      <w:pStyle w:val="Footer"/>
    </w:pPr>
    <w:r>
      <w:t>HR Excellence in Research</w:t>
    </w:r>
    <w:r w:rsidR="00780C9A">
      <w:t>:</w:t>
    </w:r>
    <w:r>
      <w:t xml:space="preserve"> 10</w:t>
    </w:r>
    <w:r w:rsidR="00780C9A">
      <w:t>-</w:t>
    </w:r>
    <w:r>
      <w:t>year report</w:t>
    </w:r>
  </w:p>
  <w:p w14:paraId="42E2D08C" w14:textId="77777777" w:rsidR="00043612" w:rsidRDefault="00043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2A12" w14:textId="77777777" w:rsidR="007F2CB0" w:rsidRDefault="007F2CB0" w:rsidP="00844AB9">
      <w:pPr>
        <w:spacing w:after="0" w:line="240" w:lineRule="auto"/>
      </w:pPr>
      <w:r>
        <w:separator/>
      </w:r>
    </w:p>
  </w:footnote>
  <w:footnote w:type="continuationSeparator" w:id="0">
    <w:p w14:paraId="7B1F9A8D" w14:textId="77777777" w:rsidR="007F2CB0" w:rsidRDefault="007F2CB0" w:rsidP="0084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013A" w14:textId="77777777" w:rsidR="00043612" w:rsidRDefault="00043612" w:rsidP="00844AB9">
    <w:pPr>
      <w:pStyle w:val="Header"/>
      <w:jc w:val="right"/>
    </w:pPr>
    <w:r>
      <w:rPr>
        <w:noProof/>
        <w:lang w:eastAsia="en-GB"/>
      </w:rPr>
      <w:drawing>
        <wp:inline distT="0" distB="0" distL="0" distR="0" wp14:anchorId="727F2A4A" wp14:editId="67878BD7">
          <wp:extent cx="1762363" cy="438150"/>
          <wp:effectExtent l="0" t="0" r="9525" b="0"/>
          <wp:docPr id="5" name="Picture 5" descr="University logo in green writing&#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versity logo in green writing&#10;&#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5969" cy="4465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3EA"/>
    <w:multiLevelType w:val="hybridMultilevel"/>
    <w:tmpl w:val="BA3C3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50EF4"/>
    <w:multiLevelType w:val="hybridMultilevel"/>
    <w:tmpl w:val="21C6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72966"/>
    <w:multiLevelType w:val="hybridMultilevel"/>
    <w:tmpl w:val="E3249B50"/>
    <w:lvl w:ilvl="0" w:tplc="8B1AD6EA">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94261"/>
    <w:multiLevelType w:val="hybridMultilevel"/>
    <w:tmpl w:val="AA32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7640A"/>
    <w:multiLevelType w:val="hybridMultilevel"/>
    <w:tmpl w:val="50F2C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34494E"/>
    <w:multiLevelType w:val="hybridMultilevel"/>
    <w:tmpl w:val="EB2EE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3C10FE"/>
    <w:multiLevelType w:val="hybridMultilevel"/>
    <w:tmpl w:val="D46A9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8832FF"/>
    <w:multiLevelType w:val="hybridMultilevel"/>
    <w:tmpl w:val="58E261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474011"/>
    <w:multiLevelType w:val="hybridMultilevel"/>
    <w:tmpl w:val="29EC87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0DA28E0"/>
    <w:multiLevelType w:val="hybridMultilevel"/>
    <w:tmpl w:val="BAEA2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DB2D5F"/>
    <w:multiLevelType w:val="hybridMultilevel"/>
    <w:tmpl w:val="AA4A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F43979"/>
    <w:multiLevelType w:val="hybridMultilevel"/>
    <w:tmpl w:val="77103F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2"/>
  </w:num>
  <w:num w:numId="4">
    <w:abstractNumId w:val="1"/>
  </w:num>
  <w:num w:numId="5">
    <w:abstractNumId w:val="3"/>
  </w:num>
  <w:num w:numId="6">
    <w:abstractNumId w:val="6"/>
  </w:num>
  <w:num w:numId="7">
    <w:abstractNumId w:val="4"/>
  </w:num>
  <w:num w:numId="8">
    <w:abstractNumId w:val="5"/>
  </w:num>
  <w:num w:numId="9">
    <w:abstractNumId w:val="10"/>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AB9"/>
    <w:rsid w:val="00003338"/>
    <w:rsid w:val="00003A3E"/>
    <w:rsid w:val="00003EDA"/>
    <w:rsid w:val="00004AE6"/>
    <w:rsid w:val="000072DD"/>
    <w:rsid w:val="00007E01"/>
    <w:rsid w:val="00010D67"/>
    <w:rsid w:val="00012C37"/>
    <w:rsid w:val="00013554"/>
    <w:rsid w:val="00016820"/>
    <w:rsid w:val="0002669E"/>
    <w:rsid w:val="00030F6B"/>
    <w:rsid w:val="00043187"/>
    <w:rsid w:val="00043612"/>
    <w:rsid w:val="000510AC"/>
    <w:rsid w:val="00061CC0"/>
    <w:rsid w:val="00064AAB"/>
    <w:rsid w:val="00072AB3"/>
    <w:rsid w:val="00080A8A"/>
    <w:rsid w:val="00086BB5"/>
    <w:rsid w:val="00092342"/>
    <w:rsid w:val="000B189B"/>
    <w:rsid w:val="000B268B"/>
    <w:rsid w:val="000B4A12"/>
    <w:rsid w:val="000C2ADF"/>
    <w:rsid w:val="000C6159"/>
    <w:rsid w:val="000D76B0"/>
    <w:rsid w:val="000E2832"/>
    <w:rsid w:val="000F0702"/>
    <w:rsid w:val="000F0796"/>
    <w:rsid w:val="00101B46"/>
    <w:rsid w:val="001029D8"/>
    <w:rsid w:val="001112B8"/>
    <w:rsid w:val="00131256"/>
    <w:rsid w:val="0013160B"/>
    <w:rsid w:val="00137C61"/>
    <w:rsid w:val="00150F0D"/>
    <w:rsid w:val="00153B69"/>
    <w:rsid w:val="00155682"/>
    <w:rsid w:val="00160734"/>
    <w:rsid w:val="00172104"/>
    <w:rsid w:val="00175AC8"/>
    <w:rsid w:val="00177CBC"/>
    <w:rsid w:val="0018448B"/>
    <w:rsid w:val="00197730"/>
    <w:rsid w:val="001B389E"/>
    <w:rsid w:val="001B4E83"/>
    <w:rsid w:val="001B564C"/>
    <w:rsid w:val="001C0726"/>
    <w:rsid w:val="001C5EB5"/>
    <w:rsid w:val="001E082D"/>
    <w:rsid w:val="001E278B"/>
    <w:rsid w:val="001F4170"/>
    <w:rsid w:val="001F48ED"/>
    <w:rsid w:val="001F6CC8"/>
    <w:rsid w:val="00210866"/>
    <w:rsid w:val="00210D5D"/>
    <w:rsid w:val="002111A8"/>
    <w:rsid w:val="0022251B"/>
    <w:rsid w:val="0022464B"/>
    <w:rsid w:val="00231B19"/>
    <w:rsid w:val="00244C8C"/>
    <w:rsid w:val="002477A8"/>
    <w:rsid w:val="00250B61"/>
    <w:rsid w:val="00253983"/>
    <w:rsid w:val="00276F9E"/>
    <w:rsid w:val="00287A3F"/>
    <w:rsid w:val="00291962"/>
    <w:rsid w:val="002923F9"/>
    <w:rsid w:val="002A10EC"/>
    <w:rsid w:val="002A291E"/>
    <w:rsid w:val="002B36D5"/>
    <w:rsid w:val="002B4A95"/>
    <w:rsid w:val="002E258B"/>
    <w:rsid w:val="002E3877"/>
    <w:rsid w:val="0030335A"/>
    <w:rsid w:val="00305AC4"/>
    <w:rsid w:val="00310B1D"/>
    <w:rsid w:val="00342012"/>
    <w:rsid w:val="00343B75"/>
    <w:rsid w:val="003453BA"/>
    <w:rsid w:val="00346981"/>
    <w:rsid w:val="00351113"/>
    <w:rsid w:val="00354C0A"/>
    <w:rsid w:val="00360EE3"/>
    <w:rsid w:val="00361768"/>
    <w:rsid w:val="003634DE"/>
    <w:rsid w:val="0036379E"/>
    <w:rsid w:val="0036598B"/>
    <w:rsid w:val="0037184E"/>
    <w:rsid w:val="00386182"/>
    <w:rsid w:val="00390618"/>
    <w:rsid w:val="0039100F"/>
    <w:rsid w:val="00393595"/>
    <w:rsid w:val="0039452C"/>
    <w:rsid w:val="00396587"/>
    <w:rsid w:val="003A7644"/>
    <w:rsid w:val="003B1616"/>
    <w:rsid w:val="003C5F02"/>
    <w:rsid w:val="003D5EAC"/>
    <w:rsid w:val="003D74EA"/>
    <w:rsid w:val="003F474D"/>
    <w:rsid w:val="003F583E"/>
    <w:rsid w:val="003F6BF5"/>
    <w:rsid w:val="00402589"/>
    <w:rsid w:val="00402E46"/>
    <w:rsid w:val="004058C7"/>
    <w:rsid w:val="0040746D"/>
    <w:rsid w:val="00410BB7"/>
    <w:rsid w:val="00414944"/>
    <w:rsid w:val="00420E7F"/>
    <w:rsid w:val="00423CCA"/>
    <w:rsid w:val="00425E6B"/>
    <w:rsid w:val="00434A56"/>
    <w:rsid w:val="0043501C"/>
    <w:rsid w:val="004353BD"/>
    <w:rsid w:val="00447A23"/>
    <w:rsid w:val="00453269"/>
    <w:rsid w:val="00457A05"/>
    <w:rsid w:val="00467D52"/>
    <w:rsid w:val="00471490"/>
    <w:rsid w:val="00471E26"/>
    <w:rsid w:val="00474C06"/>
    <w:rsid w:val="00494710"/>
    <w:rsid w:val="004A485A"/>
    <w:rsid w:val="004A4EEE"/>
    <w:rsid w:val="004B701D"/>
    <w:rsid w:val="004B7543"/>
    <w:rsid w:val="004E1449"/>
    <w:rsid w:val="004E418E"/>
    <w:rsid w:val="004E4CD2"/>
    <w:rsid w:val="004E54A5"/>
    <w:rsid w:val="004F0F6A"/>
    <w:rsid w:val="004F17A0"/>
    <w:rsid w:val="004F5ECE"/>
    <w:rsid w:val="004F61AD"/>
    <w:rsid w:val="00503AC9"/>
    <w:rsid w:val="00512AAB"/>
    <w:rsid w:val="00516A20"/>
    <w:rsid w:val="00536FEB"/>
    <w:rsid w:val="0055396F"/>
    <w:rsid w:val="00553A99"/>
    <w:rsid w:val="00557958"/>
    <w:rsid w:val="00563B8A"/>
    <w:rsid w:val="005644B3"/>
    <w:rsid w:val="00583D49"/>
    <w:rsid w:val="00584FF7"/>
    <w:rsid w:val="00585BC4"/>
    <w:rsid w:val="005919BD"/>
    <w:rsid w:val="00592E2A"/>
    <w:rsid w:val="005A24CE"/>
    <w:rsid w:val="005A400B"/>
    <w:rsid w:val="005B1A30"/>
    <w:rsid w:val="005B2F1C"/>
    <w:rsid w:val="005B7714"/>
    <w:rsid w:val="005C09FF"/>
    <w:rsid w:val="005C6A2F"/>
    <w:rsid w:val="005D3520"/>
    <w:rsid w:val="005D6473"/>
    <w:rsid w:val="005E3398"/>
    <w:rsid w:val="005E5BF5"/>
    <w:rsid w:val="005E6CD9"/>
    <w:rsid w:val="005F4D7B"/>
    <w:rsid w:val="005F5758"/>
    <w:rsid w:val="00614BC5"/>
    <w:rsid w:val="00615326"/>
    <w:rsid w:val="00625534"/>
    <w:rsid w:val="006346AD"/>
    <w:rsid w:val="006372D5"/>
    <w:rsid w:val="00641A73"/>
    <w:rsid w:val="006447E6"/>
    <w:rsid w:val="0064789D"/>
    <w:rsid w:val="00655F71"/>
    <w:rsid w:val="00657721"/>
    <w:rsid w:val="006652B3"/>
    <w:rsid w:val="00667C37"/>
    <w:rsid w:val="00672517"/>
    <w:rsid w:val="00677080"/>
    <w:rsid w:val="00684B31"/>
    <w:rsid w:val="006A1D6A"/>
    <w:rsid w:val="006A2195"/>
    <w:rsid w:val="006B0C3E"/>
    <w:rsid w:val="006B0CA4"/>
    <w:rsid w:val="006B0D4F"/>
    <w:rsid w:val="006B4297"/>
    <w:rsid w:val="006D0B91"/>
    <w:rsid w:val="006D4DBC"/>
    <w:rsid w:val="006E0873"/>
    <w:rsid w:val="006E190C"/>
    <w:rsid w:val="006E1CC4"/>
    <w:rsid w:val="006E2878"/>
    <w:rsid w:val="006E2976"/>
    <w:rsid w:val="006E34D5"/>
    <w:rsid w:val="006E5174"/>
    <w:rsid w:val="006E6C1B"/>
    <w:rsid w:val="006E6EC8"/>
    <w:rsid w:val="006E77C2"/>
    <w:rsid w:val="006F0BF3"/>
    <w:rsid w:val="006F34A3"/>
    <w:rsid w:val="00701189"/>
    <w:rsid w:val="00702970"/>
    <w:rsid w:val="00711B19"/>
    <w:rsid w:val="00730906"/>
    <w:rsid w:val="00745BF9"/>
    <w:rsid w:val="00753E2C"/>
    <w:rsid w:val="00757EE6"/>
    <w:rsid w:val="00763CC2"/>
    <w:rsid w:val="007709F6"/>
    <w:rsid w:val="0077553F"/>
    <w:rsid w:val="0077686D"/>
    <w:rsid w:val="007770B4"/>
    <w:rsid w:val="00777481"/>
    <w:rsid w:val="00780C9A"/>
    <w:rsid w:val="00783E4F"/>
    <w:rsid w:val="007A6DBE"/>
    <w:rsid w:val="007A7467"/>
    <w:rsid w:val="007A769E"/>
    <w:rsid w:val="007B15D7"/>
    <w:rsid w:val="007B3993"/>
    <w:rsid w:val="007B5AD6"/>
    <w:rsid w:val="007C6E77"/>
    <w:rsid w:val="007C7613"/>
    <w:rsid w:val="007C7C04"/>
    <w:rsid w:val="007D2734"/>
    <w:rsid w:val="007D6966"/>
    <w:rsid w:val="007E0D6E"/>
    <w:rsid w:val="007E670F"/>
    <w:rsid w:val="007F0E86"/>
    <w:rsid w:val="007F2CB0"/>
    <w:rsid w:val="007F40D7"/>
    <w:rsid w:val="00806968"/>
    <w:rsid w:val="00812D28"/>
    <w:rsid w:val="00815286"/>
    <w:rsid w:val="008156F7"/>
    <w:rsid w:val="0082275D"/>
    <w:rsid w:val="00823C46"/>
    <w:rsid w:val="0083497B"/>
    <w:rsid w:val="00837D7E"/>
    <w:rsid w:val="00844AB9"/>
    <w:rsid w:val="008477D5"/>
    <w:rsid w:val="00851276"/>
    <w:rsid w:val="008744DE"/>
    <w:rsid w:val="00874DA7"/>
    <w:rsid w:val="00884028"/>
    <w:rsid w:val="00896D14"/>
    <w:rsid w:val="0089792A"/>
    <w:rsid w:val="008A00A7"/>
    <w:rsid w:val="008A034E"/>
    <w:rsid w:val="008A08D0"/>
    <w:rsid w:val="008A3746"/>
    <w:rsid w:val="008B22AB"/>
    <w:rsid w:val="008B37E8"/>
    <w:rsid w:val="008B4572"/>
    <w:rsid w:val="008C2667"/>
    <w:rsid w:val="008D5FFA"/>
    <w:rsid w:val="008E0925"/>
    <w:rsid w:val="008E51F2"/>
    <w:rsid w:val="008F456D"/>
    <w:rsid w:val="008F56E9"/>
    <w:rsid w:val="00903A14"/>
    <w:rsid w:val="00904E03"/>
    <w:rsid w:val="009126A5"/>
    <w:rsid w:val="009158EE"/>
    <w:rsid w:val="00916D1C"/>
    <w:rsid w:val="009227FD"/>
    <w:rsid w:val="00932E42"/>
    <w:rsid w:val="00935DCD"/>
    <w:rsid w:val="00960E9B"/>
    <w:rsid w:val="00961C49"/>
    <w:rsid w:val="009644FD"/>
    <w:rsid w:val="00965D8E"/>
    <w:rsid w:val="009713B0"/>
    <w:rsid w:val="009728EC"/>
    <w:rsid w:val="00975528"/>
    <w:rsid w:val="0097670A"/>
    <w:rsid w:val="009808BF"/>
    <w:rsid w:val="00992B96"/>
    <w:rsid w:val="009A0791"/>
    <w:rsid w:val="009A132D"/>
    <w:rsid w:val="009B4279"/>
    <w:rsid w:val="009C49AC"/>
    <w:rsid w:val="009C4BAD"/>
    <w:rsid w:val="009D25C6"/>
    <w:rsid w:val="009D4BAB"/>
    <w:rsid w:val="009E1465"/>
    <w:rsid w:val="009E687D"/>
    <w:rsid w:val="00A0146A"/>
    <w:rsid w:val="00A04A5E"/>
    <w:rsid w:val="00A1663C"/>
    <w:rsid w:val="00A34941"/>
    <w:rsid w:val="00A354AF"/>
    <w:rsid w:val="00A41E7E"/>
    <w:rsid w:val="00A46DA6"/>
    <w:rsid w:val="00A514E4"/>
    <w:rsid w:val="00A520C1"/>
    <w:rsid w:val="00A64B28"/>
    <w:rsid w:val="00A72054"/>
    <w:rsid w:val="00AA5E3E"/>
    <w:rsid w:val="00AA71E1"/>
    <w:rsid w:val="00AB1296"/>
    <w:rsid w:val="00AB6A66"/>
    <w:rsid w:val="00AC5155"/>
    <w:rsid w:val="00AC76B2"/>
    <w:rsid w:val="00AD108C"/>
    <w:rsid w:val="00AE24CF"/>
    <w:rsid w:val="00AE5F08"/>
    <w:rsid w:val="00B012C6"/>
    <w:rsid w:val="00B121F9"/>
    <w:rsid w:val="00B51EFE"/>
    <w:rsid w:val="00B54BF2"/>
    <w:rsid w:val="00B567A1"/>
    <w:rsid w:val="00B67880"/>
    <w:rsid w:val="00B83426"/>
    <w:rsid w:val="00B8679C"/>
    <w:rsid w:val="00B92E17"/>
    <w:rsid w:val="00BA5707"/>
    <w:rsid w:val="00BA68D8"/>
    <w:rsid w:val="00BB19FD"/>
    <w:rsid w:val="00BC2B11"/>
    <w:rsid w:val="00BC3FC3"/>
    <w:rsid w:val="00BD1781"/>
    <w:rsid w:val="00BD62D7"/>
    <w:rsid w:val="00BE0B89"/>
    <w:rsid w:val="00BE2270"/>
    <w:rsid w:val="00BF4376"/>
    <w:rsid w:val="00C001E9"/>
    <w:rsid w:val="00C007D3"/>
    <w:rsid w:val="00C04E0C"/>
    <w:rsid w:val="00C06D72"/>
    <w:rsid w:val="00C124F8"/>
    <w:rsid w:val="00C3459C"/>
    <w:rsid w:val="00C371BB"/>
    <w:rsid w:val="00C371C2"/>
    <w:rsid w:val="00C52218"/>
    <w:rsid w:val="00C5289B"/>
    <w:rsid w:val="00C555CD"/>
    <w:rsid w:val="00C727A1"/>
    <w:rsid w:val="00C750B1"/>
    <w:rsid w:val="00C8266A"/>
    <w:rsid w:val="00C876E5"/>
    <w:rsid w:val="00C9317A"/>
    <w:rsid w:val="00C94496"/>
    <w:rsid w:val="00C9685A"/>
    <w:rsid w:val="00CA2417"/>
    <w:rsid w:val="00CC00E3"/>
    <w:rsid w:val="00CC16A0"/>
    <w:rsid w:val="00CC1813"/>
    <w:rsid w:val="00CD5789"/>
    <w:rsid w:val="00CD6D3E"/>
    <w:rsid w:val="00CE6F5D"/>
    <w:rsid w:val="00CF0797"/>
    <w:rsid w:val="00CF4C95"/>
    <w:rsid w:val="00D13558"/>
    <w:rsid w:val="00D22B41"/>
    <w:rsid w:val="00D27959"/>
    <w:rsid w:val="00D35CF2"/>
    <w:rsid w:val="00D36A5A"/>
    <w:rsid w:val="00D419EC"/>
    <w:rsid w:val="00D763BD"/>
    <w:rsid w:val="00D81A0A"/>
    <w:rsid w:val="00D866F6"/>
    <w:rsid w:val="00D956E1"/>
    <w:rsid w:val="00D95C91"/>
    <w:rsid w:val="00D97531"/>
    <w:rsid w:val="00DA2191"/>
    <w:rsid w:val="00DA24A0"/>
    <w:rsid w:val="00DB146D"/>
    <w:rsid w:val="00DB24D5"/>
    <w:rsid w:val="00DB6412"/>
    <w:rsid w:val="00DB7ABE"/>
    <w:rsid w:val="00DC448A"/>
    <w:rsid w:val="00DC4ED5"/>
    <w:rsid w:val="00DC522C"/>
    <w:rsid w:val="00DC70CE"/>
    <w:rsid w:val="00DD26E7"/>
    <w:rsid w:val="00DD2A9E"/>
    <w:rsid w:val="00DD6A34"/>
    <w:rsid w:val="00DD79BD"/>
    <w:rsid w:val="00DE67CD"/>
    <w:rsid w:val="00DE708E"/>
    <w:rsid w:val="00DF30CA"/>
    <w:rsid w:val="00DF46D2"/>
    <w:rsid w:val="00DF7D8E"/>
    <w:rsid w:val="00E12778"/>
    <w:rsid w:val="00E136FC"/>
    <w:rsid w:val="00E13910"/>
    <w:rsid w:val="00E13945"/>
    <w:rsid w:val="00E15786"/>
    <w:rsid w:val="00E177A6"/>
    <w:rsid w:val="00E2063D"/>
    <w:rsid w:val="00E319B0"/>
    <w:rsid w:val="00E4785C"/>
    <w:rsid w:val="00E50D99"/>
    <w:rsid w:val="00E74F21"/>
    <w:rsid w:val="00E7601F"/>
    <w:rsid w:val="00E809FD"/>
    <w:rsid w:val="00E86F58"/>
    <w:rsid w:val="00EA2377"/>
    <w:rsid w:val="00EB30D7"/>
    <w:rsid w:val="00EC16CC"/>
    <w:rsid w:val="00EC550F"/>
    <w:rsid w:val="00EC7C39"/>
    <w:rsid w:val="00ED0A7B"/>
    <w:rsid w:val="00ED7F33"/>
    <w:rsid w:val="00EE45CC"/>
    <w:rsid w:val="00EE6549"/>
    <w:rsid w:val="00EF2201"/>
    <w:rsid w:val="00EF6915"/>
    <w:rsid w:val="00F00D78"/>
    <w:rsid w:val="00F027A1"/>
    <w:rsid w:val="00F034B6"/>
    <w:rsid w:val="00F05573"/>
    <w:rsid w:val="00F11328"/>
    <w:rsid w:val="00F11EEE"/>
    <w:rsid w:val="00F13C20"/>
    <w:rsid w:val="00F17391"/>
    <w:rsid w:val="00F32B2C"/>
    <w:rsid w:val="00F5534E"/>
    <w:rsid w:val="00F57CBD"/>
    <w:rsid w:val="00F6121C"/>
    <w:rsid w:val="00F64293"/>
    <w:rsid w:val="00F66D33"/>
    <w:rsid w:val="00F83718"/>
    <w:rsid w:val="00F84BB0"/>
    <w:rsid w:val="00F9016D"/>
    <w:rsid w:val="00F91A63"/>
    <w:rsid w:val="00FA7B24"/>
    <w:rsid w:val="00FB1054"/>
    <w:rsid w:val="00FB4FA0"/>
    <w:rsid w:val="00FB5BF6"/>
    <w:rsid w:val="00FC5150"/>
    <w:rsid w:val="00FD28D1"/>
    <w:rsid w:val="00FD59AC"/>
    <w:rsid w:val="00FE0FCD"/>
    <w:rsid w:val="00FF7E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AADC99"/>
  <w15:docId w15:val="{28FB3ABE-B906-4543-9858-699CA66B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8A"/>
  </w:style>
  <w:style w:type="paragraph" w:styleId="Heading1">
    <w:name w:val="heading 1"/>
    <w:basedOn w:val="Normal"/>
    <w:next w:val="Normal"/>
    <w:link w:val="Heading1Char"/>
    <w:uiPriority w:val="9"/>
    <w:qFormat/>
    <w:rsid w:val="001F6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AB9"/>
  </w:style>
  <w:style w:type="paragraph" w:styleId="Footer">
    <w:name w:val="footer"/>
    <w:basedOn w:val="Normal"/>
    <w:link w:val="FooterChar"/>
    <w:uiPriority w:val="99"/>
    <w:unhideWhenUsed/>
    <w:rsid w:val="0084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AB9"/>
  </w:style>
  <w:style w:type="paragraph" w:styleId="ListParagraph">
    <w:name w:val="List Paragraph"/>
    <w:basedOn w:val="Normal"/>
    <w:uiPriority w:val="34"/>
    <w:qFormat/>
    <w:rsid w:val="002A10EC"/>
    <w:pPr>
      <w:ind w:left="720"/>
      <w:contextualSpacing/>
    </w:pPr>
  </w:style>
  <w:style w:type="character" w:styleId="CommentReference">
    <w:name w:val="annotation reference"/>
    <w:basedOn w:val="DefaultParagraphFont"/>
    <w:uiPriority w:val="99"/>
    <w:semiHidden/>
    <w:unhideWhenUsed/>
    <w:rsid w:val="00965D8E"/>
    <w:rPr>
      <w:sz w:val="16"/>
      <w:szCs w:val="16"/>
    </w:rPr>
  </w:style>
  <w:style w:type="paragraph" w:styleId="CommentText">
    <w:name w:val="annotation text"/>
    <w:basedOn w:val="Normal"/>
    <w:link w:val="CommentTextChar"/>
    <w:uiPriority w:val="99"/>
    <w:semiHidden/>
    <w:unhideWhenUsed/>
    <w:rsid w:val="00965D8E"/>
    <w:pPr>
      <w:spacing w:line="240" w:lineRule="auto"/>
    </w:pPr>
    <w:rPr>
      <w:sz w:val="20"/>
      <w:szCs w:val="20"/>
    </w:rPr>
  </w:style>
  <w:style w:type="character" w:customStyle="1" w:styleId="CommentTextChar">
    <w:name w:val="Comment Text Char"/>
    <w:basedOn w:val="DefaultParagraphFont"/>
    <w:link w:val="CommentText"/>
    <w:uiPriority w:val="99"/>
    <w:semiHidden/>
    <w:rsid w:val="00965D8E"/>
    <w:rPr>
      <w:sz w:val="20"/>
      <w:szCs w:val="20"/>
    </w:rPr>
  </w:style>
  <w:style w:type="paragraph" w:styleId="CommentSubject">
    <w:name w:val="annotation subject"/>
    <w:basedOn w:val="CommentText"/>
    <w:next w:val="CommentText"/>
    <w:link w:val="CommentSubjectChar"/>
    <w:uiPriority w:val="99"/>
    <w:semiHidden/>
    <w:unhideWhenUsed/>
    <w:rsid w:val="00965D8E"/>
    <w:rPr>
      <w:b/>
      <w:bCs/>
    </w:rPr>
  </w:style>
  <w:style w:type="character" w:customStyle="1" w:styleId="CommentSubjectChar">
    <w:name w:val="Comment Subject Char"/>
    <w:basedOn w:val="CommentTextChar"/>
    <w:link w:val="CommentSubject"/>
    <w:uiPriority w:val="99"/>
    <w:semiHidden/>
    <w:rsid w:val="00965D8E"/>
    <w:rPr>
      <w:b/>
      <w:bCs/>
      <w:sz w:val="20"/>
      <w:szCs w:val="20"/>
    </w:rPr>
  </w:style>
  <w:style w:type="paragraph" w:styleId="BalloonText">
    <w:name w:val="Balloon Text"/>
    <w:basedOn w:val="Normal"/>
    <w:link w:val="BalloonTextChar"/>
    <w:uiPriority w:val="99"/>
    <w:semiHidden/>
    <w:unhideWhenUsed/>
    <w:rsid w:val="00965D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D8E"/>
    <w:rPr>
      <w:rFonts w:ascii="Segoe UI" w:hAnsi="Segoe UI" w:cs="Segoe UI"/>
      <w:sz w:val="18"/>
      <w:szCs w:val="18"/>
    </w:rPr>
  </w:style>
  <w:style w:type="table" w:styleId="TableGrid">
    <w:name w:val="Table Grid"/>
    <w:basedOn w:val="TableNormal"/>
    <w:uiPriority w:val="39"/>
    <w:rsid w:val="00965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2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E0873"/>
  </w:style>
  <w:style w:type="paragraph" w:styleId="Revision">
    <w:name w:val="Revision"/>
    <w:hidden/>
    <w:uiPriority w:val="99"/>
    <w:semiHidden/>
    <w:rsid w:val="00007E01"/>
    <w:pPr>
      <w:spacing w:after="0" w:line="240" w:lineRule="auto"/>
    </w:pPr>
  </w:style>
  <w:style w:type="character" w:styleId="Hyperlink">
    <w:name w:val="Hyperlink"/>
    <w:basedOn w:val="DefaultParagraphFont"/>
    <w:uiPriority w:val="99"/>
    <w:unhideWhenUsed/>
    <w:rsid w:val="002477A8"/>
    <w:rPr>
      <w:color w:val="0563C1" w:themeColor="hyperlink"/>
      <w:u w:val="single"/>
    </w:rPr>
  </w:style>
  <w:style w:type="character" w:styleId="UnresolvedMention">
    <w:name w:val="Unresolved Mention"/>
    <w:basedOn w:val="DefaultParagraphFont"/>
    <w:uiPriority w:val="99"/>
    <w:semiHidden/>
    <w:unhideWhenUsed/>
    <w:rsid w:val="002477A8"/>
    <w:rPr>
      <w:color w:val="605E5C"/>
      <w:shd w:val="clear" w:color="auto" w:fill="E1DFDD"/>
    </w:rPr>
  </w:style>
  <w:style w:type="character" w:customStyle="1" w:styleId="Heading1Char">
    <w:name w:val="Heading 1 Char"/>
    <w:basedOn w:val="DefaultParagraphFont"/>
    <w:link w:val="Heading1"/>
    <w:uiPriority w:val="9"/>
    <w:rsid w:val="001F6C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69660">
      <w:bodyDiv w:val="1"/>
      <w:marLeft w:val="0"/>
      <w:marRight w:val="0"/>
      <w:marTop w:val="0"/>
      <w:marBottom w:val="0"/>
      <w:divBdr>
        <w:top w:val="none" w:sz="0" w:space="0" w:color="auto"/>
        <w:left w:val="none" w:sz="0" w:space="0" w:color="auto"/>
        <w:bottom w:val="none" w:sz="0" w:space="0" w:color="auto"/>
        <w:right w:val="none" w:sz="0" w:space="0" w:color="auto"/>
      </w:divBdr>
    </w:div>
    <w:div w:id="19438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r.ac.uk/media/stirling/services/research/documents/researcher-development-concordat-action-plan-2021-202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CE1A-08E6-4836-8A17-9AF41F6C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Reibig</dc:creator>
  <cp:keywords/>
  <dc:description/>
  <cp:lastModifiedBy>Claire Bradley</cp:lastModifiedBy>
  <cp:revision>8</cp:revision>
  <dcterms:created xsi:type="dcterms:W3CDTF">2022-02-01T12:12:00Z</dcterms:created>
  <dcterms:modified xsi:type="dcterms:W3CDTF">2022-02-01T12:23:00Z</dcterms:modified>
</cp:coreProperties>
</file>