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Checklist: Deviation Classification Decision Tree</w:t>
      </w:r>
    </w:p>
    <w:p>
      <w:r>
        <w:t xml:space="preserve">This is a ready-to-use decision tool. It turns deviation classification into a repeatable sequence instead of a label someone reaches for. Work the questions in order, record each answer, and let the questions decide the class.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 with your own specifics and route the completed checklist into the deviation record. A worked filled specimen follows the tool so you can see how a completed version reads. Verify each cited regulation against the current source before you rely on it.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Document title</w:t>
            </w:r>
          </w:p>
        </w:tc>
        <w:tc>
          <w:tcPr>
            <w:tcW w:type="dxa" w:w="4320"/>
          </w:tcPr>
          <w:p>
            <w:r/>
            <w:r>
              <w:t>Deviation Classification Decision Tree</w:t>
            </w:r>
          </w:p>
        </w:tc>
      </w:tr>
      <w:tr>
        <w:tc>
          <w:tcPr>
            <w:tcW w:type="dxa" w:w="4320"/>
          </w:tcPr>
          <w:p>
            <w:r/>
            <w:r>
              <w:t>Document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CHK-ID, e.g. CHK-QA-021-02&gt;&gt;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version, e.g. 1.0&gt;&gt;</w:t>
            </w:r>
          </w:p>
        </w:tc>
      </w:tr>
      <w:tr>
        <w:tc>
          <w:tcPr>
            <w:tcW w:type="dxa" w:w="4320"/>
          </w:tcPr>
          <w:p>
            <w:r/>
            <w: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effective date&gt;&gt;</w:t>
            </w:r>
          </w:p>
        </w:tc>
      </w:tr>
      <w:tr>
        <w:tc>
          <w:tcPr>
            <w:tcW w:type="dxa" w:w="4320"/>
          </w:tcPr>
          <w:p>
            <w:r/>
            <w:r>
              <w:t>Linked SOP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SOP-ID for deviation management&gt;&gt;</w:t>
            </w:r>
          </w:p>
        </w:tc>
      </w:tr>
      <w:tr>
        <w:tc>
          <w:tcPr>
            <w:tcW w:type="dxa" w:w="4320"/>
          </w:tcPr>
          <w:p>
            <w:r/>
            <w:r>
              <w:t>Used by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roles, e.g. area owner with QA confirmation&gt;&gt;</w:t>
            </w:r>
          </w:p>
        </w:tc>
      </w:tr>
    </w:tbl>
    <w:p/>
    <w:p>
      <w:pPr>
        <w:pStyle w:val="Heading1"/>
      </w:pPr>
      <w:r>
        <w:rPr>
          <w:color w:val="0B2E4F"/>
        </w:rPr>
        <w:t>How to use this tool</w:t>
      </w:r>
    </w:p>
    <w:p>
      <w:r>
        <w:t>Classification sets the urgency and the depth of the investigation, so it has to be honest. Three rules sit above the tree:</w:t>
      </w:r>
    </w:p>
    <w:p>
      <w:pPr>
        <w:pStyle w:val="ListNumber"/>
      </w:pPr>
      <w:r>
        <w:t>Classify on what you know. The class can be provisional at opening and confirmed or revised after the impact assessment, with the change justified.</w:t>
      </w:r>
    </w:p>
    <w:p>
      <w:pPr>
        <w:pStyle w:val="ListNumber"/>
      </w:pPr>
      <w:r>
        <w:t>When the answer is genuinely uncertain, classify up. Downgrading later with documented justification is routine; under-classifying to dodge a full investigation is an inspection finding.</w:t>
      </w:r>
    </w:p>
    <w:p>
      <w:pPr>
        <w:pStyle w:val="ListNumber"/>
      </w:pPr>
      <w:r>
        <w:t>Data integrity overrides product reasoning. Any loss, alteration, or unattributable change of a GMP record raises the class regardless of the apparent product impact.</w:t>
      </w:r>
    </w:p>
    <w:p>
      <w:pPr>
        <w:pStyle w:val="Heading1"/>
      </w:pPr>
      <w:r>
        <w:rPr>
          <w:color w:val="0B2E4F"/>
        </w:rPr>
        <w:t>The decision tree</w:t>
      </w:r>
    </w:p>
    <w:p>
      <w:r>
        <w:t>Work from Q1 downward. Stop at the first class the answers point to, then complete the confirmation block.</w:t>
      </w:r>
    </w:p>
    <w:p>
      <w:r>
        <w:t>```</w:t>
      </w:r>
    </w:p>
    <w:p>
      <w:r>
        <w:t>Q1. Could the event affect patient safety, product efficacy, or the integrity of a GMP record?</w:t>
      </w:r>
    </w:p>
    <w:p>
      <w:r>
        <w:t>NO  -&gt; go to Q4 (likely Minor)</w:t>
      </w:r>
    </w:p>
    <w:p>
      <w:r>
        <w:t>YES -&gt; go to Q2</w:t>
      </w:r>
    </w:p>
    <w:p>
      <w:r>
        <w:t>Q2. Is the potential harm remediable and boundable?</w:t>
      </w:r>
    </w:p>
    <w:p>
      <w:r>
        <w:t>(Can the risk be tested, quantified, and contained, and is the affected</w:t>
      </w:r>
    </w:p>
    <w:p>
      <w:r>
        <w:t>attribute one you can verify?)</w:t>
      </w:r>
    </w:p>
    <w:p>
      <w:r>
        <w:t>NO, or it may be undetectable, irreversible, or it affects a sterility,</w:t>
      </w:r>
    </w:p>
    <w:p>
      <w:r>
        <w:t>identity, sterility-assurance, or strength attribute you cannot verify</w:t>
      </w:r>
    </w:p>
    <w:p>
      <w:r>
        <w:t>-&gt; CRITICAL</w:t>
      </w:r>
    </w:p>
    <w:p>
      <w:r>
        <w:t>YES -&gt; go to Q3</w:t>
      </w:r>
    </w:p>
    <w:p>
      <w:r>
        <w:t>Q3. Does the event have a significant GMP impact on product quality or record integrity?</w:t>
      </w:r>
    </w:p>
    <w:p>
      <w:r>
        <w:t>YES -&gt; MAJOR</w:t>
      </w:r>
    </w:p>
    <w:p>
      <w:r>
        <w:t>NO  -&gt; go to Q4</w:t>
      </w:r>
    </w:p>
    <w:p>
      <w:r>
        <w:t>Q4. Is there any plausible impact on product quality, safety, or a critical record?</w:t>
      </w:r>
    </w:p>
    <w:p>
      <w:r>
        <w:t>NO  -&gt; MINOR</w:t>
      </w:r>
    </w:p>
    <w:p>
      <w:r>
        <w:t>YES -&gt; reconsider from Q1; do not default to Minor to save work</w:t>
      </w:r>
    </w:p>
    <w:p>
      <w:r>
        <w:t>```</w:t>
      </w:r>
    </w:p>
    <w:p>
      <w:pPr>
        <w:pStyle w:val="Heading1"/>
      </w:pPr>
      <w:r>
        <w:rPr>
          <w:color w:val="0B2E4F"/>
        </w:rPr>
        <w:t>Step-by-step checklist</w:t>
      </w:r>
    </w:p>
    <w:p>
      <w:r>
        <w:t>Tick each box and record the answer. The class falls out of the answers.</w:t>
      </w:r>
    </w:p>
    <w:p>
      <w:pPr>
        <w:pStyle w:val="Heading2"/>
      </w:pPr>
      <w:r>
        <w:rPr>
          <w:color w:val="0B2E4F"/>
        </w:rPr>
        <w:t>Step 1: Patient and product</w:t>
      </w:r>
    </w:p>
    <w:p>
      <w:pPr>
        <w:pStyle w:val="ListBullet"/>
      </w:pPr>
      <w:r>
        <w:t xml:space="preserve">[ ] Could the event affect patient safety? </w:t>
      </w:r>
      <w:r>
        <w:rPr>
          <w:rFonts w:ascii="Consolas" w:hAnsi="Consolas"/>
          <w:sz w:val="20"/>
        </w:rPr>
        <w:t>&lt;&lt;FILL: Yes / No, with one-line basis&gt;&gt;</w:t>
      </w:r>
    </w:p>
    <w:p>
      <w:pPr>
        <w:pStyle w:val="ListBullet"/>
      </w:pPr>
      <w:r>
        <w:t xml:space="preserve">[ ] Could it affect product efficacy, strength, identity, or quality? </w:t>
      </w:r>
      <w:r>
        <w:rPr>
          <w:rFonts w:ascii="Consolas" w:hAnsi="Consolas"/>
          <w:sz w:val="20"/>
        </w:rPr>
        <w:t>&lt;&lt;FILL&gt;&gt;</w:t>
      </w:r>
    </w:p>
    <w:p>
      <w:pPr>
        <w:pStyle w:val="ListBullet"/>
      </w:pPr>
      <w:r>
        <w:t xml:space="preserve">[ ] Could it affect the integrity of a GMP record (loss, alteration, unattributable change)? </w:t>
      </w:r>
      <w:r>
        <w:rPr>
          <w:rFonts w:ascii="Consolas" w:hAnsi="Consolas"/>
          <w:sz w:val="20"/>
        </w:rPr>
        <w:t>&lt;&lt;FILL&gt;&gt;</w:t>
      </w:r>
    </w:p>
    <w:p>
      <w:r>
        <w:t>If all three are clearly No, proceed to Step 4. If any is Yes or uncertain, proceed to Step 2.</w:t>
      </w:r>
    </w:p>
    <w:p>
      <w:pPr>
        <w:pStyle w:val="Heading2"/>
      </w:pPr>
      <w:r>
        <w:rPr>
          <w:color w:val="0B2E4F"/>
        </w:rPr>
        <w:t>Step 2: Is the harm boundable</w:t>
      </w:r>
    </w:p>
    <w:p>
      <w:pPr>
        <w:pStyle w:val="ListBullet"/>
      </w:pPr>
      <w:r>
        <w:t xml:space="preserve">[ ] Can the risk be tested or measured? </w:t>
      </w:r>
      <w:r>
        <w:rPr>
          <w:rFonts w:ascii="Consolas" w:hAnsi="Consolas"/>
          <w:sz w:val="20"/>
        </w:rPr>
        <w:t>&lt;&lt;FILL&gt;&gt;</w:t>
      </w:r>
    </w:p>
    <w:p>
      <w:pPr>
        <w:pStyle w:val="ListBullet"/>
      </w:pPr>
      <w:r>
        <w:t xml:space="preserve">[ ] Can the affected scope be contained and the attribute verified? </w:t>
      </w:r>
      <w:r>
        <w:rPr>
          <w:rFonts w:ascii="Consolas" w:hAnsi="Consolas"/>
          <w:sz w:val="20"/>
        </w:rPr>
        <w:t>&lt;&lt;FILL&gt;&gt;</w:t>
      </w:r>
    </w:p>
    <w:p>
      <w:pPr>
        <w:pStyle w:val="ListBullet"/>
      </w:pPr>
      <w:r>
        <w:t xml:space="preserve">[ ] Is the affected attribute one of sterility, sterility assurance, identity, or strength that you cannot fully verify after the fact? </w:t>
      </w:r>
      <w:r>
        <w:rPr>
          <w:rFonts w:ascii="Consolas" w:hAnsi="Consolas"/>
          <w:sz w:val="20"/>
        </w:rPr>
        <w:t>&lt;&lt;FILL&gt;&gt;</w:t>
      </w:r>
    </w:p>
    <w:p>
      <w:r>
        <w:t>If the harm may be undetectable, irreversible, or affects an unverifiable critical attribute, classify CRITICAL and skip to the confirmation block. Otherwise proceed to Step 3.</w:t>
      </w:r>
    </w:p>
    <w:p>
      <w:pPr>
        <w:pStyle w:val="Heading2"/>
      </w:pPr>
      <w:r>
        <w:rPr>
          <w:color w:val="0B2E4F"/>
        </w:rPr>
        <w:t>Step 3: Significance of the GMP impact</w:t>
      </w:r>
    </w:p>
    <w:p>
      <w:pPr>
        <w:pStyle w:val="ListBullet"/>
      </w:pPr>
      <w:r>
        <w:t xml:space="preserve">[ ] Is this a significant departure that may affect product quality or record integrity, but the risk can be assessed and may be manageable? </w:t>
      </w:r>
      <w:r>
        <w:rPr>
          <w:rFonts w:ascii="Consolas" w:hAnsi="Consolas"/>
          <w:sz w:val="20"/>
        </w:rPr>
        <w:t>&lt;&lt;FILL&gt;&gt;</w:t>
      </w:r>
    </w:p>
    <w:p>
      <w:r>
        <w:t>If Yes, classify MAJOR and proceed to the confirmation block. If the impact is genuinely low and procedural with no plausible product or record consequence, proceed to Step 4.</w:t>
      </w:r>
    </w:p>
    <w:p>
      <w:pPr>
        <w:pStyle w:val="Heading2"/>
      </w:pPr>
      <w:r>
        <w:rPr>
          <w:color w:val="0B2E4F"/>
        </w:rPr>
        <w:t>Step 4: Minor test</w:t>
      </w:r>
    </w:p>
    <w:p>
      <w:pPr>
        <w:pStyle w:val="ListBullet"/>
      </w:pPr>
      <w:r>
        <w:t xml:space="preserve">[ ] Is the event a low-risk procedural or clerical error with no likely impact on product quality, safety, or a critical record? </w:t>
      </w:r>
      <w:r>
        <w:rPr>
          <w:rFonts w:ascii="Consolas" w:hAnsi="Consolas"/>
          <w:sz w:val="20"/>
        </w:rPr>
        <w:t>&lt;&lt;FILL&gt;&gt;</w:t>
      </w:r>
    </w:p>
    <w:p>
      <w:r>
        <w:t>If Yes, classify MINOR. If you find yourself choosing Minor to avoid a full investigation, return to Step 1; that pressure is the exact failure this tool guards against.</w:t>
      </w:r>
    </w:p>
    <w:p>
      <w:pPr>
        <w:pStyle w:val="Heading2"/>
      </w:pPr>
      <w:r>
        <w:rPr>
          <w:color w:val="0B2E4F"/>
        </w:rPr>
        <w:t>Confirmation block (complete for every classification)</w:t>
      </w:r>
    </w:p>
    <w:p>
      <w:pPr>
        <w:pStyle w:val="ListBullet"/>
      </w:pPr>
      <w:r>
        <w:t xml:space="preserve">[ ] Data-integrity override applied where relevant (record-integrity impact pushes the class up). </w:t>
      </w:r>
      <w:r>
        <w:rPr>
          <w:rFonts w:ascii="Consolas" w:hAnsi="Consolas"/>
          <w:sz w:val="20"/>
        </w:rPr>
        <w:t>&lt;&lt;FILL: applied / not applicable&gt;&gt;</w:t>
      </w:r>
    </w:p>
    <w:p>
      <w:pPr>
        <w:pStyle w:val="ListBullet"/>
      </w:pPr>
      <w:r>
        <w:t xml:space="preserve">[ ] Provisional class recorded at opening. </w:t>
      </w:r>
      <w:r>
        <w:rPr>
          <w:rFonts w:ascii="Consolas" w:hAnsi="Consolas"/>
          <w:sz w:val="20"/>
        </w:rPr>
        <w:t>&lt;&lt;FILL: Critical / Major / Minor&gt;&gt;</w:t>
      </w:r>
    </w:p>
    <w:p>
      <w:pPr>
        <w:pStyle w:val="ListBullet"/>
      </w:pPr>
      <w:r>
        <w:t xml:space="preserve">[ ] Class confirmed or revised after impact assessment, with justification if changed. </w:t>
      </w:r>
      <w:r>
        <w:rPr>
          <w:rFonts w:ascii="Consolas" w:hAnsi="Consolas"/>
          <w:sz w:val="20"/>
        </w:rPr>
        <w:t>&lt;&lt;FILL&gt;&gt;</w:t>
      </w:r>
    </w:p>
    <w:p>
      <w:pPr>
        <w:pStyle w:val="ListBullet"/>
      </w:pPr>
      <w:r>
        <w:t xml:space="preserve">[ ] Classification is consistent with the investigation depth and the disposition that followed. </w:t>
      </w:r>
      <w:r>
        <w:rPr>
          <w:rFonts w:ascii="Consolas" w:hAnsi="Consolas"/>
          <w:sz w:val="20"/>
        </w:rPr>
        <w:t>&lt;&lt;FILL: Yes / No&gt;&gt;</w:t>
      </w:r>
    </w:p>
    <w:p>
      <w:pPr>
        <w:pStyle w:val="ListBullet"/>
      </w:pPr>
      <w:r>
        <w:t xml:space="preserve">[ ] Classified by (name, signature, date). </w:t>
      </w:r>
      <w:r>
        <w:rPr>
          <w:rFonts w:ascii="Consolas" w:hAnsi="Consolas"/>
          <w:sz w:val="20"/>
        </w:rPr>
        <w:t>&lt;&lt;FILL&gt;&gt;</w:t>
      </w:r>
    </w:p>
    <w:p>
      <w:pPr>
        <w:pStyle w:val="ListBullet"/>
      </w:pPr>
      <w:r>
        <w:t xml:space="preserve">[ ] QA confirmation (name, signature, date). </w:t>
      </w:r>
      <w:r>
        <w:rPr>
          <w:rFonts w:ascii="Consolas" w:hAnsi="Consolas"/>
          <w:sz w:val="20"/>
        </w:rPr>
        <w:t>&lt;&lt;FILL&gt;&gt;</w:t>
      </w:r>
    </w:p>
    <w:p>
      <w:pPr>
        <w:pStyle w:val="Heading1"/>
      </w:pPr>
      <w:r>
        <w:rPr>
          <w:color w:val="0B2E4F"/>
        </w:rPr>
        <w:t>Reference examples by class</w:t>
      </w:r>
    </w:p>
    <w:p>
      <w:r>
        <w:t>Use these as a calibration aid, not as a substitute for working the tree.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Representative events</w:t>
            </w:r>
          </w:p>
        </w:tc>
      </w:tr>
      <w:tr>
        <w:tc>
          <w:tcPr>
            <w:tcW w:type="dxa" w:w="4320"/>
          </w:tcPr>
          <w:p>
            <w:r/>
            <w:r>
              <w:t>Critical</w:t>
            </w:r>
          </w:p>
        </w:tc>
        <w:tc>
          <w:tcPr>
            <w:tcW w:type="dxa" w:w="4320"/>
          </w:tcPr>
          <w:p>
            <w:r/>
            <w:r>
              <w:t>Sterile product made after a major air-handling failure; batch made with an unapproved substituted active ingredient; confirmed contamination of filled product; deletion of GMP data with no recoverable record.</w:t>
            </w:r>
          </w:p>
        </w:tc>
      </w:tr>
      <w:tr>
        <w:tc>
          <w:tcPr>
            <w:tcW w:type="dxa" w:w="4320"/>
          </w:tcPr>
          <w:p>
            <w:r/>
            <w:r>
              <w:t>Major</w:t>
            </w:r>
          </w:p>
        </w:tc>
        <w:tc>
          <w:tcPr>
            <w:tcW w:type="dxa" w:w="4320"/>
          </w:tcPr>
          <w:p>
            <w:r/>
            <w:r>
              <w:t>A process parameter exceeded its limit but stayed within a wider justified range; a required signature missing although the activity was performed correctly; a calibration overdue but the instrument later confirmed in tolerance.</w:t>
            </w:r>
          </w:p>
        </w:tc>
      </w:tr>
      <w:tr>
        <w:tc>
          <w:tcPr>
            <w:tcW w:type="dxa" w:w="4320"/>
          </w:tcPr>
          <w:p>
            <w:r/>
            <w:r>
              <w:t>Minor</w:t>
            </w:r>
          </w:p>
        </w:tc>
        <w:tc>
          <w:tcPr>
            <w:tcW w:type="dxa" w:w="4320"/>
          </w:tcPr>
          <w:p>
            <w:r/>
            <w:r>
              <w:t>A date written in the wrong format; a transcription error on a non-critical field that does not affect the result; a minor administrative slip.</w:t>
            </w:r>
          </w:p>
        </w:tc>
      </w:tr>
    </w:tbl>
    <w:p/>
    <w:p>
      <w:pPr>
        <w:pStyle w:val="Heading1"/>
      </w:pPr>
      <w:r>
        <w:rPr>
          <w:color w:val="0B2E4F"/>
        </w:rPr>
        <w:t>Acceptance criteria</w:t>
      </w:r>
    </w:p>
    <w:p>
      <w:r>
        <w:t>A classification is acceptable when all of the following are true:</w:t>
      </w:r>
    </w:p>
    <w:p>
      <w:pPr>
        <w:pStyle w:val="ListBullet"/>
      </w:pPr>
      <w:r>
        <w:t>The questions were worked in order and each answer is recorded with a one-line basis.</w:t>
      </w:r>
    </w:p>
    <w:p>
      <w:pPr>
        <w:pStyle w:val="ListBullet"/>
      </w:pPr>
      <w:r>
        <w:t>The data-integrity override was considered, and any record-integrity impact raised the class.</w:t>
      </w:r>
    </w:p>
    <w:p>
      <w:pPr>
        <w:pStyle w:val="ListBullet"/>
      </w:pPr>
      <w:r>
        <w:t>Uncertainty was resolved by classifying up, not down.</w:t>
      </w:r>
    </w:p>
    <w:p>
      <w:pPr>
        <w:pStyle w:val="ListBullet"/>
      </w:pPr>
      <w:r>
        <w:t>The final class is consistent with the investigation depth and the disposition.</w:t>
      </w:r>
    </w:p>
    <w:p>
      <w:pPr>
        <w:pStyle w:val="ListBullet"/>
      </w:pPr>
      <w:r>
        <w:t>The classification is signed by the classifier and confirmed by QA.</w:t>
      </w:r>
    </w:p>
    <w:p>
      <w:pPr>
        <w:pStyle w:val="Heading1"/>
      </w:pPr>
      <w:r>
        <w:rPr>
          <w:color w:val="0B2E4F"/>
        </w:rPr>
        <w:t>References</w:t>
      </w:r>
    </w:p>
    <w:p>
      <w:pPr>
        <w:ind w:left="432"/>
      </w:pPr>
      <w:r>
        <w:rPr>
          <w:i/>
          <w:color w:val="6B7076"/>
        </w:rPr>
        <w:t>21 CFR 211.192 (investigation of discrepancies and batch or specification failures, distributed or not).</w:t>
      </w:r>
    </w:p>
    <w:p>
      <w:pPr>
        <w:ind w:left="432"/>
      </w:pPr>
      <w:r>
        <w:rPr>
          <w:i/>
          <w:color w:val="6B7076"/>
        </w:rPr>
        <w:t>ICH Q9, Quality Risk Management (risk-based severity, detectability, and classification logic).</w:t>
      </w:r>
    </w:p>
    <w:p>
      <w:pPr>
        <w:ind w:left="432"/>
      </w:pPr>
      <w:r>
        <w:rPr>
          <w:i/>
          <w:color w:val="6B7076"/>
        </w:rPr>
        <w:t>EU GMP (EudraLex Volume 4), Part I, Chapter 1, Pharmaceutical Quality System.</w:t>
      </w:r>
    </w:p>
    <w:p>
      <w:pPr>
        <w:ind w:left="432"/>
      </w:pPr>
      <w:r>
        <w:rPr>
          <w:i/>
          <w:color w:val="6B7076"/>
        </w:rPr>
        <w:t>ICH Q10, Pharmaceutical Quality System.</w:t>
      </w:r>
    </w:p>
    <w:p>
      <w:pPr>
        <w:ind w:left="432"/>
      </w:pPr>
      <w:r>
        <w:rPr>
          <w:i/>
          <w:color w:val="6B7076"/>
        </w:rPr>
        <w:t>21 CFR Part 11 and EU GMP Annex 11 (data-integrity considerations that raise classification).</w:t>
      </w:r>
    </w:p>
    <w:p>
      <w:pPr>
        <w:ind w:left="432"/>
      </w:pPr>
      <w:r>
        <w:rPr>
          <w:i/>
          <w:color w:val="6B7076"/>
        </w:rPr>
        <w:t>21 CFR Part 820 / the Quality Management System Regulation incorporating ISO 13485 (nonconformance severity for devices).</w:t>
      </w:r>
    </w:p>
    <w:p>
      <w:r>
        <w:t>Confirm the current version and clause numbers of each reference before issue.</w:t>
      </w:r>
    </w:p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The following shows the tool worked for an example environmental monitoring exceedance, so you can see how the answers drive the class. The company and numbers are illustrative; replace them with your own.</w:t>
      </w:r>
    </w:p>
    <w:p>
      <w:pPr>
        <w:pStyle w:val="Heading2"/>
      </w:pPr>
      <w:r>
        <w:rPr>
          <w:color w:val="0B2E4F"/>
        </w:rPr>
        <w:t>Event</w:t>
      </w:r>
    </w:p>
    <w:p>
      <w:r>
        <w:t>Viable airborne count at sample point EM-04 in filling room Zone B returned 12 CFU on 01 June 2026 against an action limit of 5 CFU.</w:t>
      </w:r>
    </w:p>
    <w:p>
      <w:pPr>
        <w:pStyle w:val="Heading2"/>
      </w:pPr>
      <w:r>
        <w:rPr>
          <w:color w:val="0B2E4F"/>
        </w:rPr>
        <w:t>Step 1: Patient and product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Could it affect patient safety?</w:t>
            </w:r>
          </w:p>
        </w:tc>
        <w:tc>
          <w:tcPr>
            <w:tcW w:type="dxa" w:w="4320"/>
          </w:tcPr>
          <w:p>
            <w:r/>
            <w:r>
              <w:t>Yes. An exceedance in an aseptic filling zone bears on sterility assurance.</w:t>
            </w:r>
          </w:p>
        </w:tc>
      </w:tr>
      <w:tr>
        <w:tc>
          <w:tcPr>
            <w:tcW w:type="dxa" w:w="4320"/>
          </w:tcPr>
          <w:p>
            <w:r/>
            <w:r>
              <w:t>Could it affect product quality?</w:t>
            </w:r>
          </w:p>
        </w:tc>
        <w:tc>
          <w:tcPr>
            <w:tcW w:type="dxa" w:w="4320"/>
          </w:tcPr>
          <w:p>
            <w:r/>
            <w:r>
              <w:t>Yes. Filled units exposed during the window could be at risk.</w:t>
            </w:r>
          </w:p>
        </w:tc>
      </w:tr>
      <w:tr>
        <w:tc>
          <w:tcPr>
            <w:tcW w:type="dxa" w:w="4320"/>
          </w:tcPr>
          <w:p>
            <w:r/>
            <w:r>
              <w:t>Could it affect record integrity?</w:t>
            </w:r>
          </w:p>
        </w:tc>
        <w:tc>
          <w:tcPr>
            <w:tcW w:type="dxa" w:w="4320"/>
          </w:tcPr>
          <w:p>
            <w:r/>
            <w:r>
              <w:t>No. The monitoring data is intact.</w:t>
            </w:r>
          </w:p>
        </w:tc>
      </w:tr>
    </w:tbl>
    <w:p/>
    <w:p>
      <w:r>
        <w:t>Result: at least one Yes, proceed to Step 2.</w:t>
      </w:r>
    </w:p>
    <w:p>
      <w:pPr>
        <w:pStyle w:val="Heading2"/>
      </w:pPr>
      <w:r>
        <w:rPr>
          <w:color w:val="0B2E4F"/>
        </w:rPr>
        <w:t>Step 2: Is the harm boundable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Can the risk be tested or measured?</w:t>
            </w:r>
          </w:p>
        </w:tc>
        <w:tc>
          <w:tcPr>
            <w:tcW w:type="dxa" w:w="4320"/>
          </w:tcPr>
          <w:p>
            <w:r/>
            <w:r>
              <w:t>Partly. Sterility testing and media-fill history inform it, but sterility cannot be proven on every unit.</w:t>
            </w:r>
          </w:p>
        </w:tc>
      </w:tr>
      <w:tr>
        <w:tc>
          <w:tcPr>
            <w:tcW w:type="dxa" w:w="4320"/>
          </w:tcPr>
          <w:p>
            <w:r/>
            <w:r>
              <w:t>Can the scope be contained and the attribute verified?</w:t>
            </w:r>
          </w:p>
        </w:tc>
        <w:tc>
          <w:tcPr>
            <w:tcW w:type="dxa" w:w="4320"/>
          </w:tcPr>
          <w:p>
            <w:r/>
            <w:r>
              <w:t>The affected fill window is identifiable, but sterility of individual units cannot be fully verified after the fact.</w:t>
            </w:r>
          </w:p>
        </w:tc>
      </w:tr>
      <w:tr>
        <w:tc>
          <w:tcPr>
            <w:tcW w:type="dxa" w:w="4320"/>
          </w:tcPr>
          <w:p>
            <w:r/>
            <w:r>
              <w:t>Is the attribute one of sterility assurance you cannot fully verify?</w:t>
            </w:r>
          </w:p>
        </w:tc>
        <w:tc>
          <w:tcPr>
            <w:tcW w:type="dxa" w:w="4320"/>
          </w:tcPr>
          <w:p>
            <w:r/>
            <w:r>
              <w:t>Yes.</w:t>
            </w:r>
          </w:p>
        </w:tc>
      </w:tr>
    </w:tbl>
    <w:p/>
    <w:p>
      <w:r>
        <w:t>Result: the affected attribute is sterility assurance, which cannot be fully verified after the fact. Classify CRITICAL.</w:t>
      </w:r>
    </w:p>
    <w:p>
      <w:pPr>
        <w:pStyle w:val="Heading2"/>
      </w:pPr>
      <w:r>
        <w:rPr>
          <w:color w:val="0B2E4F"/>
        </w:rPr>
        <w:t>Confirmation block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Data-integrity override applied</w:t>
            </w:r>
          </w:p>
        </w:tc>
        <w:tc>
          <w:tcPr>
            <w:tcW w:type="dxa" w:w="4320"/>
          </w:tcPr>
          <w:p>
            <w:r/>
            <w:r>
              <w:t>Not applicable (data intact).</w:t>
            </w:r>
          </w:p>
        </w:tc>
      </w:tr>
      <w:tr>
        <w:tc>
          <w:tcPr>
            <w:tcW w:type="dxa" w:w="4320"/>
          </w:tcPr>
          <w:p>
            <w:r/>
            <w:r>
              <w:t>Provisional class at opening</w:t>
            </w:r>
          </w:p>
        </w:tc>
        <w:tc>
          <w:tcPr>
            <w:tcW w:type="dxa" w:w="4320"/>
          </w:tcPr>
          <w:p>
            <w:r/>
            <w:r>
              <w:t>Major (set before the sterility-assurance judgment).</w:t>
            </w:r>
          </w:p>
        </w:tc>
      </w:tr>
      <w:tr>
        <w:tc>
          <w:tcPr>
            <w:tcW w:type="dxa" w:w="4320"/>
          </w:tcPr>
          <w:p>
            <w:r/>
            <w:r>
              <w:t>Class confirmed or revised</w:t>
            </w:r>
          </w:p>
        </w:tc>
        <w:tc>
          <w:tcPr>
            <w:tcW w:type="dxa" w:w="4320"/>
          </w:tcPr>
          <w:p>
            <w:r/>
            <w:r>
              <w:t>Revised to Critical. Justification: the exceedance sits in an aseptic zone and bears on sterility assurance, which cannot be verified unit by unit.</w:t>
            </w:r>
          </w:p>
        </w:tc>
      </w:tr>
      <w:tr>
        <w:tc>
          <w:tcPr>
            <w:tcW w:type="dxa" w:w="4320"/>
          </w:tcPr>
          <w:p>
            <w:r/>
            <w:r>
              <w:t>Consistent with investigation and disposition</w:t>
            </w:r>
          </w:p>
        </w:tc>
        <w:tc>
          <w:tcPr>
            <w:tcW w:type="dxa" w:w="4320"/>
          </w:tcPr>
          <w:p>
            <w:r/>
            <w:r>
              <w:t>Yes. Full investigation opened; affected units held pending disposition.</w:t>
            </w:r>
          </w:p>
        </w:tc>
      </w:tr>
      <w:tr>
        <w:tc>
          <w:tcPr>
            <w:tcW w:type="dxa" w:w="4320"/>
          </w:tcPr>
          <w:p>
            <w:r/>
            <w:r>
              <w:t>Classified by</w:t>
            </w:r>
          </w:p>
        </w:tc>
        <w:tc>
          <w:tcPr>
            <w:tcW w:type="dxa" w:w="4320"/>
          </w:tcPr>
          <w:p>
            <w:r/>
            <w:r>
              <w:t>A. Patel, signed, 01 June 2026</w:t>
            </w:r>
          </w:p>
        </w:tc>
      </w:tr>
      <w:tr>
        <w:tc>
          <w:tcPr>
            <w:tcW w:type="dxa" w:w="4320"/>
          </w:tcPr>
          <w:p>
            <w:r/>
            <w:r>
              <w:t>QA confirmation</w:t>
            </w:r>
          </w:p>
        </w:tc>
        <w:tc>
          <w:tcPr>
            <w:tcW w:type="dxa" w:w="4320"/>
          </w:tcPr>
          <w:p>
            <w:r/>
            <w:r>
              <w:t>R. Gomez, signed, 01 June 2026</w:t>
            </w:r>
          </w:p>
        </w:tc>
      </w:tr>
    </w:tbl>
    <w:p/>
    <w:p>
      <w:r>
        <w:t>In this example the provisional Major was raised to Critical the moment the tree reached the unverifiable sterility-assurance attribute. That is the tool working as intended: the questions, not the desire for a quick close, set the class. The opposite path, leaving it at Major or downgrading it to Minor to avoid a full investigation, is exactly the under-classification an inspector escalates hard.</w:t>
      </w:r>
    </w:p>
    <w:p>
      <w:pPr>
        <w:pStyle w:val="Heading1"/>
      </w:pPr>
      <w:r>
        <w:rPr>
          <w:color w:val="0B2E4F"/>
        </w:rPr>
        <w:t>Common inspection findings this checklist prevents</w:t>
      </w:r>
    </w:p>
    <w:p>
      <w:pPr>
        <w:pStyle w:val="ListBullet"/>
      </w:pPr>
      <w:r>
        <w:t>A critical process deviation classified as "minor" with no investigation behind it.</w:t>
      </w:r>
    </w:p>
    <w:p>
      <w:pPr>
        <w:pStyle w:val="ListBullet"/>
      </w:pPr>
      <w:r>
        <w:t>Classification recorded as a label with no basis and no link to the impact assessment.</w:t>
      </w:r>
    </w:p>
    <w:p>
      <w:pPr>
        <w:pStyle w:val="ListBullet"/>
      </w:pPr>
      <w:r>
        <w:t>A record-integrity event classified only on product impact, missing the data-integrity override.</w:t>
      </w:r>
    </w:p>
    <w:p>
      <w:pPr>
        <w:pStyle w:val="ListBullet"/>
      </w:pPr>
      <w:r>
        <w:t>Uncertainty resolved by classifying down to avoid the workload of a full investigation.</w:t>
      </w:r>
    </w:p>
    <w:p>
      <w:pPr>
        <w:pStyle w:val="ListBullet"/>
      </w:pPr>
      <w:r>
        <w:t>A class that does not match the investigation depth or the disposition that followed.</w:t>
      </w:r>
    </w:p>
    <w:p>
      <w:pPr>
        <w:pStyle w:val="Heading1"/>
      </w:pPr>
      <w:r>
        <w:rPr>
          <w:color w:val="0B2E4F"/>
        </w:rPr>
        <w:t>How to adapt this checklist</w:t>
      </w:r>
    </w:p>
    <w:p>
      <w:pPr>
        <w:pStyle w:val="ListNumber"/>
      </w:pPr>
      <w:r>
        <w:t>Set your document number, linked SOP, and effective date in the header.</w:t>
      </w:r>
    </w:p>
    <w:p>
      <w:pPr>
        <w:pStyle w:val="ListNumber"/>
      </w:pPr>
      <w:r>
        <w:t>If your tiers differ in number or naming, map them onto the Critical, Major, Minor questions and keep the sequence and the data-integrity override.</w:t>
      </w:r>
    </w:p>
    <w:p>
      <w:pPr>
        <w:pStyle w:val="ListNumber"/>
      </w:pPr>
      <w:r>
        <w:t>Replace the reference examples with events from your own products and processes so the calibration is real to your site.</w:t>
      </w:r>
    </w:p>
    <w:p>
      <w:pPr>
        <w:pStyle w:val="ListNumber"/>
      </w:pPr>
      <w:r>
        <w:t>If a formal severity-times-detectability scoring is used in your risk procedure, attach it as the basis for Step 2 rather than replacing the tree.</w:t>
      </w:r>
    </w:p>
    <w:p>
      <w:pPr>
        <w:pStyle w:val="ListNumber"/>
      </w:pPr>
      <w:r>
        <w:t>Confirm every regulation in the references against the current published version before issue.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Checklist: Deviation Classification Decision Tree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