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Record: Primary Mode of Action (PMOA) Determination</w:t>
      </w:r>
    </w:p>
    <w:p>
      <w:r>
        <w:t xml:space="preserve">This is a ready-to-use record for documenting a primary mode of action (PMOA) determination. The PMOA sets the lead FDA center and the base cGMP operating system, so it is the first decision a combination-product program writes down.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placeholder, set your document numbers and dates, and route it through document control. A worked filled specimen follows.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REC-ID&gt;&gt;</w:t>
            </w:r>
          </w:p>
        </w:tc>
      </w:tr>
      <w:tr>
        <w:tc>
          <w:tcPr>
            <w:tcW w:type="dxa" w:w="4320"/>
          </w:tcPr>
          <w:p>
            <w:r/>
            <w: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Version /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Prepared by (Regulatory)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Approved by (Quality / Regulatory head)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1. Product and constituents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Product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Configuration (21 CFR 3.2(e))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single-entity / co-packaged / cross-labeled&gt;&gt;</w:t>
            </w:r>
          </w:p>
        </w:tc>
      </w:tr>
      <w:tr>
        <w:tc>
          <w:tcPr>
            <w:tcW w:type="dxa" w:w="4320"/>
          </w:tcPr>
          <w:p>
            <w:r/>
            <w:r>
              <w:t>Constituent 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drug / biologic / device, description&gt;&gt;</w:t>
            </w:r>
          </w:p>
        </w:tc>
      </w:tr>
      <w:tr>
        <w:tc>
          <w:tcPr>
            <w:tcW w:type="dxa" w:w="4320"/>
          </w:tcPr>
          <w:p>
            <w:r/>
            <w:r>
              <w:t>Constituent 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Intended use / indication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2. Mode of action of each constituent</w:t>
      </w:r>
    </w:p>
    <w:p>
      <w:r>
        <w:t>The mode of action is how a constituent achieves its intended therapeutic effect.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Constituent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 of action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Contribution to the therapeutic 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primary / supporting&gt;&gt;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3. PMOA determination (21 CFR 3.2(m))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Most important therapeutic action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which mode provides it&gt;&gt;</w:t>
            </w:r>
          </w:p>
        </w:tc>
      </w:tr>
      <w:tr>
        <w:tc>
          <w:tcPr>
            <w:tcW w:type="dxa" w:w="4320"/>
          </w:tcPr>
          <w:p>
            <w:r/>
            <w:r>
              <w:t>PMOA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drug / biologic / device&gt;&gt;</w:t>
            </w:r>
          </w:p>
        </w:tc>
      </w:tr>
      <w:tr>
        <w:tc>
          <w:tcPr>
            <w:tcW w:type="dxa" w:w="4320"/>
          </w:tcPr>
          <w:p>
            <w:r/>
            <w:r>
              <w:t>Rationale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why this is the most important action; reasoning, not assertion&gt;&gt;</w:t>
            </w:r>
          </w:p>
        </w:tc>
      </w:tr>
      <w:tr>
        <w:tc>
          <w:tcPr>
            <w:tcW w:type="dxa" w:w="4320"/>
          </w:tcPr>
          <w:p>
            <w:r/>
            <w:r>
              <w:t>Was PMOA unclear?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yes/no&gt;&gt;</w:t>
            </w:r>
          </w:p>
        </w:tc>
      </w:tr>
      <w:tr>
        <w:tc>
          <w:tcPr>
            <w:tcW w:type="dxa" w:w="4320"/>
          </w:tcPr>
          <w:p>
            <w:r/>
            <w:r>
              <w:t>If unclear, basis used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which constituent poses the most significant safety/effectiveness questions, per 3.4&gt;&gt;</w:t>
            </w:r>
          </w:p>
        </w:tc>
      </w:tr>
    </w:tbl>
    <w:p/>
    <w:p>
      <w:pPr>
        <w:pStyle w:val="Heading1"/>
      </w:pPr>
      <w:r>
        <w:rPr>
          <w:color w:val="0B2E4F"/>
        </w:rPr>
        <w:t>4. Consequences of the determination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Lead FDA center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CDER / CBER / CDRH&gt;&gt;</w:t>
            </w:r>
          </w:p>
        </w:tc>
      </w:tr>
      <w:tr>
        <w:tc>
          <w:tcPr>
            <w:tcW w:type="dxa" w:w="4320"/>
          </w:tcPr>
          <w:p>
            <w:r/>
            <w:r>
              <w:t>Application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NDA / BLA / PMA / 510(k) etc.&gt;&gt;</w:t>
            </w:r>
          </w:p>
        </w:tc>
      </w:tr>
      <w:tr>
        <w:tc>
          <w:tcPr>
            <w:tcW w:type="dxa" w:w="4320"/>
          </w:tcPr>
          <w:p>
            <w:r/>
            <w:r>
              <w:t>Base cGMP operating system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210/211 (+600-680) OR 820 / QMSR&gt;&gt;</w:t>
            </w:r>
          </w:p>
        </w:tc>
      </w:tr>
      <w:tr>
        <w:tc>
          <w:tcPr>
            <w:tcW w:type="dxa" w:w="4320"/>
          </w:tcPr>
          <w:p>
            <w:r/>
            <w:r>
              <w:t>Added provisions to apply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4.4(b)(1) six device provisions OR 4.4(b)(2) eight drug provisions&gt;&gt;</w:t>
            </w:r>
          </w:p>
        </w:tc>
      </w:tr>
    </w:tbl>
    <w:p/>
    <w:p>
      <w:pPr>
        <w:pStyle w:val="Heading1"/>
      </w:pPr>
      <w:r>
        <w:rPr>
          <w:color w:val="0B2E4F"/>
        </w:rPr>
        <w:t>5. RFD / Pre-RFD interaction (if 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Pre-RFD or RFD filed?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yes/no&gt;&gt;</w:t>
            </w:r>
          </w:p>
        </w:tc>
      </w:tr>
      <w:tr>
        <w:tc>
          <w:tcPr>
            <w:tcW w:type="dxa" w:w="4320"/>
          </w:tcPr>
          <w:p>
            <w:r/>
            <w:r>
              <w:t>Reference /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FDA assignment outcome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center assigned, any conditions&gt;&gt;</w:t>
            </w:r>
          </w:p>
        </w:tc>
      </w:tr>
      <w:tr>
        <w:tc>
          <w:tcPr>
            <w:tcW w:type="dxa" w:w="4320"/>
          </w:tcPr>
          <w:p>
            <w:r/>
            <w:r>
              <w:t>Correspondence on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location&gt;&gt;</w:t>
            </w:r>
          </w:p>
        </w:tc>
      </w:tr>
    </w:tbl>
    <w:p/>
    <w:p>
      <w:pPr>
        <w:pStyle w:val="Heading1"/>
      </w:pPr>
      <w:r>
        <w:rPr>
          <w:color w:val="0B2E4F"/>
        </w:rPr>
        <w:t>6. Acceptance criteria</w:t>
      </w:r>
    </w:p>
    <w:p>
      <w:pPr>
        <w:pStyle w:val="ListBullet"/>
      </w:pPr>
      <w:r>
        <w:t>Each constituent's mode of action is described.</w:t>
      </w:r>
    </w:p>
    <w:p>
      <w:pPr>
        <w:pStyle w:val="ListBullet"/>
      </w:pPr>
      <w:r>
        <w:t>The PMOA is stated with a reasoned rationale, not a bare assertion.</w:t>
      </w:r>
    </w:p>
    <w:p>
      <w:pPr>
        <w:pStyle w:val="ListBullet"/>
      </w:pPr>
      <w:r>
        <w:t>The lead center, application type, base system, and added provisions follow from the PMOA and are recorded.</w:t>
      </w:r>
    </w:p>
    <w:p>
      <w:pPr>
        <w:pStyle w:val="ListBullet"/>
      </w:pPr>
      <w:r>
        <w:t>Any RFD or Pre-RFD interaction is referenced and filed.</w:t>
      </w:r>
    </w:p>
    <w:p>
      <w:pPr>
        <w:pStyle w:val="ListBullet"/>
      </w:pPr>
      <w:r>
        <w:t>The record is approved and placed under change control; it is revisited if the product or intended use changes.</w:t>
      </w:r>
    </w:p>
    <w:p>
      <w:pPr>
        <w:pStyle w:val="Heading1"/>
      </w:pPr>
      <w:r>
        <w:rPr>
          <w:color w:val="0B2E4F"/>
        </w:rPr>
        <w:t>7. References</w:t>
      </w:r>
    </w:p>
    <w:p>
      <w:pPr>
        <w:ind w:left="432"/>
      </w:pPr>
      <w:r>
        <w:rPr>
          <w:i/>
          <w:color w:val="6B7076"/>
        </w:rPr>
        <w:t>21 CFR 3.2(e) and 3.2(m) (definitions); 21 CFR 3.4 (assignment when PMOA is unclear).</w:t>
      </w:r>
    </w:p>
    <w:p>
      <w:pPr>
        <w:ind w:left="432"/>
      </w:pPr>
      <w:r>
        <w:rPr>
          <w:i/>
          <w:color w:val="6B7076"/>
        </w:rPr>
        <w:t>21 CFR Part 4 (cGMP for combination products); 21 CFR Parts 210/211; 21 CFR Part 820 / QMSR.</w:t>
      </w:r>
    </w:p>
    <w:p>
      <w:r>
        <w:t>Confirm the current version and clause numbers before issue.</w:t>
      </w:r>
    </w:p>
    <w:p>
      <w:pPr>
        <w:pStyle w:val="Heading1"/>
      </w:pPr>
      <w:r>
        <w:rPr>
          <w:color w:val="0B2E4F"/>
        </w:rPr>
        <w:t>8.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Author (Regulatory)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Approver (Quality / Regulatory head)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the record completed for an example drug-eluting stent. Illustrative.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Product</w:t>
            </w:r>
          </w:p>
        </w:tc>
        <w:tc>
          <w:tcPr>
            <w:tcW w:type="dxa" w:w="4320"/>
          </w:tcPr>
          <w:p>
            <w:r/>
            <w:r>
              <w:t>Drug-eluting coronary stent, single-entity</w:t>
            </w:r>
          </w:p>
        </w:tc>
      </w:tr>
      <w:tr>
        <w:tc>
          <w:tcPr>
            <w:tcW w:type="dxa" w:w="4320"/>
          </w:tcPr>
          <w:p>
            <w:r/>
            <w:r>
              <w:t>Constituent 1 (device)</w:t>
            </w:r>
          </w:p>
        </w:tc>
        <w:tc>
          <w:tcPr>
            <w:tcW w:type="dxa" w:w="4320"/>
          </w:tcPr>
          <w:p>
            <w:r/>
            <w:r>
              <w:t>Metal stent scaffold; mode of action: mechanical, holds the vessel open. Primary action.</w:t>
            </w:r>
          </w:p>
        </w:tc>
      </w:tr>
      <w:tr>
        <w:tc>
          <w:tcPr>
            <w:tcW w:type="dxa" w:w="4320"/>
          </w:tcPr>
          <w:p>
            <w:r/>
            <w:r>
              <w:t>Constituent 2 (drug)</w:t>
            </w:r>
          </w:p>
        </w:tc>
        <w:tc>
          <w:tcPr>
            <w:tcW w:type="dxa" w:w="4320"/>
          </w:tcPr>
          <w:p>
            <w:r/>
            <w:r>
              <w:t>Antiproliferative coating; mode of action: pharmacological, suppresses restenosis. Supporting action.</w:t>
            </w:r>
          </w:p>
        </w:tc>
      </w:tr>
      <w:tr>
        <w:tc>
          <w:tcPr>
            <w:tcW w:type="dxa" w:w="4320"/>
          </w:tcPr>
          <w:p>
            <w:r/>
            <w:r>
              <w:t>Most important therapeutic action</w:t>
            </w:r>
          </w:p>
        </w:tc>
        <w:tc>
          <w:tcPr>
            <w:tcW w:type="dxa" w:w="4320"/>
          </w:tcPr>
          <w:p>
            <w:r/>
            <w:r>
              <w:t>Keeping the vessel patent (the stent)</w:t>
            </w:r>
          </w:p>
        </w:tc>
      </w:tr>
      <w:tr>
        <w:tc>
          <w:tcPr>
            <w:tcW w:type="dxa" w:w="4320"/>
          </w:tcPr>
          <w:p>
            <w:r/>
            <w:r>
              <w:t>PMOA</w:t>
            </w:r>
          </w:p>
        </w:tc>
        <w:tc>
          <w:tcPr>
            <w:tcW w:type="dxa" w:w="4320"/>
          </w:tcPr>
          <w:p>
            <w:r/>
            <w:r>
              <w:t>Device</w:t>
            </w:r>
          </w:p>
        </w:tc>
      </w:tr>
      <w:tr>
        <w:tc>
          <w:tcPr>
            <w:tcW w:type="dxa" w:w="4320"/>
          </w:tcPr>
          <w:p>
            <w:r/>
            <w:r>
              <w:t>Lead center</w:t>
            </w:r>
          </w:p>
        </w:tc>
        <w:tc>
          <w:tcPr>
            <w:tcW w:type="dxa" w:w="4320"/>
          </w:tcPr>
          <w:p>
            <w:r/>
            <w:r>
              <w:t>CDRH</w:t>
            </w:r>
          </w:p>
        </w:tc>
      </w:tr>
      <w:tr>
        <w:tc>
          <w:tcPr>
            <w:tcW w:type="dxa" w:w="4320"/>
          </w:tcPr>
          <w:p>
            <w:r/>
            <w:r>
              <w:t>Application type</w:t>
            </w:r>
          </w:p>
        </w:tc>
        <w:tc>
          <w:tcPr>
            <w:tcW w:type="dxa" w:w="4320"/>
          </w:tcPr>
          <w:p>
            <w:r/>
            <w:r>
              <w:t>PMA</w:t>
            </w:r>
          </w:p>
        </w:tc>
      </w:tr>
      <w:tr>
        <w:tc>
          <w:tcPr>
            <w:tcW w:type="dxa" w:w="4320"/>
          </w:tcPr>
          <w:p>
            <w:r/>
            <w:r>
              <w:t>Base system</w:t>
            </w:r>
          </w:p>
        </w:tc>
        <w:tc>
          <w:tcPr>
            <w:tcW w:type="dxa" w:w="4320"/>
          </w:tcPr>
          <w:p>
            <w:r/>
            <w:r>
              <w:t>21 CFR Part 820 / QMSR</w:t>
            </w:r>
          </w:p>
        </w:tc>
      </w:tr>
      <w:tr>
        <w:tc>
          <w:tcPr>
            <w:tcW w:type="dxa" w:w="4320"/>
          </w:tcPr>
          <w:p>
            <w:r/>
            <w:r>
              <w:t>Added provisions</w:t>
            </w:r>
          </w:p>
        </w:tc>
        <w:tc>
          <w:tcPr>
            <w:tcW w:type="dxa" w:w="4320"/>
          </w:tcPr>
          <w:p>
            <w:r/>
            <w:r>
              <w:t>The eight drug provisions of 4.4(b)(2); stability and expiration dating for the drug coating are the key new builds</w:t>
            </w:r>
          </w:p>
        </w:tc>
      </w:tr>
      <w:tr>
        <w:tc>
          <w:tcPr>
            <w:tcW w:type="dxa" w:w="4320"/>
          </w:tcPr>
          <w:p>
            <w:r/>
            <w:r>
              <w:t>RFD</w:t>
            </w:r>
          </w:p>
        </w:tc>
        <w:tc>
          <w:tcPr>
            <w:tcW w:type="dxa" w:w="4320"/>
          </w:tcPr>
          <w:p>
            <w:r/>
            <w:r>
              <w:t>Not required; PMOA clear. Determination rationale on file.</w:t>
            </w:r>
          </w:p>
        </w:tc>
      </w:tr>
    </w:tbl>
    <w:p/>
    <w:p>
      <w:r>
        <w:t>In this example the device provides the primary action, so the product is device-led, runs a Part 820 / QMSR base, and adds the drug provisions, with the drug coating forcing a stability program and a justified expiration date that a pure device would not need.</w:t>
      </w:r>
    </w:p>
    <w:p>
      <w:pPr>
        <w:pStyle w:val="Heading1"/>
      </w:pPr>
      <w:r>
        <w:rPr>
          <w:color w:val="0B2E4F"/>
        </w:rPr>
        <w:t>Common inspection findings this record prevents</w:t>
      </w:r>
    </w:p>
    <w:p>
      <w:pPr>
        <w:pStyle w:val="ListBullet"/>
      </w:pPr>
      <w:r>
        <w:t>A base operating system chosen by habit with no documented PMOA behind it.</w:t>
      </w:r>
    </w:p>
    <w:p>
      <w:pPr>
        <w:pStyle w:val="ListBullet"/>
      </w:pPr>
      <w:r>
        <w:t>A PMOA asserted with no rationale, so the center and base look arbitrary.</w:t>
      </w:r>
    </w:p>
    <w:p>
      <w:pPr>
        <w:pStyle w:val="ListBullet"/>
      </w:pPr>
      <w:r>
        <w:t>RFD correspondence not retained, so the assignment basis cannot be reconstructed.</w:t>
      </w:r>
    </w:p>
    <w:p>
      <w:pPr>
        <w:pStyle w:val="Heading1"/>
      </w:pPr>
      <w:r>
        <w:rPr>
          <w:color w:val="0B2E4F"/>
        </w:rPr>
        <w:t>How to adapt this record</w:t>
      </w:r>
    </w:p>
    <w:p>
      <w:pPr>
        <w:pStyle w:val="ListNumber"/>
      </w:pPr>
      <w:r>
        <w:t>Set your document number and product.</w:t>
      </w:r>
    </w:p>
    <w:p>
      <w:pPr>
        <w:pStyle w:val="ListNumber"/>
      </w:pPr>
      <w:r>
        <w:t>Describe each constituent's mode of action and which provides the most important therapeutic action.</w:t>
      </w:r>
    </w:p>
    <w:p>
      <w:pPr>
        <w:pStyle w:val="ListNumber"/>
      </w:pPr>
      <w:r>
        <w:t>State the PMOA with reasoning, then record the center, application type, base, and added provisions that follow.</w:t>
      </w:r>
    </w:p>
    <w:p>
      <w:pPr>
        <w:pStyle w:val="ListNumber"/>
      </w:pPr>
      <w:r>
        <w:t>Reference any RFD interaction and approve under change control.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Record: Primary Mode of Action (PMOA) Determination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