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Matrix: 21 CFR Part 4 Streamlined-Provision Mapping</w:t>
      </w:r>
    </w:p>
    <w:p>
      <w:r>
        <w:t xml:space="preserve">This is a ready-to-use mapping matrix. It pins each provision added under 21 CFR 4.4 to the procedure that satisfies it, the evidence that demonstrates it, the applicability decision with rationale, and the accountable owner. It supports the combination product quality plan. Replace every </w:t>
      </w:r>
      <w:r>
        <w:rPr>
          <w:rFonts w:ascii="Consolas" w:hAnsi="Consolas"/>
          <w:sz w:val="20"/>
        </w:rPr>
        <w:t>&lt;&lt;FILL: ...&gt;&gt;</w:t>
      </w:r>
      <w:r>
        <w:t xml:space="preserve"> placeholder, use the table that matches your base, and route it through document control. A worked filled specimen follows. Verify each cited regulation against the current source before you rely on it.</w:t>
      </w:r>
    </w:p>
    <w:p>
      <w:pPr>
        <w:pStyle w:val="Heading1"/>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number</w:t>
            </w:r>
          </w:p>
        </w:tc>
        <w:tc>
          <w:tcPr>
            <w:tcW w:type="dxa" w:w="4320"/>
          </w:tcPr>
          <w:p>
            <w:r/>
            <w:r>
              <w:rPr>
                <w:rFonts w:ascii="Consolas" w:hAnsi="Consolas"/>
                <w:sz w:val="20"/>
              </w:rPr>
              <w:t>&lt;&lt;FILL: MX-ID&gt;&gt;</w:t>
            </w:r>
          </w:p>
        </w:tc>
      </w:tr>
      <w:tr>
        <w:tc>
          <w:tcPr>
            <w:tcW w:type="dxa" w:w="4320"/>
          </w:tcPr>
          <w:p>
            <w:r/>
            <w:r>
              <w:t>Product</w:t>
            </w:r>
          </w:p>
        </w:tc>
        <w:tc>
          <w:tcPr>
            <w:tcW w:type="dxa" w:w="4320"/>
          </w:tcPr>
          <w:p>
            <w:r/>
            <w:r>
              <w:rPr>
                <w:rFonts w:ascii="Consolas" w:hAnsi="Consolas"/>
                <w:sz w:val="20"/>
              </w:rPr>
              <w:t>&lt;&lt;FILL&gt;&gt;</w:t>
            </w:r>
          </w:p>
        </w:tc>
      </w:tr>
      <w:tr>
        <w:tc>
          <w:tcPr>
            <w:tcW w:type="dxa" w:w="4320"/>
          </w:tcPr>
          <w:p>
            <w:r/>
            <w:r>
              <w:t>Base operating system</w:t>
            </w:r>
          </w:p>
        </w:tc>
        <w:tc>
          <w:tcPr>
            <w:tcW w:type="dxa" w:w="4320"/>
          </w:tcPr>
          <w:p>
            <w:r/>
            <w:r>
              <w:rPr>
                <w:rFonts w:ascii="Consolas" w:hAnsi="Consolas"/>
                <w:sz w:val="20"/>
              </w:rPr>
              <w:t>&lt;&lt;FILL: 211 base OR 820/QMSR base&gt;&gt;</w:t>
            </w:r>
          </w:p>
        </w:tc>
      </w:tr>
      <w:tr>
        <w:tc>
          <w:tcPr>
            <w:tcW w:type="dxa" w:w="4320"/>
          </w:tcPr>
          <w:p>
            <w:r/>
            <w:r>
              <w:t>Linked quality plan</w:t>
            </w:r>
          </w:p>
        </w:tc>
        <w:tc>
          <w:tcPr>
            <w:tcW w:type="dxa" w:w="4320"/>
          </w:tcPr>
          <w:p>
            <w:r/>
            <w:r>
              <w:rPr>
                <w:rFonts w:ascii="Consolas" w:hAnsi="Consolas"/>
                <w:sz w:val="20"/>
              </w:rPr>
              <w:t>&lt;&lt;FILL: QP number&gt;&gt;</w:t>
            </w:r>
          </w:p>
        </w:tc>
      </w:tr>
      <w:tr>
        <w:tc>
          <w:tcPr>
            <w:tcW w:type="dxa" w:w="4320"/>
          </w:tcPr>
          <w:p>
            <w:r/>
            <w:r>
              <w:t>Version / date / owner</w:t>
            </w:r>
          </w:p>
        </w:tc>
        <w:tc>
          <w:tcPr>
            <w:tcW w:type="dxa" w:w="4320"/>
          </w:tcPr>
          <w:p>
            <w:r/>
            <w:r>
              <w:rPr>
                <w:rFonts w:ascii="Consolas" w:hAnsi="Consolas"/>
                <w:sz w:val="20"/>
              </w:rPr>
              <w:t>&lt;&lt;FILL&gt;&gt;</w:t>
            </w:r>
          </w:p>
        </w:tc>
      </w:tr>
    </w:tbl>
    <w:p/>
    <w:p>
      <w:pPr>
        <w:pStyle w:val="Heading1"/>
      </w:pPr>
      <w:r>
        <w:rPr>
          <w:color w:val="0B2E4F"/>
        </w:rPr>
        <w:t>Table A: Drug/biologic base, device provisions added (21 CFR 4.4(b)(1))</w:t>
      </w:r>
    </w:p>
    <w:p>
      <w:r>
        <w:t>Use this table if your base is 21 CFR 210/211.</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Provision</w:t>
            </w:r>
          </w:p>
        </w:tc>
        <w:tc>
          <w:tcPr>
            <w:tcW w:type="dxa" w:w="1234"/>
          </w:tcPr>
          <w:p>
            <w:r/>
            <w:r>
              <w:rPr>
                <w:b/>
              </w:rPr>
              <w:t>Section</w:t>
            </w:r>
          </w:p>
        </w:tc>
        <w:tc>
          <w:tcPr>
            <w:tcW w:type="dxa" w:w="1234"/>
          </w:tcPr>
          <w:p>
            <w:r/>
            <w:r>
              <w:rPr>
                <w:b/>
              </w:rPr>
              <w:t>What it must demonstrate</w:t>
            </w:r>
          </w:p>
        </w:tc>
        <w:tc>
          <w:tcPr>
            <w:tcW w:type="dxa" w:w="1234"/>
          </w:tcPr>
          <w:p>
            <w:r/>
            <w:r>
              <w:rPr>
                <w:b/>
              </w:rPr>
              <w:t>Procedure</w:t>
            </w:r>
          </w:p>
        </w:tc>
        <w:tc>
          <w:tcPr>
            <w:tcW w:type="dxa" w:w="1234"/>
          </w:tcPr>
          <w:p>
            <w:r/>
            <w:r>
              <w:rPr>
                <w:b/>
              </w:rPr>
              <w:t>Evidence / record</w:t>
            </w:r>
          </w:p>
        </w:tc>
        <w:tc>
          <w:tcPr>
            <w:tcW w:type="dxa" w:w="1234"/>
          </w:tcPr>
          <w:p>
            <w:r/>
            <w:r>
              <w:rPr>
                <w:b/>
              </w:rPr>
              <w:t>Applicable (Y/N + rationale)</w:t>
            </w:r>
          </w:p>
        </w:tc>
        <w:tc>
          <w:tcPr>
            <w:tcW w:type="dxa" w:w="1234"/>
          </w:tcPr>
          <w:p>
            <w:r/>
            <w:r>
              <w:rPr>
                <w:b/>
              </w:rPr>
              <w:t>Owner</w:t>
            </w:r>
          </w:p>
        </w:tc>
      </w:tr>
      <w:tr>
        <w:tc>
          <w:tcPr>
            <w:tcW w:type="dxa" w:w="1234"/>
          </w:tcPr>
          <w:p>
            <w:r/>
            <w:r>
              <w:t>Management responsibility</w:t>
            </w:r>
          </w:p>
        </w:tc>
        <w:tc>
          <w:tcPr>
            <w:tcW w:type="dxa" w:w="1234"/>
          </w:tcPr>
          <w:p>
            <w:r/>
            <w:r>
              <w:t>820.20</w:t>
            </w:r>
          </w:p>
        </w:tc>
        <w:tc>
          <w:tcPr>
            <w:tcW w:type="dxa" w:w="1234"/>
          </w:tcPr>
          <w:p>
            <w:r/>
            <w:r>
              <w:t>Quality policy and objectives, organization, management representative, management review covering device scope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Design controls</w:t>
            </w:r>
          </w:p>
        </w:tc>
        <w:tc>
          <w:tcPr>
            <w:tcW w:type="dxa" w:w="1234"/>
          </w:tcPr>
          <w:p>
            <w:r/>
            <w:r>
              <w:t>820.30</w:t>
            </w:r>
          </w:p>
        </w:tc>
        <w:tc>
          <w:tcPr>
            <w:tcW w:type="dxa" w:w="1234"/>
          </w:tcPr>
          <w:p>
            <w:r/>
            <w:r>
              <w:t>Design plan, inputs, outputs, review, verification, validation (incl. human factors), transfer, changes, DHF</w:t>
            </w:r>
          </w:p>
        </w:tc>
        <w:tc>
          <w:tcPr>
            <w:tcW w:type="dxa" w:w="1234"/>
          </w:tcPr>
          <w:p>
            <w:r/>
            <w:r>
              <w:rPr>
                <w:rFonts w:ascii="Consolas" w:hAnsi="Consolas"/>
                <w:sz w:val="20"/>
              </w:rPr>
              <w:t>&lt;&lt;FILL&gt;&gt;</w:t>
            </w:r>
          </w:p>
        </w:tc>
        <w:tc>
          <w:tcPr>
            <w:tcW w:type="dxa" w:w="1234"/>
          </w:tcPr>
          <w:p>
            <w:r/>
            <w:r>
              <w:rPr>
                <w:rFonts w:ascii="Consolas" w:hAnsi="Consolas"/>
                <w:sz w:val="20"/>
              </w:rPr>
              <w:t>&lt;&lt;FILL: DHF&gt;&gt;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Purchasing controls</w:t>
            </w:r>
          </w:p>
        </w:tc>
        <w:tc>
          <w:tcPr>
            <w:tcW w:type="dxa" w:w="1234"/>
          </w:tcPr>
          <w:p>
            <w:r/>
            <w:r>
              <w:t>820.50</w:t>
            </w:r>
          </w:p>
        </w:tc>
        <w:tc>
          <w:tcPr>
            <w:tcW w:type="dxa" w:w="1234"/>
          </w:tcPr>
          <w:p>
            <w:r/>
            <w:r>
              <w:t>Device supplier evaluation, purchasing data, supplier agreements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CAPA</w:t>
            </w:r>
          </w:p>
        </w:tc>
        <w:tc>
          <w:tcPr>
            <w:tcW w:type="dxa" w:w="1234"/>
          </w:tcPr>
          <w:p>
            <w:r/>
            <w:r>
              <w:t>820.100</w:t>
            </w:r>
          </w:p>
        </w:tc>
        <w:tc>
          <w:tcPr>
            <w:tcW w:type="dxa" w:w="1234"/>
          </w:tcPr>
          <w:p>
            <w:r/>
            <w:r>
              <w:t>Capture of device failure modes, investigation, action, effectiveness, management awareness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Installation</w:t>
            </w:r>
          </w:p>
        </w:tc>
        <w:tc>
          <w:tcPr>
            <w:tcW w:type="dxa" w:w="1234"/>
          </w:tcPr>
          <w:p>
            <w:r/>
            <w:r>
              <w:t>820.170</w:t>
            </w:r>
          </w:p>
        </w:tc>
        <w:tc>
          <w:tcPr>
            <w:tcW w:type="dxa" w:w="1234"/>
          </w:tcPr>
          <w:p>
            <w:r/>
            <w:r>
              <w:t>Installation and inspection instructions and records, where applicable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often N/A&gt;&gt;</w:t>
            </w:r>
          </w:p>
        </w:tc>
        <w:tc>
          <w:tcPr>
            <w:tcW w:type="dxa" w:w="1234"/>
          </w:tcPr>
          <w:p>
            <w:r/>
            <w:r>
              <w:rPr>
                <w:rFonts w:ascii="Consolas" w:hAnsi="Consolas"/>
                <w:sz w:val="20"/>
              </w:rPr>
              <w:t>&lt;&lt;FILL&gt;&gt;</w:t>
            </w:r>
          </w:p>
        </w:tc>
      </w:tr>
      <w:tr>
        <w:tc>
          <w:tcPr>
            <w:tcW w:type="dxa" w:w="1234"/>
          </w:tcPr>
          <w:p>
            <w:r/>
            <w:r>
              <w:t>Servicing</w:t>
            </w:r>
          </w:p>
        </w:tc>
        <w:tc>
          <w:tcPr>
            <w:tcW w:type="dxa" w:w="1234"/>
          </w:tcPr>
          <w:p>
            <w:r/>
            <w:r>
              <w:t>820.200</w:t>
            </w:r>
          </w:p>
        </w:tc>
        <w:tc>
          <w:tcPr>
            <w:tcW w:type="dxa" w:w="1234"/>
          </w:tcPr>
          <w:p>
            <w:r/>
            <w:r>
              <w:t>Servicing procedures and records, where servicing is a specified requirement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often N/A&gt;&gt;</w:t>
            </w:r>
          </w:p>
        </w:tc>
        <w:tc>
          <w:tcPr>
            <w:tcW w:type="dxa" w:w="1234"/>
          </w:tcPr>
          <w:p>
            <w:r/>
            <w:r>
              <w:rPr>
                <w:rFonts w:ascii="Consolas" w:hAnsi="Consolas"/>
                <w:sz w:val="20"/>
              </w:rPr>
              <w:t>&lt;&lt;FILL&gt;&gt;</w:t>
            </w:r>
          </w:p>
        </w:tc>
      </w:tr>
    </w:tbl>
    <w:p/>
    <w:p>
      <w:pPr>
        <w:pStyle w:val="Heading1"/>
      </w:pPr>
      <w:r>
        <w:rPr>
          <w:color w:val="0B2E4F"/>
        </w:rPr>
        <w:t>Table B: Device base, drug provisions added (21 CFR 4.4(b)(2))</w:t>
      </w:r>
    </w:p>
    <w:p>
      <w:r>
        <w:t>Use this table if your base is 21 CFR Part 820 / QMSR.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Provision</w:t>
            </w:r>
          </w:p>
        </w:tc>
        <w:tc>
          <w:tcPr>
            <w:tcW w:type="dxa" w:w="1234"/>
          </w:tcPr>
          <w:p>
            <w:r/>
            <w:r>
              <w:rPr>
                <w:b/>
              </w:rPr>
              <w:t>Section</w:t>
            </w:r>
          </w:p>
        </w:tc>
        <w:tc>
          <w:tcPr>
            <w:tcW w:type="dxa" w:w="1234"/>
          </w:tcPr>
          <w:p>
            <w:r/>
            <w:r>
              <w:rPr>
                <w:b/>
              </w:rPr>
              <w:t>What it must demonstrate</w:t>
            </w:r>
          </w:p>
        </w:tc>
        <w:tc>
          <w:tcPr>
            <w:tcW w:type="dxa" w:w="1234"/>
          </w:tcPr>
          <w:p>
            <w:r/>
            <w:r>
              <w:rPr>
                <w:b/>
              </w:rPr>
              <w:t>Procedure</w:t>
            </w:r>
          </w:p>
        </w:tc>
        <w:tc>
          <w:tcPr>
            <w:tcW w:type="dxa" w:w="1234"/>
          </w:tcPr>
          <w:p>
            <w:r/>
            <w:r>
              <w:rPr>
                <w:b/>
              </w:rPr>
              <w:t>Evidence / record</w:t>
            </w:r>
          </w:p>
        </w:tc>
        <w:tc>
          <w:tcPr>
            <w:tcW w:type="dxa" w:w="1234"/>
          </w:tcPr>
          <w:p>
            <w:r/>
            <w:r>
              <w:rPr>
                <w:b/>
              </w:rPr>
              <w:t>Applicable (Y/N + rationale)</w:t>
            </w:r>
          </w:p>
        </w:tc>
        <w:tc>
          <w:tcPr>
            <w:tcW w:type="dxa" w:w="1234"/>
          </w:tcPr>
          <w:p>
            <w:r/>
            <w:r>
              <w:rPr>
                <w:b/>
              </w:rPr>
              <w:t>Owner</w:t>
            </w:r>
          </w:p>
        </w:tc>
      </w:tr>
      <w:tr>
        <w:tc>
          <w:tcPr>
            <w:tcW w:type="dxa" w:w="1234"/>
          </w:tcPr>
          <w:p>
            <w:r/>
            <w:r>
              <w:t>Component/container/closure testing</w:t>
            </w:r>
          </w:p>
        </w:tc>
        <w:tc>
          <w:tcPr>
            <w:tcW w:type="dxa" w:w="1234"/>
          </w:tcPr>
          <w:p>
            <w:r/>
            <w:r>
              <w:t>211.84</w:t>
            </w:r>
          </w:p>
        </w:tc>
        <w:tc>
          <w:tcPr>
            <w:tcW w:type="dxa" w:w="1234"/>
          </w:tcPr>
          <w:p>
            <w:r/>
            <w:r>
              <w:t>Sampling and testing of incoming drug components, with approval or rejection before use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Calculation of yield</w:t>
            </w:r>
          </w:p>
        </w:tc>
        <w:tc>
          <w:tcPr>
            <w:tcW w:type="dxa" w:w="1234"/>
          </w:tcPr>
          <w:p>
            <w:r/>
            <w:r>
              <w:t>211.103</w:t>
            </w:r>
          </w:p>
        </w:tc>
        <w:tc>
          <w:tcPr>
            <w:tcW w:type="dxa" w:w="1234"/>
          </w:tcPr>
          <w:p>
            <w:r/>
            <w:r>
              <w:t>Actual and theoretical yield at appropriate phases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Tamper-evident packaging</w:t>
            </w:r>
          </w:p>
        </w:tc>
        <w:tc>
          <w:tcPr>
            <w:tcW w:type="dxa" w:w="1234"/>
          </w:tcPr>
          <w:p>
            <w:r/>
            <w:r>
              <w:t>211.132</w:t>
            </w:r>
          </w:p>
        </w:tc>
        <w:tc>
          <w:tcPr>
            <w:tcW w:type="dxa" w:w="1234"/>
          </w:tcPr>
          <w:p>
            <w:r/>
            <w:r>
              <w:t>Tamper-evident packaging for OTC drug products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Expiration dating</w:t>
            </w:r>
          </w:p>
        </w:tc>
        <w:tc>
          <w:tcPr>
            <w:tcW w:type="dxa" w:w="1234"/>
          </w:tcPr>
          <w:p>
            <w:r/>
            <w:r>
              <w:t>211.137</w:t>
            </w:r>
          </w:p>
        </w:tc>
        <w:tc>
          <w:tcPr>
            <w:tcW w:type="dxa" w:w="1234"/>
          </w:tcPr>
          <w:p>
            <w:r/>
            <w:r>
              <w:t>Scientifically justified expiration dating supported by stability</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Testing and release</w:t>
            </w:r>
          </w:p>
        </w:tc>
        <w:tc>
          <w:tcPr>
            <w:tcW w:type="dxa" w:w="1234"/>
          </w:tcPr>
          <w:p>
            <w:r/>
            <w:r>
              <w:t>211.165</w:t>
            </w:r>
          </w:p>
        </w:tc>
        <w:tc>
          <w:tcPr>
            <w:tcW w:type="dxa" w:w="1234"/>
          </w:tcPr>
          <w:p>
            <w:r/>
            <w:r>
              <w:t>Batch testing for identity, strength, conformance before release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Stability testing</w:t>
            </w:r>
          </w:p>
        </w:tc>
        <w:tc>
          <w:tcPr>
            <w:tcW w:type="dxa" w:w="1234"/>
          </w:tcPr>
          <w:p>
            <w:r/>
            <w:r>
              <w:t>211.166</w:t>
            </w:r>
          </w:p>
        </w:tc>
        <w:tc>
          <w:tcPr>
            <w:tcW w:type="dxa" w:w="1234"/>
          </w:tcPr>
          <w:p>
            <w:r/>
            <w:r>
              <w:t>Written stability program with intervals, conditions, sound sampling</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Special testing</w:t>
            </w:r>
          </w:p>
        </w:tc>
        <w:tc>
          <w:tcPr>
            <w:tcW w:type="dxa" w:w="1234"/>
          </w:tcPr>
          <w:p>
            <w:r/>
            <w:r>
              <w:t>211.167</w:t>
            </w:r>
          </w:p>
        </w:tc>
        <w:tc>
          <w:tcPr>
            <w:tcW w:type="dxa" w:w="1234"/>
          </w:tcPr>
          <w:p>
            <w:r/>
            <w:r>
              <w:t>Sterility, pyrogen, or other special tests where required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Reserve samples</w:t>
            </w:r>
          </w:p>
        </w:tc>
        <w:tc>
          <w:tcPr>
            <w:tcW w:type="dxa" w:w="1234"/>
          </w:tcPr>
          <w:p>
            <w:r/>
            <w:r>
              <w:t>211.170</w:t>
            </w:r>
          </w:p>
        </w:tc>
        <w:tc>
          <w:tcPr>
            <w:tcW w:type="dxa" w:w="1234"/>
          </w:tcPr>
          <w:p>
            <w:r/>
            <w:r>
              <w:t>Retention of reserve samples for required periods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1"/>
      </w:pPr>
      <w:r>
        <w:rPr>
          <w:color w:val="0B2E4F"/>
        </w:rPr>
        <w:t>Acceptance criteria</w:t>
      </w:r>
    </w:p>
    <w:p>
      <w:pPr>
        <w:pStyle w:val="ListBullet"/>
      </w:pPr>
      <w:r>
        <w:t>Every applicable added provision maps to a named procedure and a real evidence record.</w:t>
      </w:r>
    </w:p>
    <w:p>
      <w:pPr>
        <w:pStyle w:val="ListBullet"/>
      </w:pPr>
      <w:r>
        <w:t>Every N/A carries a written rationale.</w:t>
      </w:r>
    </w:p>
    <w:p>
      <w:pPr>
        <w:pStyle w:val="ListBullet"/>
      </w:pPr>
      <w:r>
        <w:t>The base matches the quality plan, and only the relevant table is used.</w:t>
      </w:r>
    </w:p>
    <w:p>
      <w:pPr>
        <w:pStyle w:val="ListBullet"/>
      </w:pPr>
      <w:r>
        <w:t>The matrix is approved by QA and kept current as procedures change.</w:t>
      </w:r>
    </w:p>
    <w:p>
      <w:pPr>
        <w:pStyle w:val="Heading1"/>
      </w:pPr>
      <w:r>
        <w:rPr>
          <w:color w:val="0B2E4F"/>
        </w:rPr>
        <w:t>References</w:t>
      </w:r>
    </w:p>
    <w:p>
      <w:pPr>
        <w:ind w:left="432"/>
      </w:pPr>
      <w:r>
        <w:rPr>
          <w:i/>
          <w:color w:val="6B7076"/>
        </w:rPr>
        <w:t>21 CFR Part 4, 4.4(b)(1) and 4.4(b)(2); 21 CFR Parts 210/211; 21 CFR Part 820 / QMSR; ISO 13485:2016.</w:t>
      </w:r>
    </w:p>
    <w:p>
      <w:r>
        <w:t>Confirm the current version and clause numbers before issue.</w:t>
      </w:r>
    </w:p>
    <w:p>
      <w:r>
        <w:rPr>
          <w:color w:val="6B7076"/>
        </w:rPr>
        <w:t>──────────────────────────────</w:t>
      </w:r>
    </w:p>
    <w:p>
      <w:pPr>
        <w:pStyle w:val="Heading1"/>
      </w:pPr>
      <w:r>
        <w:rPr>
          <w:color w:val="0B2E4F"/>
        </w:rPr>
        <w:t>Filled specimen</w:t>
      </w:r>
    </w:p>
    <w:p>
      <w:r>
        <w:t>Drug-base case for an example prefilled syringe (drug-led). Illustrative.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Provision</w:t>
            </w:r>
          </w:p>
        </w:tc>
        <w:tc>
          <w:tcPr>
            <w:tcW w:type="dxa" w:w="1440"/>
          </w:tcPr>
          <w:p>
            <w:r/>
            <w:r>
              <w:rPr>
                <w:b/>
              </w:rPr>
              <w:t>Section</w:t>
            </w:r>
          </w:p>
        </w:tc>
        <w:tc>
          <w:tcPr>
            <w:tcW w:type="dxa" w:w="1440"/>
          </w:tcPr>
          <w:p>
            <w:r/>
            <w:r>
              <w:rPr>
                <w:b/>
              </w:rPr>
              <w:t>Procedure</w:t>
            </w:r>
          </w:p>
        </w:tc>
        <w:tc>
          <w:tcPr>
            <w:tcW w:type="dxa" w:w="1440"/>
          </w:tcPr>
          <w:p>
            <w:r/>
            <w:r>
              <w:rPr>
                <w:b/>
              </w:rPr>
              <w:t>Evidence</w:t>
            </w:r>
          </w:p>
        </w:tc>
        <w:tc>
          <w:tcPr>
            <w:tcW w:type="dxa" w:w="1440"/>
          </w:tcPr>
          <w:p>
            <w:r/>
            <w:r>
              <w:rPr>
                <w:b/>
              </w:rPr>
              <w:t>Applicable</w:t>
            </w:r>
          </w:p>
        </w:tc>
        <w:tc>
          <w:tcPr>
            <w:tcW w:type="dxa" w:w="1440"/>
          </w:tcPr>
          <w:p>
            <w:r/>
            <w:r>
              <w:rPr>
                <w:b/>
              </w:rPr>
              <w:t>Owner</w:t>
            </w:r>
          </w:p>
        </w:tc>
      </w:tr>
      <w:tr>
        <w:tc>
          <w:tcPr>
            <w:tcW w:type="dxa" w:w="1440"/>
          </w:tcPr>
          <w:p>
            <w:r/>
            <w:r>
              <w:t>Management responsibility</w:t>
            </w:r>
          </w:p>
        </w:tc>
        <w:tc>
          <w:tcPr>
            <w:tcW w:type="dxa" w:w="1440"/>
          </w:tcPr>
          <w:p>
            <w:r/>
            <w:r>
              <w:t>820.20</w:t>
            </w:r>
          </w:p>
        </w:tc>
        <w:tc>
          <w:tcPr>
            <w:tcW w:type="dxa" w:w="1440"/>
          </w:tcPr>
          <w:p>
            <w:r/>
            <w:r>
              <w:t>Quality manual, management review SOP extended to device scope</w:t>
            </w:r>
          </w:p>
        </w:tc>
        <w:tc>
          <w:tcPr>
            <w:tcW w:type="dxa" w:w="1440"/>
          </w:tcPr>
          <w:p>
            <w:r/>
            <w:r>
              <w:t>Management review minutes</w:t>
            </w:r>
          </w:p>
        </w:tc>
        <w:tc>
          <w:tcPr>
            <w:tcW w:type="dxa" w:w="1440"/>
          </w:tcPr>
          <w:p>
            <w:r/>
            <w:r>
              <w:t>Yes</w:t>
            </w:r>
          </w:p>
        </w:tc>
        <w:tc>
          <w:tcPr>
            <w:tcW w:type="dxa" w:w="1440"/>
          </w:tcPr>
          <w:p>
            <w:r/>
            <w:r>
              <w:t>Site quality head</w:t>
            </w:r>
          </w:p>
        </w:tc>
      </w:tr>
      <w:tr>
        <w:tc>
          <w:tcPr>
            <w:tcW w:type="dxa" w:w="1440"/>
          </w:tcPr>
          <w:p>
            <w:r/>
            <w:r>
              <w:t>Design controls</w:t>
            </w:r>
          </w:p>
        </w:tc>
        <w:tc>
          <w:tcPr>
            <w:tcW w:type="dxa" w:w="1440"/>
          </w:tcPr>
          <w:p>
            <w:r/>
            <w:r>
              <w:t>820.30</w:t>
            </w:r>
          </w:p>
        </w:tc>
        <w:tc>
          <w:tcPr>
            <w:tcW w:type="dxa" w:w="1440"/>
          </w:tcPr>
          <w:p>
            <w:r/>
            <w:r>
              <w:t>SOP-DC-001 plus syringe DHF; HF validation per IEC 62366-1</w:t>
            </w:r>
          </w:p>
        </w:tc>
        <w:tc>
          <w:tcPr>
            <w:tcW w:type="dxa" w:w="1440"/>
          </w:tcPr>
          <w:p>
            <w:r/>
            <w:r>
              <w:t>DHF, HF study report</w:t>
            </w:r>
          </w:p>
        </w:tc>
        <w:tc>
          <w:tcPr>
            <w:tcW w:type="dxa" w:w="1440"/>
          </w:tcPr>
          <w:p>
            <w:r/>
            <w:r>
              <w:t>Yes</w:t>
            </w:r>
          </w:p>
        </w:tc>
        <w:tc>
          <w:tcPr>
            <w:tcW w:type="dxa" w:w="1440"/>
          </w:tcPr>
          <w:p>
            <w:r/>
            <w:r>
              <w:t>Device engineering</w:t>
            </w:r>
          </w:p>
        </w:tc>
      </w:tr>
      <w:tr>
        <w:tc>
          <w:tcPr>
            <w:tcW w:type="dxa" w:w="1440"/>
          </w:tcPr>
          <w:p>
            <w:r/>
            <w:r>
              <w:t>Purchasing controls</w:t>
            </w:r>
          </w:p>
        </w:tc>
        <w:tc>
          <w:tcPr>
            <w:tcW w:type="dxa" w:w="1440"/>
          </w:tcPr>
          <w:p>
            <w:r/>
            <w:r>
              <w:t>820.50</w:t>
            </w:r>
          </w:p>
        </w:tc>
        <w:tc>
          <w:tcPr>
            <w:tcW w:type="dxa" w:w="1440"/>
          </w:tcPr>
          <w:p>
            <w:r/>
            <w:r>
              <w:t>Supplier qualification SOP, device criteria</w:t>
            </w:r>
          </w:p>
        </w:tc>
        <w:tc>
          <w:tcPr>
            <w:tcW w:type="dxa" w:w="1440"/>
          </w:tcPr>
          <w:p>
            <w:r/>
            <w:r>
              <w:t>Supplier audit, agreement</w:t>
            </w:r>
          </w:p>
        </w:tc>
        <w:tc>
          <w:tcPr>
            <w:tcW w:type="dxa" w:w="1440"/>
          </w:tcPr>
          <w:p>
            <w:r/>
            <w:r>
              <w:t>Yes</w:t>
            </w:r>
          </w:p>
        </w:tc>
        <w:tc>
          <w:tcPr>
            <w:tcW w:type="dxa" w:w="1440"/>
          </w:tcPr>
          <w:p>
            <w:r/>
            <w:r>
              <w:t>Supplier quality</w:t>
            </w:r>
          </w:p>
        </w:tc>
      </w:tr>
      <w:tr>
        <w:tc>
          <w:tcPr>
            <w:tcW w:type="dxa" w:w="1440"/>
          </w:tcPr>
          <w:p>
            <w:r/>
            <w:r>
              <w:t>CAPA</w:t>
            </w:r>
          </w:p>
        </w:tc>
        <w:tc>
          <w:tcPr>
            <w:tcW w:type="dxa" w:w="1440"/>
          </w:tcPr>
          <w:p>
            <w:r/>
            <w:r>
              <w:t>820.100</w:t>
            </w:r>
          </w:p>
        </w:tc>
        <w:tc>
          <w:tcPr>
            <w:tcW w:type="dxa" w:w="1440"/>
          </w:tcPr>
          <w:p>
            <w:r/>
            <w:r>
              <w:t>CAPA SOP, scope expanded to delivery malfunction and use error</w:t>
            </w:r>
          </w:p>
        </w:tc>
        <w:tc>
          <w:tcPr>
            <w:tcW w:type="dxa" w:w="1440"/>
          </w:tcPr>
          <w:p>
            <w:r/>
            <w:r>
              <w:t>CAPA records</w:t>
            </w:r>
          </w:p>
        </w:tc>
        <w:tc>
          <w:tcPr>
            <w:tcW w:type="dxa" w:w="1440"/>
          </w:tcPr>
          <w:p>
            <w:r/>
            <w:r>
              <w:t>Yes</w:t>
            </w:r>
          </w:p>
        </w:tc>
        <w:tc>
          <w:tcPr>
            <w:tcW w:type="dxa" w:w="1440"/>
          </w:tcPr>
          <w:p>
            <w:r/>
            <w:r>
              <w:t>Quality systems</w:t>
            </w:r>
          </w:p>
        </w:tc>
      </w:tr>
      <w:tr>
        <w:tc>
          <w:tcPr>
            <w:tcW w:type="dxa" w:w="1440"/>
          </w:tcPr>
          <w:p>
            <w:r/>
            <w:r>
              <w:t>Installation</w:t>
            </w:r>
          </w:p>
        </w:tc>
        <w:tc>
          <w:tcPr>
            <w:tcW w:type="dxa" w:w="1440"/>
          </w:tcPr>
          <w:p>
            <w:r/>
            <w:r>
              <w:t>820.170</w:t>
            </w:r>
          </w:p>
        </w:tc>
        <w:tc>
          <w:tcPr>
            <w:tcW w:type="dxa" w:w="1440"/>
          </w:tcPr>
          <w:p>
            <w:r/>
            <w:r>
              <w:t>N/A: patient-administered, not installed</w:t>
            </w:r>
          </w:p>
        </w:tc>
        <w:tc>
          <w:tcPr>
            <w:tcW w:type="dxa" w:w="1440"/>
          </w:tcPr>
          <w:p>
            <w:r/>
            <w:r>
              <w:t>Documented rationale</w:t>
            </w:r>
          </w:p>
        </w:tc>
        <w:tc>
          <w:tcPr>
            <w:tcW w:type="dxa" w:w="1440"/>
          </w:tcPr>
          <w:p>
            <w:r/>
            <w:r>
              <w:t>N/A</w:t>
            </w:r>
          </w:p>
        </w:tc>
        <w:tc>
          <w:tcPr>
            <w:tcW w:type="dxa" w:w="1440"/>
          </w:tcPr>
          <w:p>
            <w:r/>
            <w:r>
              <w:t>Quality</w:t>
            </w:r>
          </w:p>
        </w:tc>
      </w:tr>
      <w:tr>
        <w:tc>
          <w:tcPr>
            <w:tcW w:type="dxa" w:w="1440"/>
          </w:tcPr>
          <w:p>
            <w:r/>
            <w:r>
              <w:t>Servicing</w:t>
            </w:r>
          </w:p>
        </w:tc>
        <w:tc>
          <w:tcPr>
            <w:tcW w:type="dxa" w:w="1440"/>
          </w:tcPr>
          <w:p>
            <w:r/>
            <w:r>
              <w:t>820.200</w:t>
            </w:r>
          </w:p>
        </w:tc>
        <w:tc>
          <w:tcPr>
            <w:tcW w:type="dxa" w:w="1440"/>
          </w:tcPr>
          <w:p>
            <w:r/>
            <w:r>
              <w:t>N/A: single-use disposable</w:t>
            </w:r>
          </w:p>
        </w:tc>
        <w:tc>
          <w:tcPr>
            <w:tcW w:type="dxa" w:w="1440"/>
          </w:tcPr>
          <w:p>
            <w:r/>
            <w:r>
              <w:t>Documented rationale</w:t>
            </w:r>
          </w:p>
        </w:tc>
        <w:tc>
          <w:tcPr>
            <w:tcW w:type="dxa" w:w="1440"/>
          </w:tcPr>
          <w:p>
            <w:r/>
            <w:r>
              <w:t>N/A</w:t>
            </w:r>
          </w:p>
        </w:tc>
        <w:tc>
          <w:tcPr>
            <w:tcW w:type="dxa" w:w="1440"/>
          </w:tcPr>
          <w:p>
            <w:r/>
            <w:r>
              <w:t>Quality</w:t>
            </w:r>
          </w:p>
        </w:tc>
      </w:tr>
    </w:tbl>
    <w:p/>
    <w:p>
      <w:r>
        <w:t>This is the artifact that turns "we comply with Part 211" into a defensible demonstration that the device provisions were each addressed.</w:t>
      </w:r>
    </w:p>
    <w:p>
      <w:pPr>
        <w:pStyle w:val="Heading1"/>
      </w:pPr>
      <w:r>
        <w:rPr>
          <w:color w:val="0B2E4F"/>
        </w:rPr>
        <w:t>Common inspection findings this matrix prevents</w:t>
      </w:r>
    </w:p>
    <w:p>
      <w:pPr>
        <w:pStyle w:val="ListBullet"/>
      </w:pPr>
      <w:r>
        <w:t>A provision named in the plan but with no procedure or evidence behind it.</w:t>
      </w:r>
    </w:p>
    <w:p>
      <w:pPr>
        <w:pStyle w:val="ListBullet"/>
      </w:pPr>
      <w:r>
        <w:t>An N/A with no rationale.</w:t>
      </w:r>
    </w:p>
    <w:p>
      <w:pPr>
        <w:pStyle w:val="ListBullet"/>
      </w:pPr>
      <w:r>
        <w:t>Both base tables filled in, signaling the team ran two full systems instead of the streamlined approach.</w:t>
      </w:r>
    </w:p>
    <w:p>
      <w:pPr>
        <w:pStyle w:val="Heading1"/>
      </w:pPr>
      <w:r>
        <w:rPr>
          <w:color w:val="0B2E4F"/>
        </w:rPr>
        <w:t>How to adapt this matrix</w:t>
      </w:r>
    </w:p>
    <w:p>
      <w:pPr>
        <w:pStyle w:val="ListNumber"/>
      </w:pPr>
      <w:r>
        <w:t>Set your document number and link the quality plan.</w:t>
      </w:r>
    </w:p>
    <w:p>
      <w:pPr>
        <w:pStyle w:val="ListNumber"/>
      </w:pPr>
      <w:r>
        <w:t>Keep only the table that matches your base; delete the other.</w:t>
      </w:r>
    </w:p>
    <w:p>
      <w:pPr>
        <w:pStyle w:val="ListNumber"/>
      </w:pPr>
      <w:r>
        <w:t>Map each applicable provision to a real procedure and evidence record.</w:t>
      </w:r>
    </w:p>
    <w:p>
      <w:pPr>
        <w:pStyle w:val="ListNumber"/>
      </w:pPr>
      <w:r>
        <w:t>Give a rationale for each N/A and have QA approve.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21 CFR Part 4 Streamlined-Provision Mapping</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