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2E4F"/>
        </w:rPr>
        <w:t>Risk Assessment: EU AI Act Risk-Tier Classification and Non-High-Risk Justification</w:t>
      </w:r>
    </w:p>
    <w:p>
      <w:r>
        <w:t xml:space="preserve">This is a ready-to-use classification record for a single AI system under the EU AI Act (Regulation (EU) 2024/1689). Replace every </w:t>
      </w:r>
      <w:r>
        <w:rPr>
          <w:rFonts w:ascii="Consolas" w:hAnsi="Consolas"/>
          <w:sz w:val="20"/>
        </w:rPr>
        <w:t>&lt;&lt;FILL: ...&gt;&gt;</w:t>
      </w:r>
      <w:r>
        <w:t xml:space="preserve"> placeholder with your own specifics, set your document numbers and dates, and route it through your normal document control, review, and approval. A worked filled specimen follows the template. This is general guidance to adapt, not legal or regulatory advice; confirm the Act's text, articles, and dates against the current Official Journal version before relying on a classification.</w:t>
      </w:r>
    </w:p>
    <w:p>
      <w:pPr>
        <w:pStyle w:val="Heading1"/>
      </w:pPr>
      <w:r>
        <w:rPr>
          <w:color w:val="0B2E4F"/>
        </w:rPr>
        <w:t>Document control header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Record title</w:t>
            </w:r>
          </w:p>
        </w:tc>
        <w:tc>
          <w:tcPr>
            <w:tcW w:type="dxa" w:w="4320"/>
          </w:tcPr>
          <w:p>
            <w:r/>
            <w:r>
              <w:t xml:space="preserve">EU AI Act Classification: </w:t>
            </w:r>
            <w:r>
              <w:rPr>
                <w:rFonts w:ascii="Consolas" w:hAnsi="Consolas"/>
                <w:sz w:val="20"/>
              </w:rPr>
              <w:t>&lt;&lt;FILL: system name&gt;&gt;</w:t>
            </w:r>
          </w:p>
        </w:tc>
      </w:tr>
      <w:tr>
        <w:tc>
          <w:tcPr>
            <w:tcW w:type="dxa" w:w="4320"/>
          </w:tcPr>
          <w:p>
            <w:r/>
            <w:r>
              <w:t>Document number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CLASS-AI-ID&gt;&gt;</w:t>
            </w:r>
          </w:p>
        </w:tc>
      </w:tr>
      <w:tr>
        <w:tc>
          <w:tcPr>
            <w:tcW w:type="dxa" w:w="4320"/>
          </w:tcPr>
          <w:p>
            <w:r/>
            <w: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Date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Linked register entry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register System ID&gt;&gt;</w:t>
            </w:r>
          </w:p>
        </w:tc>
      </w:tr>
      <w:tr>
        <w:tc>
          <w:tcPr>
            <w:tcW w:type="dxa" w:w="4320"/>
          </w:tcPr>
          <w:p>
            <w:r/>
            <w:r>
              <w:t>Owner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AI Governance Lead&gt;&gt;</w:t>
            </w:r>
          </w:p>
        </w:tc>
      </w:tr>
    </w:tbl>
    <w:p/>
    <w:p>
      <w:pPr>
        <w:pStyle w:val="Heading1"/>
      </w:pPr>
      <w:r>
        <w:rPr>
          <w:color w:val="0B2E4F"/>
        </w:rPr>
        <w:t>1. System description and intended purpose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System name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What it does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function, inputs, outputs, the decision it informs&gt;&gt;</w:t>
            </w:r>
          </w:p>
        </w:tc>
      </w:tr>
      <w:tr>
        <w:tc>
          <w:tcPr>
            <w:tcW w:type="dxa" w:w="4320"/>
          </w:tcPr>
          <w:p>
            <w:r/>
            <w:r>
              <w:t>Degree of autonomy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advisory only / influences a human decision / acts without human review&gt;&gt;</w:t>
            </w:r>
          </w:p>
        </w:tc>
      </w:tr>
      <w:tr>
        <w:tc>
          <w:tcPr>
            <w:tcW w:type="dxa" w:w="4320"/>
          </w:tcPr>
          <w:p>
            <w:r/>
            <w:r>
              <w:t>Where output is used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include whether used in the EU&gt;&gt;</w:t>
            </w:r>
          </w:p>
        </w:tc>
      </w:tr>
      <w:tr>
        <w:tc>
          <w:tcPr>
            <w:tcW w:type="dxa" w:w="4320"/>
          </w:tcPr>
          <w:p>
            <w:r/>
            <w:r>
              <w:t>Develop or buy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built in-house / commercial / embedded&gt;&gt;</w:t>
            </w:r>
          </w:p>
        </w:tc>
      </w:tr>
    </w:tbl>
    <w:p/>
    <w:p>
      <w:pPr>
        <w:pStyle w:val="Heading1"/>
      </w:pPr>
      <w:r>
        <w:rPr>
          <w:color w:val="0B2E4F"/>
        </w:rPr>
        <w:t>2. Step 1: Prohibited-use screen (Article 5)</w:t>
      </w:r>
    </w:p>
    <w:p>
      <w:r>
        <w:t>Screen first, because this is the highest-penalty band.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Prohibited category (Article 5)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Applies?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r/>
            <w:r>
              <w:t>Social scoring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&lt;&lt;FILL: No / Flag&gt;&gt;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2880"/>
          </w:tcPr>
          <w:p>
            <w:r/>
            <w:r>
              <w:t>Untargeted facial-image scraping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2880"/>
          </w:tcPr>
          <w:p>
            <w:r/>
            <w:r>
              <w:t>Manipulative or exploitative systems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2880"/>
          </w:tcPr>
          <w:p>
            <w:r/>
            <w:r>
              <w:t>Emotion inference in the workplace (narrow medical/safety exception)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&lt;&lt;FILL: check HR tools&gt;&gt;</w:t>
            </w:r>
          </w:p>
        </w:tc>
      </w:tr>
      <w:tr>
        <w:tc>
          <w:tcPr>
            <w:tcW w:type="dxa" w:w="2880"/>
          </w:tcPr>
          <w:p>
            <w:r/>
            <w:r>
              <w:t>Prohibited biometric categorisation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&lt;&lt;FILL: check security tools&gt;&gt;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Screen result</w:t>
            </w:r>
          </w:p>
        </w:tc>
        <w:tc>
          <w:tcPr>
            <w:tcW w:type="dxa" w:w="2880"/>
          </w:tcPr>
          <w:p>
            <w:r/>
            <w:r>
              <w:t>Pass / Flag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r>
        <w:t>If any category is flagged, stop and escalate to Legal; do not deploy pending resolution.</w:t>
      </w:r>
    </w:p>
    <w:p>
      <w:pPr>
        <w:pStyle w:val="Heading1"/>
      </w:pPr>
      <w:r>
        <w:rPr>
          <w:color w:val="0B2E4F"/>
        </w:rPr>
        <w:t>3. Step 2: High-risk determination (Article 6)</w:t>
      </w:r>
    </w:p>
    <w:p>
      <w:r>
        <w:rPr>
          <w:b/>
        </w:rPr>
        <w:t>Route 1, Annex I (Article 6(1)): AI inside a regulated product.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Answer</w:t>
            </w:r>
          </w:p>
        </w:tc>
      </w:tr>
      <w:tr>
        <w:tc>
          <w:tcPr>
            <w:tcW w:type="dxa" w:w="4320"/>
          </w:tcPr>
          <w:p>
            <w:r/>
            <w:r>
              <w:t>Is the AI a safety component of, or itself, a product under listed EU product-safety law (e.g. MDR (EU) 2017/745 or IVDR (EU) 2017/746)?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Yes / No&gt;&gt;</w:t>
            </w:r>
          </w:p>
        </w:tc>
      </w:tr>
      <w:tr>
        <w:tc>
          <w:tcPr>
            <w:tcW w:type="dxa" w:w="4320"/>
          </w:tcPr>
          <w:p>
            <w:r/>
            <w:r>
              <w:t>Does that product require third-party (notified-body) conformity assessment? (broadly MDR Class IIa+ or IVDR Class B+)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Yes / No&gt;&gt;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Annex I high-risk?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Yes if both Yes&gt;&gt;</w:t>
            </w:r>
          </w:p>
        </w:tc>
      </w:tr>
    </w:tbl>
    <w:p/>
    <w:p>
      <w:r>
        <w:rPr>
          <w:b/>
        </w:rPr>
        <w:t>Route 2, Annex III (Article 6(2)): listed standalone uses</w:t>
      </w:r>
      <w:r>
        <w:t xml:space="preserve"> (e.g. employment and worker management, access to essential services, biometric identification, critical infrastructure).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Answer</w:t>
            </w:r>
          </w:p>
        </w:tc>
      </w:tr>
      <w:tr>
        <w:tc>
          <w:tcPr>
            <w:tcW w:type="dxa" w:w="4320"/>
          </w:tcPr>
          <w:p>
            <w:r/>
            <w:r>
              <w:t>Does the system fall in an Annex III category?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Yes / No, which&gt;&gt;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Annex III high-risk (subject to the exception below)?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pPr>
        <w:pStyle w:val="Heading1"/>
      </w:pPr>
      <w:r>
        <w:rPr>
          <w:color w:val="0B2E4F"/>
        </w:rPr>
        <w:t>4. Step 2a: Article 6(3) non-high-risk exception (only if Annex III applied)</w:t>
      </w:r>
    </w:p>
    <w:p>
      <w:r>
        <w:t>A provider may treat an Annex III system as not high-risk if it does not pose a significant risk of harm. This section is the Article 6(4) documented justification and must be completed before the system goes on the market.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Exception condition (Article 6(3))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Met?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Justification</w:t>
            </w:r>
          </w:p>
        </w:tc>
      </w:tr>
      <w:tr>
        <w:tc>
          <w:tcPr>
            <w:tcW w:type="dxa" w:w="2880"/>
          </w:tcPr>
          <w:p>
            <w:r/>
            <w:r>
              <w:t>Performs a narrow procedural task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2880"/>
          </w:tcPr>
          <w:p>
            <w:r/>
            <w:r>
              <w:t>Only improves the result of completed human activity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2880"/>
          </w:tcPr>
          <w:p>
            <w:r/>
            <w:r>
              <w:t>Detects patterns / deviations without replacing or influencing the human assessment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2880"/>
          </w:tcPr>
          <w:p>
            <w:r/>
            <w:r>
              <w:t>Performs a preparatory task to an assessment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2880"/>
          </w:tcPr>
          <w:p>
            <w:r/>
            <w:r>
              <w:t>Does the system profile natural persons? (if yes, always high-risk, exception unavailable)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&lt;&lt;FILL: No required to use exception&gt;&gt;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Conclusion</w:t>
            </w:r>
          </w:p>
        </w:tc>
        <w:tc>
          <w:tcPr>
            <w:tcW w:type="dxa" w:w="2880"/>
          </w:tcPr>
          <w:p>
            <w:r/>
            <w:r>
              <w:t>Not high-risk / High-risk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&lt;&lt;FILL: the reasoned basis&gt;&gt;</w:t>
            </w:r>
          </w:p>
        </w:tc>
      </w:tr>
    </w:tbl>
    <w:p/>
    <w:p>
      <w:pPr>
        <w:pStyle w:val="Heading1"/>
      </w:pPr>
      <w:r>
        <w:rPr>
          <w:color w:val="0B2E4F"/>
        </w:rPr>
        <w:t>5. Step 3 and 4: Limited and minimal risk (if not high-risk)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Answer</w:t>
            </w:r>
          </w:p>
        </w:tc>
      </w:tr>
      <w:tr>
        <w:tc>
          <w:tcPr>
            <w:tcW w:type="dxa" w:w="4320"/>
          </w:tcPr>
          <w:p>
            <w:r/>
            <w:r>
              <w:t>Does it interact with people or generate/manipulate content?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Yes -&gt; limited risk (transparency duties) / No&gt;&gt;</w:t>
            </w:r>
          </w:p>
        </w:tc>
      </w:tr>
      <w:tr>
        <w:tc>
          <w:tcPr>
            <w:tcW w:type="dxa" w:w="4320"/>
          </w:tcPr>
          <w:p>
            <w:r/>
            <w:r>
              <w:t>If not prohibited, high, or limited: minimal risk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pPr>
        <w:pStyle w:val="Heading1"/>
      </w:pPr>
      <w:r>
        <w:rPr>
          <w:color w:val="0B2E4F"/>
        </w:rPr>
        <w:t>6. Role determination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Answer</w:t>
            </w:r>
          </w:p>
        </w:tc>
      </w:tr>
      <w:tr>
        <w:tc>
          <w:tcPr>
            <w:tcW w:type="dxa" w:w="4320"/>
          </w:tcPr>
          <w:p>
            <w:r/>
            <w:r>
              <w:t>Do you develop it or have it built and put it on the market under your name?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Yes -&gt; Provider&gt;&gt;</w:t>
            </w:r>
          </w:p>
        </w:tc>
      </w:tr>
      <w:tr>
        <w:tc>
          <w:tcPr>
            <w:tcW w:type="dxa" w:w="4320"/>
          </w:tcPr>
          <w:p>
            <w:r/>
            <w:r>
              <w:t>Do you use it under your own authority in a professional context?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Yes -&gt; Deployer&gt;&gt;</w:t>
            </w:r>
          </w:p>
        </w:tc>
      </w:tr>
      <w:tr>
        <w:tc>
          <w:tcPr>
            <w:tcW w:type="dxa" w:w="4320"/>
          </w:tcPr>
          <w:p>
            <w:r/>
            <w:r>
              <w:t>Did you substantially modify or retrain a bought system, changing its purpose or behaviour?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Yes -&gt; you may become the Provider of a new system&gt;&gt;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Provider / Deployer / Both&gt;&gt;</w:t>
            </w:r>
          </w:p>
        </w:tc>
      </w:tr>
    </w:tbl>
    <w:p/>
    <w:p>
      <w:pPr>
        <w:pStyle w:val="Heading1"/>
      </w:pPr>
      <w:r>
        <w:rPr>
          <w:color w:val="0B2E4F"/>
        </w:rPr>
        <w:t>7. Resulting obligations and owners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Obligation area (scaled to tier and role)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Applies?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Internal owner</w:t>
            </w:r>
          </w:p>
        </w:tc>
      </w:tr>
      <w:tr>
        <w:tc>
          <w:tcPr>
            <w:tcW w:type="dxa" w:w="2880"/>
          </w:tcPr>
          <w:p>
            <w:r/>
            <w:r>
              <w:t>Risk-management system across lifecycle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2880"/>
          </w:tcPr>
          <w:p>
            <w:r/>
            <w:r>
              <w:t>Data governance and data-quality for training/validation/test data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t>Data Science</w:t>
            </w:r>
          </w:p>
        </w:tc>
      </w:tr>
      <w:tr>
        <w:tc>
          <w:tcPr>
            <w:tcW w:type="dxa" w:w="2880"/>
          </w:tcPr>
          <w:p>
            <w:r/>
            <w:r>
              <w:t>Technical documentation (kept current)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2880"/>
          </w:tcPr>
          <w:p>
            <w:r/>
            <w:r>
              <w:t>Automatic logging / record-keeping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2880"/>
          </w:tcPr>
          <w:p>
            <w:r/>
            <w:r>
              <w:t>Human oversight design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2880"/>
          </w:tcPr>
          <w:p>
            <w:r/>
            <w:r>
              <w:t>Accuracy, robustness, cybersecurity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2880"/>
          </w:tcPr>
          <w:p>
            <w:r/>
            <w:r>
              <w:t>Quality management system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t>Quality</w:t>
            </w:r>
          </w:p>
        </w:tc>
      </w:tr>
      <w:tr>
        <w:tc>
          <w:tcPr>
            <w:tcW w:type="dxa" w:w="2880"/>
          </w:tcPr>
          <w:p>
            <w:r/>
            <w:r>
              <w:t>Conformity assessment and CE marking (high-risk)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t>Regulatory Affairs</w:t>
            </w:r>
          </w:p>
        </w:tc>
      </w:tr>
      <w:tr>
        <w:tc>
          <w:tcPr>
            <w:tcW w:type="dxa" w:w="2880"/>
          </w:tcPr>
          <w:p>
            <w:r/>
            <w:r>
              <w:t>Registration and post-market monitoring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2880"/>
          </w:tcPr>
          <w:p>
            <w:r/>
            <w:r>
              <w:t>Transparency (limited risk: disclose AI / mark content)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2880"/>
          </w:tcPr>
          <w:p>
            <w:r/>
            <w:r>
              <w:t>GDPR lawful basis and DPIA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t>Legal / Privacy</w:t>
            </w:r>
          </w:p>
        </w:tc>
      </w:tr>
    </w:tbl>
    <w:p/>
    <w:p>
      <w:pPr>
        <w:pStyle w:val="Heading1"/>
      </w:pPr>
      <w:r>
        <w:rPr>
          <w:color w:val="0B2E4F"/>
        </w:rPr>
        <w:t>8. Conclusion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Final classification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Prohibited / High-risk (Annex I or III) / Limited / Minimal&gt;&gt;</w:t>
            </w:r>
          </w:p>
        </w:tc>
      </w:tr>
      <w:tr>
        <w:tc>
          <w:tcPr>
            <w:tcW w:type="dxa" w:w="4320"/>
          </w:tcPr>
          <w:p>
            <w:r/>
            <w:r>
              <w:t>Role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Applicable deadline (verify current)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Re-classification triggers</w:t>
            </w:r>
          </w:p>
        </w:tc>
        <w:tc>
          <w:tcPr>
            <w:tcW w:type="dxa" w:w="4320"/>
          </w:tcPr>
          <w:p>
            <w:r/>
            <w:r>
              <w:t>Retraining, repurposing, new intended use, change of provider, Act amendment</w:t>
            </w:r>
          </w:p>
        </w:tc>
      </w:tr>
    </w:tbl>
    <w:p/>
    <w:p>
      <w:pPr>
        <w:pStyle w:val="Heading1"/>
      </w:pPr>
      <w:r>
        <w:rPr>
          <w:color w:val="0B2E4F"/>
        </w:rPr>
        <w:t>9. References</w:t>
      </w:r>
    </w:p>
    <w:p>
      <w:pPr>
        <w:ind w:left="432"/>
      </w:pPr>
      <w:r>
        <w:rPr>
          <w:i/>
          <w:color w:val="6B7076"/>
        </w:rPr>
        <w:t>Regulation (EU) 2024/1689: Article 5; Article 6(1) and Annex I; Article 6(2) and Annex III; Article 6(3) and 6(4); transparency obligations (Article 50).</w:t>
      </w:r>
    </w:p>
    <w:p>
      <w:pPr>
        <w:ind w:left="432"/>
      </w:pPr>
      <w:r>
        <w:rPr>
          <w:i/>
          <w:color w:val="6B7076"/>
        </w:rPr>
        <w:t>EU MDR (EU) 2017/745 and IVDR (EU) 2017/746 for the device-constituent route.</w:t>
      </w:r>
    </w:p>
    <w:p>
      <w:pPr>
        <w:ind w:left="432"/>
      </w:pPr>
      <w:r>
        <w:rPr>
          <w:i/>
          <w:color w:val="6B7076"/>
        </w:rPr>
        <w:t>GDPR (EU) 2016/679 for the personal-data overlap.</w:t>
      </w:r>
    </w:p>
    <w:p>
      <w:pPr>
        <w:ind w:left="432"/>
      </w:pPr>
      <w:r>
        <w:rPr>
          <w:i/>
          <w:color w:val="6B7076"/>
        </w:rPr>
        <w:t>Confirm articles and dates against the current Official Journal text; the Digital Omnibus package may alter dates and details.</w:t>
      </w:r>
    </w:p>
    <w:p>
      <w:pPr>
        <w:pStyle w:val="Heading1"/>
      </w:pPr>
      <w:r>
        <w:rPr>
          <w:color w:val="0B2E4F"/>
        </w:rPr>
        <w:t>10. Approvals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t>Author (AI Governance)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Reviewer (Legal/Regulatory)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Approver (Quality)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color w:val="6B7076"/>
        </w:rPr>
        <w:t>──────────────────────────────</w:t>
      </w:r>
    </w:p>
    <w:p>
      <w:pPr>
        <w:pStyle w:val="Heading1"/>
      </w:pPr>
      <w:r>
        <w:rPr>
          <w:color w:val="0B2E4F"/>
        </w:rPr>
        <w:t>Filled specimen</w:t>
      </w:r>
    </w:p>
    <w:p>
      <w:r>
        <w:t>Classification of an example operational quality model (illustrative).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System</w:t>
            </w:r>
          </w:p>
        </w:tc>
        <w:tc>
          <w:tcPr>
            <w:tcW w:type="dxa" w:w="4320"/>
          </w:tcPr>
          <w:p>
            <w:r/>
            <w:r>
              <w:t>Deviation-triage model that ranks open deviations by suggested investigation priority</w:t>
            </w:r>
          </w:p>
        </w:tc>
      </w:tr>
      <w:tr>
        <w:tc>
          <w:tcPr>
            <w:tcW w:type="dxa" w:w="4320"/>
          </w:tcPr>
          <w:p>
            <w:r/>
            <w:r>
              <w:t>Autonomy</w:t>
            </w:r>
          </w:p>
        </w:tc>
        <w:tc>
          <w:tcPr>
            <w:tcW w:type="dxa" w:w="4320"/>
          </w:tcPr>
          <w:p>
            <w:r/>
            <w:r>
              <w:t>Advisory: ranks deviations already opened by humans; humans decide and act</w:t>
            </w:r>
          </w:p>
        </w:tc>
      </w:tr>
      <w:tr>
        <w:tc>
          <w:tcPr>
            <w:tcW w:type="dxa" w:w="4320"/>
          </w:tcPr>
          <w:p>
            <w:r/>
            <w:r>
              <w:t>Article 5 screen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Annex I route</w:t>
            </w:r>
          </w:p>
        </w:tc>
        <w:tc>
          <w:tcPr>
            <w:tcW w:type="dxa" w:w="4320"/>
          </w:tcPr>
          <w:p>
            <w:r/>
            <w:r>
              <w:t>No (not a regulated product)</w:t>
            </w:r>
          </w:p>
        </w:tc>
      </w:tr>
      <w:tr>
        <w:tc>
          <w:tcPr>
            <w:tcW w:type="dxa" w:w="4320"/>
          </w:tcPr>
          <w:p>
            <w:r/>
            <w:r>
              <w:t>Annex III route</w:t>
            </w:r>
          </w:p>
        </w:tc>
        <w:tc>
          <w:tcPr>
            <w:tcW w:type="dxa" w:w="4320"/>
          </w:tcPr>
          <w:p>
            <w:r/>
            <w:r>
              <w:t>Not in an Annex III category (not employment, essential services, or biometric)</w:t>
            </w:r>
          </w:p>
        </w:tc>
      </w:tr>
      <w:tr>
        <w:tc>
          <w:tcPr>
            <w:tcW w:type="dxa" w:w="4320"/>
          </w:tcPr>
          <w:p>
            <w:r/>
            <w:r>
              <w:t>Article 6(3)</w:t>
            </w:r>
          </w:p>
        </w:tc>
        <w:tc>
          <w:tcPr>
            <w:tcW w:type="dxa" w:w="4320"/>
          </w:tcPr>
          <w:p>
            <w:r/>
            <w:r>
              <w:t>Not reached (Annex III did not apply); even if it had, the model only improves the result of completed human activity and does not profile persons</w:t>
            </w:r>
          </w:p>
        </w:tc>
      </w:tr>
      <w:tr>
        <w:tc>
          <w:tcPr>
            <w:tcW w:type="dxa" w:w="4320"/>
          </w:tcPr>
          <w:p>
            <w:r/>
            <w:r>
              <w:t>Limited risk?</w:t>
            </w:r>
          </w:p>
        </w:tc>
        <w:tc>
          <w:tcPr>
            <w:tcW w:type="dxa" w:w="4320"/>
          </w:tcPr>
          <w:p>
            <w:r/>
            <w:r>
              <w:t>No (does not interact with the public or generate content)</w:t>
            </w:r>
          </w:p>
        </w:tc>
      </w:tr>
      <w:tr>
        <w:tc>
          <w:tcPr>
            <w:tcW w:type="dxa" w:w="4320"/>
          </w:tcPr>
          <w:p>
            <w:r/>
            <w:r>
              <w:t>Final classification</w:t>
            </w:r>
          </w:p>
        </w:tc>
        <w:tc>
          <w:tcPr>
            <w:tcW w:type="dxa" w:w="4320"/>
          </w:tcPr>
          <w:p>
            <w:r/>
            <w:r>
              <w:t>Minimal risk</w:t>
            </w:r>
          </w:p>
        </w:tc>
      </w:tr>
      <w:tr>
        <w:tc>
          <w:tcPr>
            <w:tcW w:type="dxa" w:w="4320"/>
          </w:tcPr>
          <w:p>
            <w:r/>
            <w:r>
              <w:t>Role</w:t>
            </w:r>
          </w:p>
        </w:tc>
        <w:tc>
          <w:tcPr>
            <w:tcW w:type="dxa" w:w="4320"/>
          </w:tcPr>
          <w:p>
            <w:r/>
            <w:r>
              <w:t>Provider and Deployer (built in-house for own use)</w:t>
            </w:r>
          </w:p>
        </w:tc>
      </w:tr>
      <w:tr>
        <w:tc>
          <w:tcPr>
            <w:tcW w:type="dxa" w:w="4320"/>
          </w:tcPr>
          <w:p>
            <w:r/>
            <w:r>
              <w:t>Obligations</w:t>
            </w:r>
          </w:p>
        </w:tc>
        <w:tc>
          <w:tcPr>
            <w:tcW w:type="dxa" w:w="4320"/>
          </w:tcPr>
          <w:p>
            <w:r/>
            <w:r>
              <w:t>No mandatory AI-Act obligations; voluntary good practice applies. Documented here so the conclusion survives a question.</w:t>
            </w:r>
          </w:p>
        </w:tc>
      </w:tr>
    </w:tbl>
    <w:p/>
    <w:p>
      <w:r>
        <w:t xml:space="preserve">Contrast with the connected dosing device feature: assessed on its own the device constituent is MDR Class IIa and needs a notified body, so the AI is high-risk by the Annex I route, the role is provider, and the full conformity regime applies, assessed inside the MDR procedure (see </w:t>
      </w:r>
      <w:r>
        <w:t>matrix-ai-act-mdr-ivdr-crosswalk</w:t>
      </w:r>
      <w:r>
        <w:t>).</w:t>
      </w:r>
    </w:p>
    <w:p>
      <w:pPr>
        <w:pStyle w:val="Heading1"/>
      </w:pPr>
      <w:r>
        <w:rPr>
          <w:color w:val="0B2E4F"/>
        </w:rPr>
        <w:t>Common findings this record prevents</w:t>
      </w:r>
    </w:p>
    <w:p>
      <w:pPr>
        <w:pStyle w:val="ListBullet"/>
      </w:pPr>
      <w:r>
        <w:t>A "minimal-risk" or "not-high-risk" conclusion with no written reasoning.</w:t>
      </w:r>
    </w:p>
    <w:p>
      <w:pPr>
        <w:pStyle w:val="ListBullet"/>
      </w:pPr>
      <w:r>
        <w:t>Using the Article 6(3) exception without the Article 6(4) documented assessment made before market.</w:t>
      </w:r>
    </w:p>
    <w:p>
      <w:pPr>
        <w:pStyle w:val="ListBullet"/>
      </w:pPr>
      <w:r>
        <w:t>Misreading the role: treating yourself as a deployer when you built or retrained the model.</w:t>
      </w:r>
    </w:p>
    <w:p>
      <w:pPr>
        <w:pStyle w:val="ListBullet"/>
      </w:pPr>
      <w:r>
        <w:t>Skipping the prohibited-use screen on HR and security tools.</w:t>
      </w:r>
    </w:p>
    <w:p>
      <w:pPr>
        <w:pStyle w:val="ListBullet"/>
      </w:pPr>
      <w:r>
        <w:t>Treating MDR/IVDR conformity as if it covered the AI-Act requirements.</w:t>
      </w:r>
    </w:p>
    <w:p>
      <w:pPr>
        <w:pStyle w:val="Heading1"/>
      </w:pPr>
      <w:r>
        <w:rPr>
          <w:color w:val="0B2E4F"/>
        </w:rPr>
        <w:t>How to adapt this record</w:t>
      </w:r>
    </w:p>
    <w:p>
      <w:pPr>
        <w:pStyle w:val="ListNumber"/>
      </w:pPr>
      <w:r>
        <w:t>Complete one record per AI system and link it to the inventory register row.</w:t>
      </w:r>
    </w:p>
    <w:p>
      <w:pPr>
        <w:pStyle w:val="ListNumber"/>
      </w:pPr>
      <w:r>
        <w:t>Run the steps in order: prohibited screen, high-risk routes, exception, transparency.</w:t>
      </w:r>
    </w:p>
    <w:p>
      <w:pPr>
        <w:pStyle w:val="ListNumber"/>
      </w:pPr>
      <w:r>
        <w:t>Record the Article 6(4) justification as controlled data when you rely on the exception.</w:t>
      </w:r>
    </w:p>
    <w:p>
      <w:pPr>
        <w:pStyle w:val="ListNumber"/>
      </w:pPr>
      <w:r>
        <w:t>Assign each resulting obligation to a named internal owner.</w:t>
      </w:r>
    </w:p>
    <w:p>
      <w:pPr>
        <w:pStyle w:val="ListNumber"/>
      </w:pPr>
      <w:r>
        <w:t>Confirm the articles and deadlines against the current Official Journal text.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076"/>
        <w:sz w:val="16"/>
      </w:rPr>
      <w:t>madhadi.com  ·  Goutham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Assessment: EU AI Act Risk-Tier Classification and Non-High-Risk Justification</dc:title>
  <dc:subject/>
  <dc:creator>Goutham Madhadi</dc:creator>
  <cp:keywords/>
  <dc:description>Plug-and-play template from madhadi.com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