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Form: CAPA Record</w:t>
      </w:r>
    </w:p>
    <w:p>
      <w:r>
        <w:t xml:space="preserve">This is a ready-to-use CAPA record form. It is the working document a CAPA lives on, from opening to closure, and it pairs with the CAPA management SOP.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placeholder, populate the fields in sequence as the CAPA moves (not all at the end), and route signatures through your normal quality system. A filled specimen follows so you can see how a completed record reads.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Form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Form title</w:t>
            </w:r>
          </w:p>
        </w:tc>
        <w:tc>
          <w:tcPr>
            <w:tcW w:type="dxa" w:w="4320"/>
          </w:tcPr>
          <w:p>
            <w:r/>
            <w:r>
              <w:t>CAPA Record</w:t>
            </w:r>
          </w:p>
        </w:tc>
      </w:tr>
      <w:tr>
        <w:tc>
          <w:tcPr>
            <w:tcW w:type="dxa" w:w="4320"/>
          </w:tcPr>
          <w:p>
            <w:r/>
            <w:r>
              <w:t>Form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FORM-ID, e.g. FORM-QA-020-01&gt;&gt;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version, e.g. 1.0&gt;&gt;</w:t>
            </w:r>
          </w:p>
        </w:tc>
      </w:tr>
      <w:tr>
        <w:tc>
          <w:tcPr>
            <w:tcW w:type="dxa" w:w="4320"/>
          </w:tcPr>
          <w:p>
            <w:r/>
            <w: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effective date&gt;&gt;</w:t>
            </w:r>
          </w:p>
        </w:tc>
      </w:tr>
      <w:tr>
        <w:tc>
          <w:tcPr>
            <w:tcW w:type="dxa" w:w="4320"/>
          </w:tcPr>
          <w:p>
            <w:r/>
            <w:r>
              <w:t>Governing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SOP-ID for CAPA management&gt;&gt;</w:t>
            </w:r>
          </w:p>
        </w:tc>
      </w:tr>
      <w:tr>
        <w:tc>
          <w:tcPr>
            <w:tcW w:type="dxa" w:w="4320"/>
          </w:tcPr>
          <w:p>
            <w:r/>
            <w:r>
              <w:t>Retention</w:t>
            </w:r>
          </w:p>
        </w:tc>
        <w:tc>
          <w:tcPr>
            <w:tcW w:type="dxa" w:w="4320"/>
          </w:tcPr>
          <w:p>
            <w:r/>
            <w:r>
              <w:t xml:space="preserve">Not less than </w:t>
            </w:r>
            <w:r>
              <w:rPr>
                <w:rFonts w:ascii="Consolas" w:hAnsi="Consolas"/>
                <w:sz w:val="20"/>
              </w:rPr>
              <w:t>&lt;&lt;FILL: retention period&gt;&gt;</w:t>
            </w:r>
          </w:p>
        </w:tc>
      </w:tr>
    </w:tbl>
    <w:p/>
    <w:p>
      <w:pPr>
        <w:pStyle w:val="Heading1"/>
      </w:pPr>
      <w:r>
        <w:rPr>
          <w:color w:val="0B2E4F"/>
        </w:rPr>
        <w:t>Section A: Identification and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CAPA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CAPA-ID&gt;&gt;</w:t>
            </w:r>
          </w:p>
        </w:tc>
      </w:tr>
      <w:tr>
        <w:tc>
          <w:tcPr>
            <w:tcW w:type="dxa" w:w="4320"/>
          </w:tcPr>
          <w:p>
            <w:r/>
            <w:r>
              <w:t>Date opened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</w:tr>
      <w:tr>
        <w:tc>
          <w:tcPr>
            <w:tcW w:type="dxa" w:w="4320"/>
          </w:tcPr>
          <w:p>
            <w:r/>
            <w:r>
              <w:t>Initiator (name, role)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CAPA owner (name, role)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Source / trigger</w:t>
            </w:r>
          </w:p>
        </w:tc>
        <w:tc>
          <w:tcPr>
            <w:tcW w:type="dxa" w:w="4320"/>
          </w:tcPr>
          <w:p>
            <w:r/>
            <w:r>
              <w:t xml:space="preserve">Deviation / OOS or OOT / internal audit / external audit / complaint / adverse event or field action / supplier nonconformance / nonconforming product / 483 or warning letter / trend or management review / other: </w:t>
            </w:r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Source record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DEV-..., OOS-..., IA-..., CMP-...&gt;&gt;</w:t>
            </w:r>
          </w:p>
        </w:tc>
      </w:tr>
      <w:tr>
        <w:tc>
          <w:tcPr>
            <w:tcW w:type="dxa" w:w="4320"/>
          </w:tcPr>
          <w:p>
            <w:r/>
            <w:r>
              <w:t>Type</w:t>
            </w:r>
          </w:p>
        </w:tc>
        <w:tc>
          <w:tcPr>
            <w:tcW w:type="dxa" w:w="4320"/>
          </w:tcPr>
          <w:p>
            <w:r/>
            <w:r>
              <w:t>Corrective (a failure has occurred) / Preventive (a risk identified before failure)</w:t>
            </w:r>
          </w:p>
        </w:tc>
      </w:tr>
    </w:tbl>
    <w:p/>
    <w:p>
      <w:pPr>
        <w:pStyle w:val="Heading1"/>
      </w:pPr>
      <w:r>
        <w:rPr>
          <w:color w:val="0B2E4F"/>
        </w:rPr>
        <w:t>Section B: Problem statement</w:t>
      </w:r>
    </w:p>
    <w:p>
      <w:r>
        <w:t>State what failed, where, when, how it was detected, and what is known to be affected. State facts only. Do not state or imply a cause here.</w:t>
      </w:r>
    </w:p>
    <w:p>
      <w:pPr>
        <w:ind w:left="432"/>
      </w:pPr>
      <w:r>
        <w:rPr>
          <w:rFonts w:ascii="Consolas" w:hAnsi="Consolas"/>
          <w:i/>
          <w:color w:val="6B7076"/>
          <w:sz w:val="20"/>
        </w:rPr>
        <w:t>&lt;&lt;FILL: factual problem statement&gt;&gt;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Confirmed</w:t>
            </w:r>
          </w:p>
        </w:tc>
      </w:tr>
      <w:tr>
        <w:tc>
          <w:tcPr>
            <w:tcW w:type="dxa" w:w="4320"/>
          </w:tcPr>
          <w:p>
            <w:r/>
            <w:r>
              <w:t>Names what failed, where, when, how detected, what is affected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Contains no assumed cause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QA approved the problem statement (name,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Section C: Risk assessment and containment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Affected product in distribution?</w:t>
            </w:r>
          </w:p>
        </w:tc>
        <w:tc>
          <w:tcPr>
            <w:tcW w:type="dxa" w:w="4320"/>
          </w:tcPr>
          <w:p>
            <w:r/>
            <w:r>
              <w:t>Yes / No / Not applicable</w:t>
            </w:r>
          </w:p>
        </w:tc>
      </w:tr>
      <w:tr>
        <w:tc>
          <w:tcPr>
            <w:tcW w:type="dxa" w:w="4320"/>
          </w:tcPr>
          <w:p>
            <w:r/>
            <w:r>
              <w:t>Affected scope (boundary of "affected")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one instrument / whole lab; one batch / all since last known-good&gt;&gt;</w:t>
            </w:r>
          </w:p>
        </w:tc>
      </w:tr>
      <w:tr>
        <w:tc>
          <w:tcPr>
            <w:tcW w:type="dxa" w:w="4320"/>
          </w:tcPr>
          <w:p>
            <w:r/>
            <w:r>
              <w:t>Potential impact</w:t>
            </w:r>
          </w:p>
        </w:tc>
        <w:tc>
          <w:tcPr>
            <w:tcW w:type="dxa" w:w="4320"/>
          </w:tcPr>
          <w:p>
            <w:r/>
            <w:r>
              <w:t>Negligible / Minor / Major / Critical</w:t>
            </w:r>
          </w:p>
        </w:tc>
      </w:tr>
      <w:tr>
        <w:tc>
          <w:tcPr>
            <w:tcW w:type="dxa" w:w="4320"/>
          </w:tcPr>
          <w:p>
            <w:r/>
            <w:r>
              <w:t>Likelihood of recurrence</w:t>
            </w:r>
          </w:p>
        </w:tc>
        <w:tc>
          <w:tcPr>
            <w:tcW w:type="dxa" w:w="4320"/>
          </w:tcPr>
          <w:p>
            <w:r/>
            <w:r>
              <w:t>Isolated / Occasional / Frequent / Systemic</w:t>
            </w:r>
          </w:p>
        </w:tc>
      </w:tr>
      <w:tr>
        <w:tc>
          <w:tcPr>
            <w:tcW w:type="dxa" w:w="4320"/>
          </w:tcPr>
          <w:p>
            <w:r/>
            <w:r>
              <w:t>Risk classification (drives timeline)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from the impact x recurrence matrix&gt;&gt;</w:t>
            </w:r>
          </w:p>
        </w:tc>
      </w:tr>
      <w:tr>
        <w:tc>
          <w:tcPr>
            <w:tcW w:type="dxa" w:w="4320"/>
          </w:tcPr>
          <w:p>
            <w:r/>
            <w:r>
              <w:t>Immediate corrections / containment taken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actions, owner, date&gt;&gt;</w:t>
            </w:r>
          </w:p>
        </w:tc>
      </w:tr>
      <w:tr>
        <w:tc>
          <w:tcPr>
            <w:tcW w:type="dxa" w:w="4320"/>
          </w:tcPr>
          <w:p>
            <w:r/>
            <w:r>
              <w:t>Containment decided, not deferred?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</w:tbl>
    <w:p/>
    <w:p>
      <w:pPr>
        <w:pStyle w:val="Heading1"/>
      </w:pPr>
      <w:r>
        <w:rPr>
          <w:color w:val="0B2E4F"/>
        </w:rPr>
        <w:t>Section D: Root cause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Method used</w:t>
            </w:r>
          </w:p>
        </w:tc>
        <w:tc>
          <w:tcPr>
            <w:tcW w:type="dxa" w:w="4320"/>
          </w:tcPr>
          <w:p>
            <w:r/>
            <w:r>
              <w:t xml:space="preserve">5-Why / Fishbone (Ishikawa) / FMEA / other: </w:t>
            </w:r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Investigation 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how the cause was reached&gt;&gt;</w:t>
            </w:r>
          </w:p>
        </w:tc>
      </w:tr>
      <w:tr>
        <w:tc>
          <w:tcPr>
            <w:tcW w:type="dxa" w:w="4320"/>
          </w:tcPr>
          <w:p>
            <w:r/>
            <w:r>
              <w:t>Evidence cited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records, configuration logs, interviews, system state&gt;&gt;</w:t>
            </w:r>
          </w:p>
        </w:tc>
      </w:tr>
      <w:tr>
        <w:tc>
          <w:tcPr>
            <w:tcW w:type="dxa" w:w="4320"/>
          </w:tcPr>
          <w:p>
            <w:r/>
            <w:r>
              <w:t>Root cause (systemic)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the systemic reason, not a description of what happened&gt;&gt;</w:t>
            </w:r>
          </w:p>
        </w:tc>
      </w:tr>
      <w:tr>
        <w:tc>
          <w:tcPr>
            <w:tcW w:type="dxa" w:w="4320"/>
          </w:tcPr>
          <w:p>
            <w:r/>
            <w:r>
              <w:t>If operator action: why did the system allow it to cause harm?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procedure / training / design gap&gt;&gt;</w:t>
            </w:r>
          </w:p>
        </w:tc>
      </w:tr>
      <w:tr>
        <w:tc>
          <w:tcPr>
            <w:tcW w:type="dxa" w:w="4320"/>
          </w:tcPr>
          <w:p>
            <w:r/>
            <w:r>
              <w:t>Root cause logically explains the problem statement?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QA approved the root cause (name,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Section E: Corrective and preventive action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Type (CA / PA)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Effectiveness tier (1-5)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Due date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Verification evidence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Verified (date)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Effectiveness tiers: 1 = eliminate or design out, 2 = engineering or system control, 3 = automated detection, 4 = procedural control, 5 = training or awareness. Any action standing alone at tier 4 or 5 needs a recorded reason a higher tier was not feasible.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Read-across (preventive)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Where else could this cause exist?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adjacent systems, products, processes&gt;&gt;</w:t>
            </w:r>
          </w:p>
        </w:tc>
      </w:tr>
      <w:tr>
        <w:tc>
          <w:tcPr>
            <w:tcW w:type="dxa" w:w="4320"/>
          </w:tcPr>
          <w:p>
            <w:r/>
            <w:r>
              <w:t>Read-across performed?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found and added to scope, or "none found, here is why"&gt;&gt;</w:t>
            </w:r>
          </w:p>
        </w:tc>
      </w:tr>
      <w:tr>
        <w:tc>
          <w:tcPr>
            <w:tcW w:type="dxa" w:w="4320"/>
          </w:tcPr>
          <w:p>
            <w:r/>
            <w:r>
              <w:t>211.192 extension addressed (drug investigations)</w:t>
            </w:r>
          </w:p>
        </w:tc>
        <w:tc>
          <w:tcPr>
            <w:tcW w:type="dxa" w:w="4320"/>
          </w:tcPr>
          <w:p>
            <w:r/>
            <w:r>
              <w:t>Yes / Not applicable</w:t>
            </w:r>
          </w:p>
        </w:tc>
      </w:tr>
    </w:tbl>
    <w:p/>
    <w:p>
      <w:pPr>
        <w:pStyle w:val="Heading1"/>
      </w:pPr>
      <w:r>
        <w:rPr>
          <w:color w:val="0B2E4F"/>
        </w:rPr>
        <w:t>Section F: Effectiveness check (defined at opening)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Criterion (what "effective" looks like)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e.g. zero recurrence over the window&gt;&gt;</w:t>
            </w:r>
          </w:p>
        </w:tc>
      </w:tr>
      <w:tr>
        <w:tc>
          <w:tcPr>
            <w:tcW w:type="dxa" w:w="4320"/>
          </w:tcPr>
          <w:p>
            <w:r/>
            <w:r>
              <w:t>Metric and method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recurrence count / deviation rate vs baseline / re-audit&gt;&gt;</w:t>
            </w:r>
          </w:p>
        </w:tc>
      </w:tr>
      <w:tr>
        <w:tc>
          <w:tcPr>
            <w:tcW w:type="dxa" w:w="4320"/>
          </w:tcPr>
          <w:p>
            <w:r/>
            <w:r>
              <w:t>Scheduled 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</w:tr>
      <w:tr>
        <w:tc>
          <w:tcPr>
            <w:tcW w:type="dxa" w:w="4320"/>
          </w:tcPr>
          <w:p>
            <w:r/>
            <w:r>
              <w:t>Criteria set at opening?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Result (recorded at scheduled date)</w:t>
            </w:r>
          </w:p>
        </w:tc>
        <w:tc>
          <w:tcPr>
            <w:tcW w:type="dxa" w:w="4320"/>
          </w:tcPr>
          <w:p>
            <w:r/>
            <w:r>
              <w:t xml:space="preserve">Pass / Fail: </w:t>
            </w:r>
            <w:r>
              <w:rPr>
                <w:rFonts w:ascii="Consolas" w:hAnsi="Consolas"/>
                <w:sz w:val="20"/>
              </w:rPr>
              <w:t>&lt;&lt;FILL: with supporting data&gt;&gt;</w:t>
            </w:r>
          </w:p>
        </w:tc>
      </w:tr>
      <w:tr>
        <w:tc>
          <w:tcPr>
            <w:tcW w:type="dxa" w:w="4320"/>
          </w:tcPr>
          <w:p>
            <w:r/>
            <w:r>
              <w:t>If fail: CAPA reopened, root cause revisited (reference)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Section G: Linked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Record 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Number</w:t>
            </w:r>
          </w:p>
        </w:tc>
      </w:tr>
      <w:tr>
        <w:tc>
          <w:tcPr>
            <w:tcW w:type="dxa" w:w="4320"/>
          </w:tcPr>
          <w:p>
            <w:r/>
            <w:r>
              <w:t>Deviation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  <w:tr>
        <w:tc>
          <w:tcPr>
            <w:tcW w:type="dxa" w:w="4320"/>
          </w:tcPr>
          <w:p>
            <w:r/>
            <w:r>
              <w:t>OOS / OOT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  <w:tr>
        <w:tc>
          <w:tcPr>
            <w:tcW w:type="dxa" w:w="4320"/>
          </w:tcPr>
          <w:p>
            <w:r/>
            <w:r>
              <w:t>Change control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  <w:tr>
        <w:tc>
          <w:tcPr>
            <w:tcW w:type="dxa" w:w="4320"/>
          </w:tcPr>
          <w:p>
            <w:r/>
            <w:r>
              <w:t>Complaint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  <w:tr>
        <w:tc>
          <w:tcPr>
            <w:tcW w:type="dxa" w:w="4320"/>
          </w:tcPr>
          <w:p>
            <w:r/>
            <w:r>
              <w:t>Audit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  <w:tr>
        <w:tc>
          <w:tcPr>
            <w:tcW w:type="dxa" w:w="4320"/>
          </w:tcPr>
          <w:p>
            <w:r/>
            <w:r>
              <w:t>Other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 or N/A&gt;&gt;</w:t>
            </w:r>
          </w:p>
        </w:tc>
      </w:tr>
    </w:tbl>
    <w:p/>
    <w:p>
      <w:pPr>
        <w:pStyle w:val="Heading1"/>
      </w:pPr>
      <w:r>
        <w:rPr>
          <w:color w:val="0B2E4F"/>
        </w:rPr>
        <w:t>Section H: Closure</w:t>
      </w:r>
    </w:p>
    <w:p>
      <w:r>
        <w:t>A CAPA may be closed only when all actions are verified, read-across is documented, and the effectiveness check has passed with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Closure check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Confirmed</w:t>
            </w:r>
          </w:p>
        </w:tc>
      </w:tr>
      <w:tr>
        <w:tc>
          <w:tcPr>
            <w:tcW w:type="dxa" w:w="4320"/>
          </w:tcPr>
          <w:p>
            <w:r/>
            <w:r>
              <w:t>All actions verified with objective evidence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Read-across documented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Effectiveness check passed with data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Linked records updated</w:t>
            </w:r>
          </w:p>
        </w:tc>
        <w:tc>
          <w:tcPr>
            <w:tcW w:type="dxa" w:w="4320"/>
          </w:tcPr>
          <w:p>
            <w:r/>
            <w:r>
              <w:t>Yes / No</w:t>
            </w:r>
          </w:p>
        </w:tc>
      </w:tr>
      <w:tr>
        <w:tc>
          <w:tcPr>
            <w:tcW w:type="dxa" w:w="4320"/>
          </w:tcPr>
          <w:p>
            <w:r/>
            <w:r>
              <w:t>CAPA owner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QA approval of closure (name, signature, date)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References</w:t>
      </w:r>
    </w:p>
    <w:p>
      <w:pPr>
        <w:ind w:left="432"/>
      </w:pPr>
      <w:r>
        <w:rPr>
          <w:i/>
          <w:color w:val="6B7076"/>
        </w:rPr>
        <w:t>21 CFR 820.100 (corrective and preventive action; for devices now read through the Quality Management System Regulation incorporating ISO 13485:2016, effective 02 February 2026).</w:t>
      </w:r>
    </w:p>
    <w:p>
      <w:pPr>
        <w:ind w:left="432"/>
      </w:pPr>
      <w:r>
        <w:rPr>
          <w:i/>
          <w:color w:val="6B7076"/>
        </w:rPr>
        <w:t>ISO 13485:2016, clauses 8.5.2 and 8.5.3.</w:t>
      </w:r>
    </w:p>
    <w:p>
      <w:pPr>
        <w:ind w:left="432"/>
      </w:pPr>
      <w:r>
        <w:rPr>
          <w:i/>
          <w:color w:val="6B7076"/>
        </w:rPr>
        <w:t>21 CFR 211.192 (investigation of discrepancies and failures, including extension to other batches and products).</w:t>
      </w:r>
    </w:p>
    <w:p>
      <w:pPr>
        <w:ind w:left="432"/>
      </w:pPr>
      <w:r>
        <w:rPr>
          <w:i/>
          <w:color w:val="6B7076"/>
        </w:rPr>
        <w:t>ICH Q10 (CAPA as a core element of the pharmaceutical quality system) and ICH Q9 (quality risk management).</w:t>
      </w:r>
    </w:p>
    <w:p>
      <w:r>
        <w:t>Confirm the current version and clause numbers of each reference before issue.</w:t>
      </w:r>
    </w:p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The following shows the form completed for an example data integrity event, so you can see the level of detail an inspector expects. The company, system, and numbers are illustrative; replace them with your own.</w:t>
      </w:r>
    </w:p>
    <w:p>
      <w:r>
        <w:rPr>
          <w:b/>
        </w:rPr>
        <w:t>Section A.</w:t>
      </w:r>
      <w:r>
        <w:t xml:space="preserve"> CAPA-2026-0142, opened 18 June 2026. Initiator: A. Patel, QA Auditor. CAPA owner: M. Reyes, Lab Operations Manager. Source: internal audit. Source record: IA-2026-09. Type: corrective.</w:t>
      </w:r>
    </w:p>
    <w:p>
      <w:r>
        <w:rPr>
          <w:b/>
        </w:rPr>
        <w:t>Section B.</w:t>
      </w:r>
      <w:r>
        <w:t xml:space="preserve"> "Internal audit conducted 15 June 2026 identified that a liquid chromatography instrument (asset tag LC-04) had its audit trail disabled for sequence integration events. 47 analytical sequences processed between 01 January 2026 and 15 May 2026 ran without a complete audit trail. Detected by audit trail configuration review." Cause-free: yes. QA approved: A. Patel, 18 June 2026.</w:t>
      </w:r>
    </w:p>
    <w:p>
      <w:r>
        <w:rPr>
          <w:b/>
        </w:rPr>
        <w:t>Section C.</w:t>
      </w:r>
      <w:r>
        <w:t xml:space="preserve"> Affected product in distribution: yes (31 of 47 sequences supported released batches). Affected scope: LC-04 only, confirmed by configuration review of all lab systems. Impact: major. Recurrence: systemic (change-control gap). Classification: major, expedited. Containment: LC-04 taken out of GMP service 15 June 2026; data review of 47 sequences initiated. Containment decided: yes.</w:t>
      </w:r>
    </w:p>
    <w:p>
      <w:r>
        <w:rPr>
          <w:b/>
        </w:rPr>
        <w:t>Section D.</w:t>
      </w:r>
      <w:r>
        <w:t xml:space="preserve"> Method: 5-Why. Summary: audit trail disabled because a vendor IT upgrade reset settings to default; the upgrade ran through change control but the change control SOP had no validation impact assessment checkpoint. Evidence: change record CC-2025-318, system configuration log, vendor upgrade notes. Root cause: change control SOP gap (no validation impact assessment step for IT changes). Operator-action question: not applicable, the cause is a process gap. Explains the problem statement: yes. QA approved: A. Patel, 22 June 2026.</w:t>
      </w:r>
    </w:p>
    <w:p>
      <w:r>
        <w:rPr>
          <w:b/>
        </w:rPr>
        <w:t>Section 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Due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Reconfigure LC-04 audit trail to capture integration events; verify</w:t>
            </w:r>
          </w:p>
        </w:tc>
        <w:tc>
          <w:tcPr>
            <w:tcW w:type="dxa" w:w="1234"/>
          </w:tcPr>
          <w:p>
            <w:r/>
            <w:r>
              <w:t>CA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Lab IT</w:t>
            </w:r>
          </w:p>
        </w:tc>
        <w:tc>
          <w:tcPr>
            <w:tcW w:type="dxa" w:w="1234"/>
          </w:tcPr>
          <w:p>
            <w:r/>
            <w:r>
              <w:t>22 June 2026</w:t>
            </w:r>
          </w:p>
        </w:tc>
        <w:tc>
          <w:tcPr>
            <w:tcW w:type="dxa" w:w="1234"/>
          </w:tcPr>
          <w:p>
            <w:r/>
            <w:r>
              <w:t>22 June 2026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Revise change control SOP to add a validation impact assessment checkpoint for IT changes</w:t>
            </w:r>
          </w:p>
        </w:tc>
        <w:tc>
          <w:tcPr>
            <w:tcW w:type="dxa" w:w="1234"/>
          </w:tcPr>
          <w:p>
            <w:r/>
            <w:r>
              <w:t>CA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QA</w:t>
            </w:r>
          </w:p>
        </w:tc>
        <w:tc>
          <w:tcPr>
            <w:tcW w:type="dxa" w:w="1234"/>
          </w:tcPr>
          <w:p>
            <w:r/>
            <w:r>
              <w:t>30 June 2026</w:t>
            </w:r>
          </w:p>
        </w:tc>
        <w:tc>
          <w:tcPr>
            <w:tcW w:type="dxa" w:w="1234"/>
          </w:tcPr>
          <w:p>
            <w:r/>
            <w:r>
              <w:t>25 June 2026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Train IT and validation staff on the revised SOP</w:t>
            </w:r>
          </w:p>
        </w:tc>
        <w:tc>
          <w:tcPr>
            <w:tcW w:type="dxa" w:w="1234"/>
          </w:tcPr>
          <w:p>
            <w:r/>
            <w:r>
              <w:t>CA</w:t>
            </w:r>
          </w:p>
        </w:tc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Training</w:t>
            </w:r>
          </w:p>
        </w:tc>
        <w:tc>
          <w:tcPr>
            <w:tcW w:type="dxa" w:w="1234"/>
          </w:tcPr>
          <w:p>
            <w:r/>
            <w:r>
              <w:t>SOP + 30 days</w:t>
            </w:r>
          </w:p>
        </w:tc>
        <w:tc>
          <w:tcPr>
            <w:tcW w:type="dxa" w:w="1234"/>
          </w:tcPr>
          <w:p>
            <w:r/>
            <w:r>
              <w:t>24 July 2026</w:t>
            </w:r>
          </w:p>
        </w:tc>
      </w:tr>
    </w:tbl>
    <w:p/>
    <w:p>
      <w:r>
        <w:t>Read-across: all 12 GMP computerized lab systems reviewed for the same default-reset exposure. Performed: yes. Result: 2 additional systems found and added to corrective scope. 211.192 extension: addressed for the affected drug products.</w:t>
      </w:r>
    </w:p>
    <w:p>
      <w:r>
        <w:rPr>
          <w:b/>
        </w:rPr>
        <w:t>Section F.</w:t>
      </w:r>
      <w:r>
        <w:t xml:space="preserve"> Criterion: zero new audit-trail-disabled findings on any computerized lab system attributable to a change, over 6 months after SOP approval. Metric and method: targeted re-audit. Scheduled date: 25 December 2026. Set at opening: yes. Result: pending scheduled date.</w:t>
      </w:r>
    </w:p>
    <w:p>
      <w:r>
        <w:rPr>
          <w:b/>
        </w:rPr>
        <w:t>Section G.</w:t>
      </w:r>
      <w:r>
        <w:t xml:space="preserve"> Deviation DEV-2026-077; change control CC-2026-205; audit report IA-2026-09.</w:t>
      </w:r>
    </w:p>
    <w:p>
      <w:r>
        <w:rPr>
          <w:b/>
        </w:rPr>
        <w:t>Section H.</w:t>
      </w:r>
      <w:r>
        <w:t xml:space="preserve"> All actions verified: actions 1 to 3 complete. Read-across documented: yes. Effectiveness check passed: pending December re-audit. Closure: held open until the effectiveness result is recorded.</w:t>
      </w:r>
    </w:p>
    <w:p>
      <w:r>
        <w:t>The record shows the discipline that matters: the action plan reaches the systemic cause, climbs as high on the effectiveness hierarchy as the change allows, the read-across found two more systems, and the form stays open until the effectiveness data lands.</w:t>
      </w:r>
    </w:p>
    <w:p>
      <w:pPr>
        <w:pStyle w:val="Heading1"/>
      </w:pPr>
      <w:r>
        <w:rPr>
          <w:color w:val="0B2E4F"/>
        </w:rPr>
        <w:t>Common inspection findings this form prevents</w:t>
      </w:r>
    </w:p>
    <w:p>
      <w:pPr>
        <w:pStyle w:val="ListBullet"/>
      </w:pPr>
      <w:r>
        <w:t>Corrections recorded with no corrective action that reaches the root cause.</w:t>
      </w:r>
    </w:p>
    <w:p>
      <w:pPr>
        <w:pStyle w:val="ListBullet"/>
      </w:pPr>
      <w:r>
        <w:t>A cause smuggled into the problem statement, biasing the investigation.</w:t>
      </w:r>
    </w:p>
    <w:p>
      <w:pPr>
        <w:pStyle w:val="ListBullet"/>
      </w:pPr>
      <w:r>
        <w:t>Root cause stated as "human error" with no system question and no evidence.</w:t>
      </w:r>
    </w:p>
    <w:p>
      <w:pPr>
        <w:pStyle w:val="ListBullet"/>
      </w:pPr>
      <w:r>
        <w:t>An action plan with no owners or due dates, or with every action at the training tier.</w:t>
      </w:r>
    </w:p>
    <w:p>
      <w:pPr>
        <w:pStyle w:val="ListBullet"/>
      </w:pPr>
      <w:r>
        <w:t>A read-across that was never done, so the same finding surfaces on an identical system later.</w:t>
      </w:r>
    </w:p>
    <w:p>
      <w:pPr>
        <w:pStyle w:val="ListBullet"/>
      </w:pPr>
      <w:r>
        <w:t>An effectiveness check with no criterion set at opening, or closure before the check produced data.</w:t>
      </w:r>
    </w:p>
    <w:p>
      <w:pPr>
        <w:pStyle w:val="ListBullet"/>
      </w:pPr>
      <w:r>
        <w:t>Linked records that exist but do not reference each other, so the full story cannot be reconstructed.</w:t>
      </w:r>
    </w:p>
    <w:p>
      <w:pPr>
        <w:pStyle w:val="Heading1"/>
      </w:pPr>
      <w:r>
        <w:rPr>
          <w:color w:val="0B2E4F"/>
        </w:rPr>
        <w:t>How to adapt this form</w:t>
      </w:r>
    </w:p>
    <w:p>
      <w:pPr>
        <w:pStyle w:val="ListNumber"/>
      </w:pPr>
      <w:r>
        <w:t>Set your form number, governing SOP, and retention in the header.</w:t>
      </w:r>
    </w:p>
    <w:p>
      <w:pPr>
        <w:pStyle w:val="ListNumber"/>
      </w:pPr>
      <w:r>
        <w:t>Add or remove action rows in Section E to match your typical CAPA size; keep the tier column, it is what makes weak fixes visible.</w:t>
      </w:r>
    </w:p>
    <w:p>
      <w:pPr>
        <w:pStyle w:val="ListNumber"/>
      </w:pPr>
      <w:r>
        <w:t>If you use an electronic quality management system, map each section here to the system's fields and workflow states so the paper form and the system stay aligned.</w:t>
      </w:r>
    </w:p>
    <w:p>
      <w:pPr>
        <w:pStyle w:val="ListNumber"/>
      </w:pPr>
      <w:r>
        <w:t>Keep Section F (effectiveness defined at opening) as a gate the workflow cannot skip; backfilled criteria are a common finding.</w:t>
      </w:r>
    </w:p>
    <w:p>
      <w:pPr>
        <w:pStyle w:val="ListNumber"/>
      </w:pPr>
      <w:r>
        <w:t>Confirm every regulation in the references against the current published version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Form: CAPA Record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