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2E4F"/>
        </w:rPr>
        <w:t>Plan: Remote and Postal Software Supplier Audit</w:t>
      </w:r>
    </w:p>
    <w:p>
      <w:r>
        <w:t xml:space="preserve">This is a ready-to-use audit plan for a remote or postal (documentary) audit of a software supplier. Replace every </w:t>
      </w:r>
      <w:r>
        <w:rPr>
          <w:rFonts w:ascii="Consolas" w:hAnsi="Consolas"/>
          <w:sz w:val="20"/>
        </w:rPr>
        <w:t>&lt;&lt;FILL: ...&gt;&gt;</w:t>
      </w:r>
      <w:r>
        <w:t xml:space="preserve"> placeholder with your own specifics, set your document numbers and dates, and route it through your normal document control. A worked filled specimen follows the template. This is general guidance to adapt, not regulatory advice. Verify each cited regulation against the current source before you rely on it.</w:t>
      </w:r>
    </w:p>
    <w:p>
      <w:pPr>
        <w:pStyle w:val="Heading1"/>
      </w:pPr>
      <w:r>
        <w:rPr>
          <w:color w:val="0B2E4F"/>
        </w:rPr>
        <w:t>Document control header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Audit title</w:t>
            </w:r>
          </w:p>
        </w:tc>
        <w:tc>
          <w:tcPr>
            <w:tcW w:type="dxa" w:w="4320"/>
          </w:tcPr>
          <w:p>
            <w:r/>
            <w:r>
              <w:t xml:space="preserve">Software Supplier Audit: </w:t>
            </w:r>
            <w:r>
              <w:rPr>
                <w:rFonts w:ascii="Consolas" w:hAnsi="Consolas"/>
                <w:sz w:val="20"/>
              </w:rPr>
              <w:t>&lt;&lt;FILL: supplier / product&gt;&gt;</w:t>
            </w:r>
          </w:p>
        </w:tc>
      </w:tr>
      <w:tr>
        <w:tc>
          <w:tcPr>
            <w:tcW w:type="dxa" w:w="4320"/>
          </w:tcPr>
          <w:p>
            <w:r/>
            <w:r>
              <w:t>Document number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audit plan ID&gt;&gt;</w:t>
            </w:r>
          </w:p>
        </w:tc>
      </w:tr>
      <w:tr>
        <w:tc>
          <w:tcPr>
            <w:tcW w:type="dxa" w:w="4320"/>
          </w:tcPr>
          <w:p>
            <w:r/>
            <w:r>
              <w:t>Audit type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remote / postal&gt;&gt;</w:t>
            </w:r>
          </w:p>
        </w:tc>
      </w:tr>
      <w:tr>
        <w:tc>
          <w:tcPr>
            <w:tcW w:type="dxa" w:w="4320"/>
          </w:tcPr>
          <w:p>
            <w:r/>
            <w:r>
              <w:t>Lead auditor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Date(s)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Governing SOP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software supplier assessment SOP-ID&gt;&gt;</w:t>
            </w:r>
          </w:p>
        </w:tc>
      </w:tr>
    </w:tbl>
    <w:p/>
    <w:p>
      <w:pPr>
        <w:pStyle w:val="Heading1"/>
      </w:pPr>
      <w:r>
        <w:rPr>
          <w:color w:val="0B2E4F"/>
        </w:rPr>
        <w:t>1. Objective and scope</w:t>
      </w:r>
    </w:p>
    <w:p>
      <w:r>
        <w:t>State why this audit is being run and what it covers.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Objective</w:t>
            </w:r>
          </w:p>
        </w:tc>
        <w:tc>
          <w:tcPr>
            <w:tcW w:type="dxa" w:w="4320"/>
          </w:tcPr>
          <w:p>
            <w:r/>
            <w:r>
              <w:t xml:space="preserve">Confirm the supplier's quality system and SDLC are sound enough to rely on for </w:t>
            </w:r>
            <w:r>
              <w:rPr>
                <w:rFonts w:ascii="Consolas" w:hAnsi="Consolas"/>
                <w:sz w:val="20"/>
              </w:rPr>
              <w:t>&lt;&lt;FILL: product and version&gt;&gt;</w:t>
            </w:r>
          </w:p>
        </w:tc>
      </w:tr>
      <w:tr>
        <w:tc>
          <w:tcPr>
            <w:tcW w:type="dxa" w:w="4320"/>
          </w:tcPr>
          <w:p>
            <w:r/>
            <w:r>
              <w:t>Product and version in scope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Risk tier (from the assessment)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High / Medium&gt;&gt;</w:t>
            </w:r>
          </w:p>
        </w:tc>
      </w:tr>
      <w:tr>
        <w:tc>
          <w:tcPr>
            <w:tcW w:type="dxa" w:w="4320"/>
          </w:tcPr>
          <w:p>
            <w:r/>
            <w:r>
              <w:t>Areas in scope</w:t>
            </w:r>
          </w:p>
        </w:tc>
        <w:tc>
          <w:tcPr>
            <w:tcW w:type="dxa" w:w="4320"/>
          </w:tcPr>
          <w:p>
            <w:r/>
            <w:r>
              <w:t>QMS, requirements and traceability, testing, defect management, change and release, security and hosting</w:t>
            </w:r>
          </w:p>
        </w:tc>
      </w:tr>
      <w:tr>
        <w:tc>
          <w:tcPr>
            <w:tcW w:type="dxa" w:w="4320"/>
          </w:tcPr>
          <w:p>
            <w:r/>
            <w:r>
              <w:t>Areas out of scope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</w:tbl>
    <w:p/>
    <w:p>
      <w:pPr>
        <w:pStyle w:val="Heading1"/>
      </w:pPr>
      <w:r>
        <w:rPr>
          <w:color w:val="0B2E4F"/>
        </w:rPr>
        <w:t>2. Audit team and supplier contacts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Note</w:t>
            </w:r>
          </w:p>
        </w:tc>
      </w:tr>
      <w:tr>
        <w:tc>
          <w:tcPr>
            <w:tcW w:type="dxa" w:w="2880"/>
          </w:tcPr>
          <w:p>
            <w:r/>
            <w:r>
              <w:t>Lead auditor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Software-literate SME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880"/>
          </w:tcPr>
          <w:p>
            <w:r/>
            <w:r>
              <w:t>Required for SDLC evaluation</w:t>
            </w:r>
          </w:p>
        </w:tc>
      </w:tr>
      <w:tr>
        <w:tc>
          <w:tcPr>
            <w:tcW w:type="dxa" w:w="2880"/>
          </w:tcPr>
          <w:p>
            <w:r/>
            <w:r>
              <w:t>QA observer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Supplier quality contact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Supplier technical contacts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&lt;&lt;FILL: a developer and a tester, not only the quality manager&gt;&gt;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rPr>
          <w:color w:val="0B2E4F"/>
        </w:rPr>
        <w:t>3. Document request list (send 2 to 4 weeks ahead)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Requested item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Pre-read or live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Received?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Current QMS certificate(s) and scope (ISO 9001 / 13485)</w:t>
            </w:r>
          </w:p>
        </w:tc>
        <w:tc>
          <w:tcPr>
            <w:tcW w:type="dxa" w:w="2160"/>
          </w:tcPr>
          <w:p>
            <w:r/>
            <w:r>
              <w:t>Pre-read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Index of SDLC procedures with version and approval dates</w:t>
            </w:r>
          </w:p>
        </w:tc>
        <w:tc>
          <w:tcPr>
            <w:tcW w:type="dxa" w:w="2160"/>
          </w:tcPr>
          <w:p>
            <w:r/>
            <w:r>
              <w:t>Pre-read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Requirements-to-test traceability for the version in scope (redacted)</w:t>
            </w:r>
          </w:p>
        </w:tc>
        <w:tc>
          <w:tcPr>
            <w:tcW w:type="dxa" w:w="2160"/>
          </w:tcPr>
          <w:p>
            <w:r/>
            <w:r>
              <w:t>Pre-read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Test strategy and the test / validation summary for the version</w:t>
            </w:r>
          </w:p>
        </w:tc>
        <w:tc>
          <w:tcPr>
            <w:tcW w:type="dxa" w:w="2160"/>
          </w:tcPr>
          <w:p>
            <w:r/>
            <w:r>
              <w:t>Pre-read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Defect severity definitions and a defect-log extract</w:t>
            </w:r>
          </w:p>
        </w:tc>
        <w:tc>
          <w:tcPr>
            <w:tcW w:type="dxa" w:w="2160"/>
          </w:tcPr>
          <w:p>
            <w:r/>
            <w:r>
              <w:t>Pre-read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Change and release procedure plus a recent release record</w:t>
            </w:r>
          </w:p>
        </w:tc>
        <w:tc>
          <w:tcPr>
            <w:tcW w:type="dxa" w:w="2160"/>
          </w:tcPr>
          <w:p>
            <w:r/>
            <w:r>
              <w:t>Pre-read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Security: SOC 2 Type II or ISO 27001 report; vulnerability and patch policy</w:t>
            </w:r>
          </w:p>
        </w:tc>
        <w:tc>
          <w:tcPr>
            <w:tcW w:type="dxa" w:w="2160"/>
          </w:tcPr>
          <w:p>
            <w:r/>
            <w:r>
              <w:t>Pre-read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Backup, restore, and disaster-recovery summary (hosted products)</w:t>
            </w:r>
          </w:p>
        </w:tc>
        <w:tc>
          <w:tcPr>
            <w:tcW w:type="dxa" w:w="2160"/>
          </w:tcPr>
          <w:p>
            <w:r/>
            <w:r>
              <w:t>Pre-read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t>Subcontractor / open-source component control approach</w:t>
            </w:r>
          </w:p>
        </w:tc>
        <w:tc>
          <w:tcPr>
            <w:tcW w:type="dxa" w:w="2160"/>
          </w:tcPr>
          <w:p>
            <w:r/>
            <w:r>
              <w:t>Pre-read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</w:tbl>
    <w:p/>
    <w:p>
      <w:pPr>
        <w:pStyle w:val="Heading1"/>
      </w:pPr>
      <w:r>
        <w:rPr>
          <w:color w:val="0B2E4F"/>
        </w:rPr>
        <w:t>4. Live agenda (remote audit)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Time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Session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880"/>
          </w:tcPr>
          <w:p>
            <w:r/>
            <w:r>
              <w:t>Opening meeting: scope, attendees, screen-share ground rules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880"/>
          </w:tcPr>
          <w:p>
            <w:r/>
            <w:r>
              <w:t>QMS walkthrough: document control, training, CAPA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880"/>
          </w:tcPr>
          <w:p>
            <w:r/>
            <w:r>
              <w:t>Live SDLC evidence: supplier opens their real requirements, test, and defect tools</w:t>
            </w:r>
          </w:p>
        </w:tc>
        <w:tc>
          <w:tcPr>
            <w:tcW w:type="dxa" w:w="2880"/>
          </w:tcPr>
          <w:p>
            <w:r/>
            <w:r>
              <w:t>Sample per section 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880"/>
          </w:tcPr>
          <w:p>
            <w:r/>
            <w:r>
              <w:t>Change and release: open a recent release record live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880"/>
          </w:tcPr>
          <w:p>
            <w:r/>
            <w:r>
              <w:t>Security and hosting review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880"/>
          </w:tcPr>
          <w:p>
            <w:r/>
            <w:r>
              <w:t>Interviews: a developer and a tester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880"/>
          </w:tcPr>
          <w:p>
            <w:r/>
            <w:r>
              <w:t>Closing meeting: preliminary observations, agree facts, report timeline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rPr>
          <w:color w:val="0B2E4F"/>
        </w:rPr>
        <w:t>5. Sampling strategy (defeat the curated demo)</w:t>
      </w:r>
    </w:p>
    <w:p>
      <w:pPr>
        <w:pStyle w:val="ListBullet"/>
      </w:pPr>
      <w:r>
        <w:t>Name the records yourself in the live session; do not accept the records offered.</w:t>
      </w:r>
    </w:p>
    <w:p>
      <w:pPr>
        <w:pStyle w:val="ListBullet"/>
      </w:pPr>
      <w:r>
        <w:t>Trace at least one requirement end to end: requirement to design reference to code reference to test result.</w:t>
      </w:r>
    </w:p>
    <w:p>
      <w:pPr>
        <w:pStyle w:val="ListBullet"/>
      </w:pPr>
      <w:r>
        <w:t>Ask to see a failed test and how it was investigated and closed.</w:t>
      </w:r>
    </w:p>
    <w:p>
      <w:pPr>
        <w:pStyle w:val="ListBullet"/>
      </w:pPr>
      <w:r>
        <w:t>Sample across at least two recent releases, not one.</w:t>
      </w:r>
    </w:p>
    <w:p>
      <w:pPr>
        <w:pStyle w:val="ListBullet"/>
      </w:pPr>
      <w:r>
        <w:t>For a hosted product, ask the supplier to show real access-control and audit-trail configuration, not slides.</w:t>
      </w:r>
    </w:p>
    <w:p>
      <w:pPr>
        <w:pStyle w:val="Heading1"/>
      </w:pPr>
      <w:r>
        <w:rPr>
          <w:color w:val="0B2E4F"/>
        </w:rPr>
        <w:t>6. Postal (documentary) audit specifics</w:t>
      </w:r>
    </w:p>
    <w:p>
      <w:r>
        <w:t>When the audit is postal rather than live:</w:t>
      </w:r>
    </w:p>
    <w:p>
      <w:pPr>
        <w:pStyle w:val="ListBullet"/>
      </w:pPr>
      <w:r>
        <w:t>Request objective evidence (redacted real records), not statements.</w:t>
      </w:r>
    </w:p>
    <w:p>
      <w:pPr>
        <w:pStyle w:val="ListBullet"/>
      </w:pPr>
      <w:r>
        <w:t>Specify the exact version so the evidence matches what you will run.</w:t>
      </w:r>
    </w:p>
    <w:p>
      <w:pPr>
        <w:pStyle w:val="ListBullet"/>
      </w:pPr>
      <w:r>
        <w:t>Require a signed attestation from the supplier's quality function that the evidence is true and current.</w:t>
      </w:r>
    </w:p>
    <w:p>
      <w:pPr>
        <w:pStyle w:val="ListBullet"/>
      </w:pPr>
      <w:r>
        <w:t>Score the package against a checklist and issue a formal report just as for a live audit.</w:t>
      </w:r>
    </w:p>
    <w:p>
      <w:pPr>
        <w:pStyle w:val="ListBullet"/>
      </w:pPr>
      <w:r>
        <w:t>Escalate to a remote or on-site audit if the package raises a question you cannot resolve on paper.</w:t>
      </w:r>
    </w:p>
    <w:p>
      <w:pPr>
        <w:pStyle w:val="Heading1"/>
      </w:pPr>
      <w:r>
        <w:rPr>
          <w:color w:val="0B2E4F"/>
        </w:rPr>
        <w:t>7. Finding classification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t>Critical</w:t>
            </w:r>
          </w:p>
        </w:tc>
        <w:tc>
          <w:tcPr>
            <w:tcW w:type="dxa" w:w="4320"/>
          </w:tcPr>
          <w:p>
            <w:r/>
            <w:r>
              <w:t>A failure that undermines reliance; the supplier work cannot be trusted as-is</w:t>
            </w:r>
          </w:p>
        </w:tc>
      </w:tr>
      <w:tr>
        <w:tc>
          <w:tcPr>
            <w:tcW w:type="dxa" w:w="4320"/>
          </w:tcPr>
          <w:p>
            <w:r/>
            <w:r>
              <w:t>Major</w:t>
            </w:r>
          </w:p>
        </w:tc>
        <w:tc>
          <w:tcPr>
            <w:tcW w:type="dxa" w:w="4320"/>
          </w:tcPr>
          <w:p>
            <w:r/>
            <w:r>
              <w:t>A significant gap requiring CAPA before reliance is acceptable</w:t>
            </w:r>
          </w:p>
        </w:tc>
      </w:tr>
      <w:tr>
        <w:tc>
          <w:tcPr>
            <w:tcW w:type="dxa" w:w="4320"/>
          </w:tcPr>
          <w:p>
            <w:r/>
            <w:r>
              <w:t>Minor</w:t>
            </w:r>
          </w:p>
        </w:tc>
        <w:tc>
          <w:tcPr>
            <w:tcW w:type="dxa" w:w="4320"/>
          </w:tcPr>
          <w:p>
            <w:r/>
            <w:r>
              <w:t>A gap that does not block reliance but needs correction</w:t>
            </w:r>
          </w:p>
        </w:tc>
      </w:tr>
      <w:tr>
        <w:tc>
          <w:tcPr>
            <w:tcW w:type="dxa" w:w="4320"/>
          </w:tcPr>
          <w:p>
            <w:r/>
            <w:r>
              <w:t>Observation</w:t>
            </w:r>
          </w:p>
        </w:tc>
        <w:tc>
          <w:tcPr>
            <w:tcW w:type="dxa" w:w="4320"/>
          </w:tcPr>
          <w:p>
            <w:r/>
            <w:r>
              <w:t>A recommendation, no nonconformity</w:t>
            </w:r>
          </w:p>
        </w:tc>
      </w:tr>
    </w:tbl>
    <w:p/>
    <w:p>
      <w:pPr>
        <w:pStyle w:val="Heading1"/>
      </w:pPr>
      <w:r>
        <w:rPr>
          <w:color w:val="0B2E4F"/>
        </w:rPr>
        <w:t>8. Acceptance criteria for the audit</w:t>
      </w:r>
    </w:p>
    <w:p>
      <w:pPr>
        <w:pStyle w:val="ListBullet"/>
      </w:pPr>
      <w:r>
        <w:t>The agenda areas were covered and the requested documents were received or their absence noted.</w:t>
      </w:r>
    </w:p>
    <w:p>
      <w:pPr>
        <w:pStyle w:val="ListBullet"/>
      </w:pPr>
      <w:r>
        <w:t>At least one requirement was traced end to end and a failed test was examined.</w:t>
      </w:r>
    </w:p>
    <w:p>
      <w:pPr>
        <w:pStyle w:val="ListBullet"/>
      </w:pPr>
      <w:r>
        <w:t>Records were sampled across two or more releases (live) or objective evidence with attestation was provided (postal).</w:t>
      </w:r>
    </w:p>
    <w:p>
      <w:pPr>
        <w:pStyle w:val="ListBullet"/>
      </w:pPr>
      <w:r>
        <w:t>A developer and a tester were interviewed (live).</w:t>
      </w:r>
    </w:p>
    <w:p>
      <w:pPr>
        <w:pStyle w:val="ListBullet"/>
      </w:pPr>
      <w:r>
        <w:t>Findings are classified and an audit report is issued with the reliance recommendation.</w:t>
      </w:r>
    </w:p>
    <w:p>
      <w:pPr>
        <w:pStyle w:val="Heading1"/>
      </w:pPr>
      <w:r>
        <w:rPr>
          <w:color w:val="0B2E4F"/>
        </w:rPr>
        <w:t>9. Report structure</w:t>
      </w:r>
    </w:p>
    <w:p>
      <w:r>
        <w:t>Supplier and product; scope and method; team and dates; evidence examined (named records); findings by severity with CAPA and due dates; the reliance recommendation feeding the assessment report; conclusion; auditor signatures.</w:t>
      </w:r>
    </w:p>
    <w:p>
      <w:pPr>
        <w:pStyle w:val="Heading1"/>
      </w:pPr>
      <w:r>
        <w:rPr>
          <w:color w:val="0B2E4F"/>
        </w:rPr>
        <w:t>10. References</w:t>
      </w:r>
    </w:p>
    <w:p>
      <w:pPr>
        <w:ind w:left="432"/>
      </w:pPr>
      <w:r>
        <w:rPr>
          <w:i/>
          <w:color w:val="6B7076"/>
        </w:rPr>
        <w:t>FDA Computer Software Assurance final guidance (24 September 2025); EU GMP Annex 11 sections 3.1 and 3.2; PIC/S PI 011; GAMP 5 Second Edition (described in original wording). Confirm current versions before issue.</w:t>
      </w:r>
    </w:p>
    <w:p>
      <w:pPr>
        <w:pStyle w:val="Heading1"/>
      </w:pPr>
      <w:r>
        <w:rPr>
          <w:color w:val="0B2E4F"/>
        </w:rPr>
        <w:t>11. Approvals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/>
            <w:r>
              <w:t>Lead auditor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QA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color w:val="6B7076"/>
        </w:rPr>
        <w:t>──────────────────────────────</w:t>
      </w:r>
    </w:p>
    <w:p>
      <w:pPr>
        <w:pStyle w:val="Heading1"/>
      </w:pPr>
      <w:r>
        <w:rPr>
          <w:color w:val="0B2E4F"/>
        </w:rPr>
        <w:t>Filled specimen</w:t>
      </w:r>
    </w:p>
    <w:p>
      <w:r>
        <w:t>A remote audit plan executed for an example configured EBR platform (illustrative).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Supplier / product / version</w:t>
            </w:r>
          </w:p>
        </w:tc>
        <w:tc>
          <w:tcPr>
            <w:tcW w:type="dxa" w:w="4320"/>
          </w:tcPr>
          <w:p>
            <w:r/>
            <w:r>
              <w:t>Example EBR vendor / EBR platform / 5.2</w:t>
            </w:r>
          </w:p>
        </w:tc>
      </w:tr>
      <w:tr>
        <w:tc>
          <w:tcPr>
            <w:tcW w:type="dxa" w:w="4320"/>
          </w:tcPr>
          <w:p>
            <w:r/>
            <w:r>
              <w:t>Type and tier</w:t>
            </w:r>
          </w:p>
        </w:tc>
        <w:tc>
          <w:tcPr>
            <w:tcW w:type="dxa" w:w="4320"/>
          </w:tcPr>
          <w:p>
            <w:r/>
            <w:r>
              <w:t>Remote audit, tier High</w:t>
            </w:r>
          </w:p>
        </w:tc>
      </w:tr>
      <w:tr>
        <w:tc>
          <w:tcPr>
            <w:tcW w:type="dxa" w:w="4320"/>
          </w:tcPr>
          <w:p>
            <w:r/>
            <w:r>
              <w:t>Records named live</w:t>
            </w:r>
          </w:p>
        </w:tc>
        <w:tc>
          <w:tcPr>
            <w:tcW w:type="dxa" w:w="4320"/>
          </w:tcPr>
          <w:p>
            <w:r/>
            <w:r>
              <w:t>Requirement REQ-441 traced to test TC-441; failed test TC-388 and its resolution; release records 5.1 and 5.2</w:t>
            </w:r>
          </w:p>
        </w:tc>
      </w:tr>
      <w:tr>
        <w:tc>
          <w:tcPr>
            <w:tcW w:type="dxa" w:w="4320"/>
          </w:tcPr>
          <w:p>
            <w:r/>
            <w:r>
              <w:t>Interviews</w:t>
            </w:r>
          </w:p>
        </w:tc>
        <w:tc>
          <w:tcPr>
            <w:tcW w:type="dxa" w:w="4320"/>
          </w:tcPr>
          <w:p>
            <w:r/>
            <w:r>
              <w:t>One developer (build pipeline), one QA tester (regression suite)</w:t>
            </w:r>
          </w:p>
        </w:tc>
      </w:tr>
      <w:tr>
        <w:tc>
          <w:tcPr>
            <w:tcW w:type="dxa" w:w="4320"/>
          </w:tcPr>
          <w:p>
            <w:r/>
            <w:r>
              <w:t>Findings</w:t>
            </w:r>
          </w:p>
        </w:tc>
        <w:tc>
          <w:tcPr>
            <w:tcW w:type="dxa" w:w="4320"/>
          </w:tcPr>
          <w:p>
            <w:r/>
            <w:r>
              <w:t>Major: no regression evidence for the 5.2 point release. CAPA: supplier to provide regression report, due 21 June 2026, reliance on 5.2 held until received</w:t>
            </w:r>
          </w:p>
        </w:tc>
      </w:tr>
      <w:tr>
        <w:tc>
          <w:tcPr>
            <w:tcW w:type="dxa" w:w="4320"/>
          </w:tcPr>
          <w:p>
            <w:r/>
            <w:r>
              <w:t>Reliance recommendation</w:t>
            </w:r>
          </w:p>
        </w:tc>
        <w:tc>
          <w:tcPr>
            <w:tcW w:type="dxa" w:w="4320"/>
          </w:tcPr>
          <w:p>
            <w:r/>
            <w:r>
              <w:t>Approve reliance on delivered workflow engine and standard reports once the regression evidence is received; test configured review steps and custom calculations in-house</w:t>
            </w:r>
          </w:p>
        </w:tc>
      </w:tr>
    </w:tbl>
    <w:p/>
    <w:p>
      <w:r>
        <w:t>The audit found a real gap (missing regression evidence) precisely because the auditor named the records and sampled two releases instead of accepting the demo.</w:t>
      </w:r>
    </w:p>
    <w:p>
      <w:pPr>
        <w:pStyle w:val="Heading1"/>
      </w:pPr>
      <w:r>
        <w:rPr>
          <w:color w:val="0B2E4F"/>
        </w:rPr>
        <w:t>Common inspection findings this plan prevents</w:t>
      </w:r>
    </w:p>
    <w:p>
      <w:pPr>
        <w:pStyle w:val="ListBullet"/>
      </w:pPr>
      <w:r>
        <w:t>An audit that reviewed the quality manual but never examined software engineering evidence.</w:t>
      </w:r>
    </w:p>
    <w:p>
      <w:pPr>
        <w:pStyle w:val="ListBullet"/>
      </w:pPr>
      <w:r>
        <w:t>A "sales demo" audit where the supplier showed only polished records.</w:t>
      </w:r>
    </w:p>
    <w:p>
      <w:pPr>
        <w:pStyle w:val="ListBullet"/>
      </w:pPr>
      <w:r>
        <w:t>A postal audit that was a glorified questionnaire with no objective evidence or attestation.</w:t>
      </w:r>
    </w:p>
    <w:p>
      <w:pPr>
        <w:pStyle w:val="ListBullet"/>
      </w:pPr>
      <w:r>
        <w:t>Reliance on a point release whose regression testing was never confirmed.</w:t>
      </w:r>
    </w:p>
    <w:p>
      <w:pPr>
        <w:pStyle w:val="Heading1"/>
      </w:pPr>
      <w:r>
        <w:rPr>
          <w:color w:val="0B2E4F"/>
        </w:rPr>
        <w:t>How to adapt this plan</w:t>
      </w:r>
    </w:p>
    <w:p>
      <w:pPr>
        <w:pStyle w:val="ListNumber"/>
      </w:pPr>
      <w:r>
        <w:t>Set the document number and link the governing SOP.</w:t>
      </w:r>
    </w:p>
    <w:p>
      <w:pPr>
        <w:pStyle w:val="ListNumber"/>
      </w:pPr>
      <w:r>
        <w:t>Tune the document request list and agenda to the product type.</w:t>
      </w:r>
    </w:p>
    <w:p>
      <w:pPr>
        <w:pStyle w:val="ListNumber"/>
      </w:pPr>
      <w:r>
        <w:t>Keep the sampling strategy intact; it is the part that finds real gaps.</w:t>
      </w:r>
    </w:p>
    <w:p>
      <w:pPr>
        <w:pStyle w:val="ListNumber"/>
      </w:pPr>
      <w:r>
        <w:t>Feed the reliance recommendation into the supplier assessment report.</w:t>
      </w:r>
    </w:p>
    <w:p>
      <w:pPr>
        <w:pStyle w:val="ListNumber"/>
      </w:pPr>
      <w:r>
        <w:t>Confirm the references against current published versions before issue.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076"/>
        <w:sz w:val="16"/>
      </w:rPr>
      <w:t>madhadi.com  ·  Goutham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Plan: Remote and Postal Software Supplier Audit</dc:title>
  <dc:subject/>
  <dc:creator>Goutham Madhadi</dc:creator>
  <cp:keywords/>
  <dc:description>Plug-and-play template from madhadi.com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