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Protocol: Compendial Method Verification (USP &lt;1226&gt;)</w:t>
      </w:r>
    </w:p>
    <w:p>
      <w:r>
        <w:t xml:space="preserve">This is a ready-to-use verification protocol for a compendial (pharmacopeial) analytical procedure under USP General Chapter &lt;1226&gt;.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 with your own specifics, set your document numbers and dates, and get it reviewed and approved before execution. A worked filled specimen follows the template. This is general guidance to adapt, not regulatory advice; confirm the current USP-NF edition and the cited regulation before you rely on them.</w:t>
      </w:r>
    </w:p>
    <w:p>
      <w:pPr>
        <w:pStyle w:val="Heading1"/>
      </w:pPr>
      <w:r>
        <w:rPr>
          <w:color w:val="0B2E4F"/>
        </w:rPr>
        <w:t>Document 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Title</w:t>
            </w:r>
          </w:p>
        </w:tc>
        <w:tc>
          <w:tcPr>
            <w:tcW w:type="dxa" w:w="4320"/>
          </w:tcPr>
          <w:p>
            <w:r/>
            <w:r>
              <w:t xml:space="preserve">Verification of Compendial Procedure: </w:t>
            </w:r>
            <w:r>
              <w:rPr>
                <w:rFonts w:ascii="Consolas" w:hAnsi="Consolas"/>
                <w:sz w:val="20"/>
              </w:rPr>
              <w:t>&lt;&lt;FILL: attribute / method&gt;&gt;</w:t>
            </w:r>
          </w:p>
        </w:tc>
      </w:tr>
      <w:tr>
        <w:tc>
          <w:tcPr>
            <w:tcW w:type="dxa" w:w="4320"/>
          </w:tcPr>
          <w:p>
            <w:r/>
            <w:r>
              <w:t>Document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protocol ID&gt;&gt;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Pre-approved before execution (required)</w:t>
            </w:r>
          </w:p>
        </w:tc>
      </w:tr>
      <w:tr>
        <w:tc>
          <w:tcPr>
            <w:tcW w:type="dxa" w:w="4320"/>
          </w:tcPr>
          <w:p>
            <w:r/>
            <w: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r>
        <w:t>State clearly in the title: "Verification of Compendial Procedure," not "validation." The wrong title invites the wrong scrutiny.</w:t>
      </w:r>
    </w:p>
    <w:p>
      <w:pPr>
        <w:pStyle w:val="Heading1"/>
      </w:pPr>
      <w:r>
        <w:rPr>
          <w:color w:val="0B2E4F"/>
        </w:rPr>
        <w:t>1. Purpose and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Article (product / substance)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Attribute tested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assay, related substances&gt;&gt;</w:t>
            </w:r>
          </w:p>
        </w:tc>
      </w:tr>
      <w:tr>
        <w:tc>
          <w:tcPr>
            <w:tcW w:type="dxa" w:w="4320"/>
          </w:tcPr>
          <w:p>
            <w:r/>
            <w:r>
              <w:t>Compendial reference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monograph or general chapter, with the current USP-NF edition and supplement&gt;&gt;</w:t>
            </w:r>
          </w:p>
        </w:tc>
      </w:tr>
      <w:tr>
        <w:tc>
          <w:tcPr>
            <w:tcW w:type="dxa" w:w="4320"/>
          </w:tcPr>
          <w:p>
            <w:r/>
            <w:r>
              <w:t>Specification the result supports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90.0 to 110.0 percent&gt;&gt;</w:t>
            </w:r>
          </w:p>
        </w:tc>
      </w:tr>
      <w:tr>
        <w:tc>
          <w:tcPr>
            <w:tcW w:type="dxa" w:w="4320"/>
          </w:tcPr>
          <w:p>
            <w:r/>
            <w:r>
              <w:t>Instruments / column lot / CDS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Analysts in scope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2. Regulatory and compendial basis</w:t>
      </w:r>
    </w:p>
    <w:p>
      <w:pPr>
        <w:ind w:left="432"/>
      </w:pPr>
      <w:r>
        <w:rPr>
          <w:i/>
          <w:color w:val="6B7076"/>
        </w:rPr>
        <w:t>USP General Chapter &lt;1226&gt;, Verification of Compendial Procedures (cite the current USP-NF edition).</w:t>
      </w:r>
    </w:p>
    <w:p>
      <w:pPr>
        <w:ind w:left="432"/>
      </w:pPr>
      <w:r>
        <w:rPr>
          <w:i/>
          <w:color w:val="6B7076"/>
        </w:rPr>
        <w:t>21 CFR 211.194(a)(2): test methods used must be verified under actual conditions of use.</w:t>
      </w:r>
    </w:p>
    <w:p>
      <w:pPr>
        <w:ind w:left="432"/>
      </w:pPr>
      <w:r>
        <w:rPr>
          <w:i/>
          <w:color w:val="6B7076"/>
        </w:rPr>
        <w:t>21 CFR 211.165(e): accuracy, sensitivity, specificity, and reproducibility of test methods must be established and documented.</w:t>
      </w:r>
    </w:p>
    <w:p>
      <w:pPr>
        <w:ind w:left="432"/>
      </w:pPr>
      <w:r>
        <w:rPr>
          <w:i/>
          <w:color w:val="6B7076"/>
        </w:rPr>
        <w:t>Where chromatographic adjustments are made, USP General Chapter &lt;621&gt; (and Ph. Eur. 2.2.46 equivalent) for allowable adjustments.</w:t>
      </w:r>
    </w:p>
    <w:p>
      <w:r>
        <w:t>Confirm the current chapter content and edition before issue; USP is revised continuously.</w:t>
      </w:r>
    </w:p>
    <w:p>
      <w:pPr>
        <w:pStyle w:val="Heading1"/>
      </w:pPr>
      <w:r>
        <w:rPr>
          <w:color w:val="0B2E4F"/>
        </w:rPr>
        <w:t>3. Description of the compendial procedure</w:t>
      </w:r>
    </w:p>
    <w:p>
      <w:r>
        <w:t>Summarise the published procedure as written, and quote the system suitability requirements verbatim so there is no ambiguity about what "passes" means.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Procedure summary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column, mobile phase, detection, sample prep, run conditions as published&gt;&gt;</w:t>
            </w:r>
          </w:p>
        </w:tc>
      </w:tr>
      <w:tr>
        <w:tc>
          <w:tcPr>
            <w:tcW w:type="dxa" w:w="4320"/>
          </w:tcPr>
          <w:p>
            <w:r/>
            <w:r>
              <w:t>System suitability (verbatim)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resolution, tailing, plate count, replicate %RSD as the monograph states&gt;&gt;</w:t>
            </w:r>
          </w:p>
        </w:tc>
      </w:tr>
    </w:tbl>
    <w:p/>
    <w:p>
      <w:pPr>
        <w:pStyle w:val="Heading1"/>
      </w:pPr>
      <w:r>
        <w:rPr>
          <w:color w:val="0B2E4F"/>
        </w:rPr>
        <w:t>4. Risk assessment summary and characteristics to verify</w:t>
      </w:r>
    </w:p>
    <w:p>
      <w:r>
        <w:t xml:space="preserve">Reference the characteristic-selection assessment (see </w:t>
      </w:r>
      <w:r>
        <w:t>assessment-compendial-verification-characteristic-selection</w:t>
      </w:r>
      <w:r>
        <w:t>). Record which characteristics are verified and the rationale for those excluded.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Characteristic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Verify?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Specificity / selectivity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usually Yes&gt;&gt;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your matrix is the variable&gt;&gt;</w:t>
            </w:r>
          </w:p>
        </w:tc>
      </w:tr>
      <w:tr>
        <w:tc>
          <w:tcPr>
            <w:tcW w:type="dxa" w:w="2880"/>
          </w:tcPr>
          <w:p>
            <w:r/>
            <w:r>
              <w:t>Accuracy (recovery)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Repeatability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Intermediate precision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yes if more than one analyst/day/instrument&gt;&gt;</w:t>
            </w:r>
          </w:p>
        </w:tc>
      </w:tr>
      <w:tr>
        <w:tc>
          <w:tcPr>
            <w:tcW w:type="dxa" w:w="2880"/>
          </w:tcPr>
          <w:p>
            <w:r/>
            <w:r>
              <w:t>Detection / quantitation limit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low-level impurity work only&gt;&gt;</w:t>
            </w:r>
          </w:p>
        </w:tc>
      </w:tr>
      <w:tr>
        <w:tc>
          <w:tcPr>
            <w:tcW w:type="dxa" w:w="2880"/>
          </w:tcPr>
          <w:p>
            <w:r/>
            <w:r>
              <w:t>Linearity / range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often excluded if published range brackets your spec&gt;&gt;</w:t>
            </w:r>
          </w:p>
        </w:tc>
      </w:tr>
    </w:tbl>
    <w:p/>
    <w:p>
      <w:pPr>
        <w:pStyle w:val="Heading1"/>
      </w:pPr>
      <w:r>
        <w:rPr>
          <w:color w:val="0B2E4F"/>
        </w:rPr>
        <w:t>5. Materials, standards, and instruments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Detail / traceability</w:t>
            </w:r>
          </w:p>
        </w:tc>
      </w:tr>
      <w:tr>
        <w:tc>
          <w:tcPr>
            <w:tcW w:type="dxa" w:w="4320"/>
          </w:tcPr>
          <w:p>
            <w:r/>
            <w:r>
              <w:t>Reference standard(s) and lot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Reagents and columns (lot)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Instruments (ID, qualification status)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confirm AIQ current, see analytical-instrument-qualification&gt;&gt;</w:t>
            </w:r>
          </w:p>
        </w:tc>
      </w:tr>
      <w:tr>
        <w:tc>
          <w:tcPr>
            <w:tcW w:type="dxa" w:w="4320"/>
          </w:tcPr>
          <w:p>
            <w:r/>
            <w:r>
              <w:t>Software / CDS (version)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6. Test design (per selected characteristic)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Characteristic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Design</w:t>
            </w:r>
          </w:p>
        </w:tc>
      </w:tr>
      <w:tr>
        <w:tc>
          <w:tcPr>
            <w:tcW w:type="dxa" w:w="4320"/>
          </w:tcPr>
          <w:p>
            <w:r/>
            <w:r>
              <w:t>Specificity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inject diluent blank, placebo, placebo spiked with analyte, forced-degradation sample; confirm no interference at the analyte retention time; peak purity if PDA&gt;&gt;</w:t>
            </w:r>
          </w:p>
        </w:tc>
      </w:tr>
      <w:tr>
        <w:tc>
          <w:tcPr>
            <w:tcW w:type="dxa" w:w="4320"/>
          </w:tcPr>
          <w:p>
            <w:r/>
            <w:r>
              <w:t>Accuracy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spiked placebo at e.g. 80/100/120 percent, triplicate per level, calculate recovery&gt;&gt;</w:t>
            </w:r>
          </w:p>
        </w:tc>
      </w:tr>
      <w:tr>
        <w:tc>
          <w:tcPr>
            <w:tcW w:type="dxa" w:w="4320"/>
          </w:tcPr>
          <w:p>
            <w:r/>
            <w:r>
              <w:t>Repeatability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six independent preparations at 100 percent, one analyst/day/instrument, report %RSD&gt;&gt;</w:t>
            </w:r>
          </w:p>
        </w:tc>
      </w:tr>
      <w:tr>
        <w:tc>
          <w:tcPr>
            <w:tcW w:type="dxa" w:w="4320"/>
          </w:tcPr>
          <w:p>
            <w:r/>
            <w:r>
              <w:t>Intermediate precision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second analyst, different day and instrument, repeat preparations; compare&gt;&gt;</w:t>
            </w:r>
          </w:p>
        </w:tc>
      </w:tr>
    </w:tbl>
    <w:p/>
    <w:p>
      <w:pPr>
        <w:pStyle w:val="Heading1"/>
      </w:pPr>
      <w:r>
        <w:rPr>
          <w:color w:val="0B2E4F"/>
        </w:rPr>
        <w:t>7. Acceptance criteria (pre-defined; do not change after seeing 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Characteristic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Acceptance criterion (justify per method)</w:t>
            </w:r>
          </w:p>
        </w:tc>
      </w:tr>
      <w:tr>
        <w:tc>
          <w:tcPr>
            <w:tcW w:type="dxa" w:w="4320"/>
          </w:tcPr>
          <w:p>
            <w:r/>
            <w:r>
              <w:t>Specificity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no interfering peak above a stated threshold at the analyte RT; peak purity passes&gt;&gt;</w:t>
            </w:r>
          </w:p>
        </w:tc>
      </w:tr>
      <w:tr>
        <w:tc>
          <w:tcPr>
            <w:tcW w:type="dxa" w:w="4320"/>
          </w:tcPr>
          <w:p>
            <w:r/>
            <w:r>
              <w:t>Accuracy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mean recovery within a stated band, e.g. 98.0 to 102.0 percent for an assay&gt;&gt;</w:t>
            </w:r>
          </w:p>
        </w:tc>
      </w:tr>
      <w:tr>
        <w:tc>
          <w:tcPr>
            <w:tcW w:type="dxa" w:w="4320"/>
          </w:tcPr>
          <w:p>
            <w:r/>
            <w:r>
              <w:t>Repeatability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%RSD at or below a method-appropriate limit, e.g. &lt;= 2.0 percent&gt;&gt;</w:t>
            </w:r>
          </w:p>
        </w:tc>
      </w:tr>
      <w:tr>
        <w:tc>
          <w:tcPr>
            <w:tcW w:type="dxa" w:w="4320"/>
          </w:tcPr>
          <w:p>
            <w:r/>
            <w:r>
              <w:t>Intermediate precision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%RSD within a stated limit; analyst mean difference within a stated absolute&gt;&gt;</w:t>
            </w:r>
          </w:p>
        </w:tc>
      </w:tr>
      <w:tr>
        <w:tc>
          <w:tcPr>
            <w:tcW w:type="dxa" w:w="4320"/>
          </w:tcPr>
          <w:p>
            <w:r/>
            <w:r>
              <w:t>LOQ/LOD (if tested)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signal-to-noise typically &gt;= 10 (LOQ) and &gt;= 3 (LOD), or the method's stated approach&gt;&gt;</w:t>
            </w:r>
          </w:p>
        </w:tc>
      </w:tr>
      <w:tr>
        <w:tc>
          <w:tcPr>
            <w:tcW w:type="dxa" w:w="4320"/>
          </w:tcPr>
          <w:p>
            <w:r/>
            <w:r>
              <w:t>System suitability</w:t>
            </w:r>
          </w:p>
        </w:tc>
        <w:tc>
          <w:tcPr>
            <w:tcW w:type="dxa" w:w="4320"/>
          </w:tcPr>
          <w:p>
            <w:r/>
            <w:r>
              <w:t>Meets the compendial SST exactly as written</w:t>
            </w:r>
          </w:p>
        </w:tc>
      </w:tr>
    </w:tbl>
    <w:p/>
    <w:p>
      <w:pPr>
        <w:pStyle w:val="Heading1"/>
      </w:pPr>
      <w:r>
        <w:rPr>
          <w:color w:val="0B2E4F"/>
        </w:rPr>
        <w:t>8. Deviation and OOS handling</w:t>
      </w:r>
    </w:p>
    <w:p>
      <w:r>
        <w:t xml:space="preserve">Any failure is raised as a deviation and investigated; results are not rerun until they pass. Reference </w:t>
      </w:r>
      <w:r>
        <w:rPr>
          <w:rFonts w:ascii="Consolas" w:hAnsi="Consolas"/>
          <w:sz w:val="20"/>
        </w:rPr>
        <w:t>&lt;&lt;FILL: deviation SOP-ID&gt;&gt;</w:t>
      </w:r>
      <w:r>
        <w:t xml:space="preserve"> and </w:t>
      </w:r>
      <w:r>
        <w:rPr>
          <w:rFonts w:ascii="Consolas" w:hAnsi="Consolas"/>
          <w:sz w:val="20"/>
        </w:rPr>
        <w:t>&lt;&lt;FILL: OOS SOP-ID&gt;&gt;</w:t>
      </w:r>
      <w:r>
        <w:t>. A failed verification is a signal about method suitability for your article, not a reason to quietly adjust the method.</w:t>
      </w:r>
    </w:p>
    <w:p>
      <w:pPr>
        <w:pStyle w:val="Heading1"/>
      </w:pPr>
      <w:r>
        <w:rPr>
          <w:color w:val="0B2E4F"/>
        </w:rPr>
        <w:t>9. Roles and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Author (QC SME)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Reviewer (method validation group)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Approver (QA, independent of execution)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QA approval must be independent of execution; the same person cannot author, execute, and provide the sole quality approval.</w:t>
      </w:r>
    </w:p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A pre-approved verification protocol for an example finished-product assay by HPLC, where the formulation has two excipients not in the monograph's typical matrix and two analysts will run it (illustrative).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Compendial reference</w:t>
            </w:r>
          </w:p>
        </w:tc>
        <w:tc>
          <w:tcPr>
            <w:tcW w:type="dxa" w:w="4320"/>
          </w:tcPr>
          <w:p>
            <w:r/>
            <w:r>
              <w:t>USP monograph assay, current USP-NF edition</w:t>
            </w:r>
          </w:p>
        </w:tc>
      </w:tr>
      <w:tr>
        <w:tc>
          <w:tcPr>
            <w:tcW w:type="dxa" w:w="4320"/>
          </w:tcPr>
          <w:p>
            <w:r/>
            <w:r>
              <w:t>Specification</w:t>
            </w:r>
          </w:p>
        </w:tc>
        <w:tc>
          <w:tcPr>
            <w:tcW w:type="dxa" w:w="4320"/>
          </w:tcPr>
          <w:p>
            <w:r/>
            <w:r>
              <w:t>90.0 to 110.0 percent of label</w:t>
            </w:r>
          </w:p>
        </w:tc>
      </w:tr>
      <w:tr>
        <w:tc>
          <w:tcPr>
            <w:tcW w:type="dxa" w:w="4320"/>
          </w:tcPr>
          <w:p>
            <w:r/>
            <w:r>
              <w:t>Characteristics verified</w:t>
            </w:r>
          </w:p>
        </w:tc>
        <w:tc>
          <w:tcPr>
            <w:tcW w:type="dxa" w:w="4320"/>
          </w:tcPr>
          <w:p>
            <w:r/>
            <w:r>
              <w:t>Specificity, accuracy, repeatability, intermediate precision</w:t>
            </w:r>
          </w:p>
        </w:tc>
      </w:tr>
      <w:tr>
        <w:tc>
          <w:tcPr>
            <w:tcW w:type="dxa" w:w="4320"/>
          </w:tcPr>
          <w:p>
            <w:r/>
            <w:r>
              <w:t>Excluded (with rationale)</w:t>
            </w:r>
          </w:p>
        </w:tc>
        <w:tc>
          <w:tcPr>
            <w:tcW w:type="dxa" w:w="4320"/>
          </w:tcPr>
          <w:p>
            <w:r/>
            <w:r>
              <w:t>Linearity/range (published range brackets the 90 to 110 percent spec; detector linearity well documented); LOQ (major-component assay)</w:t>
            </w:r>
          </w:p>
        </w:tc>
      </w:tr>
      <w:tr>
        <w:tc>
          <w:tcPr>
            <w:tcW w:type="dxa" w:w="4320"/>
          </w:tcPr>
          <w:p>
            <w:r/>
            <w:r>
              <w:t>Specificity design</w:t>
            </w:r>
          </w:p>
        </w:tc>
        <w:tc>
          <w:tcPr>
            <w:tcW w:type="dxa" w:w="4320"/>
          </w:tcPr>
          <w:p>
            <w:r/>
            <w:r>
              <w:t>Diluent blank, placebo, placebo spiked at nominal, forced-degradation sample</w:t>
            </w:r>
          </w:p>
        </w:tc>
      </w:tr>
      <w:tr>
        <w:tc>
          <w:tcPr>
            <w:tcW w:type="dxa" w:w="4320"/>
          </w:tcPr>
          <w:p>
            <w:r/>
            <w:r>
              <w:t>Accuracy design</w:t>
            </w:r>
          </w:p>
        </w:tc>
        <w:tc>
          <w:tcPr>
            <w:tcW w:type="dxa" w:w="4320"/>
          </w:tcPr>
          <w:p>
            <w:r/>
            <w:r>
              <w:t>Spiked placebo at 80/100/120 percent, triplicate each</w:t>
            </w:r>
          </w:p>
        </w:tc>
      </w:tr>
      <w:tr>
        <w:tc>
          <w:tcPr>
            <w:tcW w:type="dxa" w:w="4320"/>
          </w:tcPr>
          <w:p>
            <w:r/>
            <w:r>
              <w:t>Acceptance: accuracy</w:t>
            </w:r>
          </w:p>
        </w:tc>
        <w:tc>
          <w:tcPr>
            <w:tcW w:type="dxa" w:w="4320"/>
          </w:tcPr>
          <w:p>
            <w:r/>
            <w:r>
              <w:t>Mean recovery 98.0 to 102.0 percent per level</w:t>
            </w:r>
          </w:p>
        </w:tc>
      </w:tr>
      <w:tr>
        <w:tc>
          <w:tcPr>
            <w:tcW w:type="dxa" w:w="4320"/>
          </w:tcPr>
          <w:p>
            <w:r/>
            <w:r>
              <w:t>Acceptance: repeatability</w:t>
            </w:r>
          </w:p>
        </w:tc>
        <w:tc>
          <w:tcPr>
            <w:tcW w:type="dxa" w:w="4320"/>
          </w:tcPr>
          <w:p>
            <w:r/>
            <w:r>
              <w:t>%RSD &lt;= 2.0 percent (n=6)</w:t>
            </w:r>
          </w:p>
        </w:tc>
      </w:tr>
      <w:tr>
        <w:tc>
          <w:tcPr>
            <w:tcW w:type="dxa" w:w="4320"/>
          </w:tcPr>
          <w:p>
            <w:r/>
            <w:r>
              <w:t>Acceptance: intermediate precision</w:t>
            </w:r>
          </w:p>
        </w:tc>
        <w:tc>
          <w:tcPr>
            <w:tcW w:type="dxa" w:w="4320"/>
          </w:tcPr>
          <w:p>
            <w:r/>
            <w:r>
              <w:t>Combined %RSD (n=12) &lt;= 3.0 percent; analyst mean difference &lt;= 2.0 percent absolute</w:t>
            </w:r>
          </w:p>
        </w:tc>
      </w:tr>
    </w:tbl>
    <w:p/>
    <w:p>
      <w:r>
        <w:t>The protocol targets the two characteristics the risk assessment flagged (specificity and accuracy, because the matrix is the variable) plus the precision the multi-analyst use demands. It does not redo the full ICH Q2 battery, which is the shape of a &lt;1226&gt; study.</w:t>
      </w:r>
    </w:p>
    <w:p>
      <w:pPr>
        <w:pStyle w:val="Heading1"/>
      </w:pPr>
      <w:r>
        <w:rPr>
          <w:color w:val="0B2E4F"/>
        </w:rPr>
        <w:t>Common findings this protocol prevents</w:t>
      </w:r>
    </w:p>
    <w:p>
      <w:pPr>
        <w:pStyle w:val="ListBullet"/>
      </w:pPr>
      <w:r>
        <w:t>A compendial method used for release with no verification (a direct 21 CFR 211.194(a)(2) citation).</w:t>
      </w:r>
    </w:p>
    <w:p>
      <w:pPr>
        <w:pStyle w:val="ListBullet"/>
      </w:pPr>
      <w:r>
        <w:t>Acceptance criteria set or moved after the data (testing into compliance).</w:t>
      </w:r>
    </w:p>
    <w:p>
      <w:pPr>
        <w:pStyle w:val="ListBullet"/>
      </w:pPr>
      <w:r>
        <w:t>A modified method called "verified" when the change went beyond &lt;621&gt; allowable adjustments.</w:t>
      </w:r>
    </w:p>
    <w:p>
      <w:pPr>
        <w:pStyle w:val="ListBullet"/>
      </w:pPr>
      <w:r>
        <w:t>No documented rationale for the characteristics that were excluded.</w:t>
      </w:r>
    </w:p>
    <w:p>
      <w:pPr>
        <w:pStyle w:val="ListBullet"/>
      </w:pPr>
      <w:r>
        <w:t>Verification on an unqualified instrument or against a stale compendial edition.</w:t>
      </w:r>
    </w:p>
    <w:p>
      <w:pPr>
        <w:pStyle w:val="Heading1"/>
      </w:pPr>
      <w:r>
        <w:rPr>
          <w:color w:val="0B2E4F"/>
        </w:rPr>
        <w:t>How to adapt this protocol</w:t>
      </w:r>
    </w:p>
    <w:p>
      <w:pPr>
        <w:pStyle w:val="ListNumber"/>
      </w:pPr>
      <w:r>
        <w:t>Title it precisely and number it under document control.</w:t>
      </w:r>
    </w:p>
    <w:p>
      <w:pPr>
        <w:pStyle w:val="ListNumber"/>
      </w:pPr>
      <w:r>
        <w:t>Quote the actual monograph system suitability verbatim in section 3.</w:t>
      </w:r>
    </w:p>
    <w:p>
      <w:pPr>
        <w:pStyle w:val="ListNumber"/>
      </w:pPr>
      <w:r>
        <w:t>Let the characteristic-selection risk assessment drive section 4.</w:t>
      </w:r>
    </w:p>
    <w:p>
      <w:pPr>
        <w:pStyle w:val="ListNumber"/>
      </w:pPr>
      <w:r>
        <w:t>Justify each acceptance criterion against your spec and matrix, not a copied table.</w:t>
      </w:r>
    </w:p>
    <w:p>
      <w:pPr>
        <w:pStyle w:val="ListNumber"/>
      </w:pPr>
      <w:r>
        <w:t>Get QA pre-approval before any data is generated, and confirm the USP edition is current.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Protocol: Compendial Method Verification (USP &lt;1226&gt;)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