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Report Template: Environmental Monitoring Data Trending</w:t>
      </w:r>
    </w:p>
    <w:p>
      <w:r>
        <w:t xml:space="preserve">This is a ready-to-use periodic trend report template for environmental monitoring (EM) data.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 with your own specifics. A worked filled specimen follows the template. The purpose of this report is to turn plate counts into a signal: to catch slow drift, resident flora, and cross-method patterns before any single result breaches an action level, and to feed the contamination control strategy. A trend report that is generated, filed, and never acted on is worse than none, because it documents that the signal was seen and ignored.</w:t>
      </w:r>
    </w:p>
    <w:p>
      <w:pPr>
        <w:pStyle w:val="Heading1"/>
      </w:pPr>
      <w:r>
        <w:rPr>
          <w:color w:val="0B2E4F"/>
        </w:rPr>
        <w:t>Document 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Report title</w:t>
            </w:r>
          </w:p>
        </w:tc>
        <w:tc>
          <w:tcPr>
            <w:tcW w:type="dxa" w:w="4320"/>
          </w:tcPr>
          <w:p>
            <w:r/>
            <w:r>
              <w:t>Environmental Monitoring Data Trend Report</w:t>
            </w:r>
          </w:p>
        </w:tc>
      </w:tr>
      <w:tr>
        <w:tc>
          <w:tcPr>
            <w:tcW w:type="dxa" w:w="4320"/>
          </w:tcPr>
          <w:p>
            <w:r/>
            <w:r>
              <w:t>Report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REP-ID, e.g. REP-QC-031-Q2-2026&gt;&gt;</w:t>
            </w:r>
          </w:p>
        </w:tc>
      </w:tr>
      <w:tr>
        <w:tc>
          <w:tcPr>
            <w:tcW w:type="dxa" w:w="4320"/>
          </w:tcPr>
          <w:p>
            <w:r/>
            <w:r>
              <w:t>Linked SOP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SOP-ID for EM program / trending&gt;&gt;</w:t>
            </w:r>
          </w:p>
        </w:tc>
      </w:tr>
      <w:tr>
        <w:tc>
          <w:tcPr>
            <w:tcW w:type="dxa" w:w="4320"/>
          </w:tcPr>
          <w:p>
            <w:r/>
            <w:r>
              <w:t>Reporting period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from date&gt;&gt;</w:t>
            </w:r>
            <w:r>
              <w:t xml:space="preserve"> to </w:t>
            </w:r>
            <w:r>
              <w:rPr>
                <w:rFonts w:ascii="Consolas" w:hAnsi="Consolas"/>
                <w:sz w:val="20"/>
              </w:rPr>
              <w:t>&lt;&lt;FILL: to date&gt;&gt;</w:t>
            </w:r>
          </w:p>
        </w:tc>
      </w:tr>
      <w:tr>
        <w:tc>
          <w:tcPr>
            <w:tcW w:type="dxa" w:w="4320"/>
          </w:tcPr>
          <w:p>
            <w:r/>
            <w:r>
              <w:t>Frequency</w:t>
            </w:r>
          </w:p>
        </w:tc>
        <w:tc>
          <w:tcPr>
            <w:tcW w:type="dxa" w:w="4320"/>
          </w:tcPr>
          <w:p>
            <w:r/>
            <w:r>
              <w:t>Monthly / Quarterly / Annual</w:t>
            </w:r>
          </w:p>
        </w:tc>
      </w:tr>
      <w:tr>
        <w:tc>
          <w:tcPr>
            <w:tcW w:type="dxa" w:w="4320"/>
          </w:tcPr>
          <w:p>
            <w:r/>
            <w:r>
              <w:t>Scope (suites / grades)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Prepared by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role, e.g. EM program owner&gt;&gt;</w:t>
            </w:r>
          </w:p>
        </w:tc>
      </w:tr>
    </w:tbl>
    <w:p/>
    <w:p>
      <w:pPr>
        <w:pStyle w:val="Heading1"/>
      </w:pPr>
      <w:r>
        <w:rPr>
          <w:color w:val="0B2E4F"/>
        </w:rPr>
        <w:t>1. Purpose and scope</w:t>
      </w:r>
    </w:p>
    <w:p>
      <w:r>
        <w:t xml:space="preserve">This report summarizes EM data for </w:t>
      </w:r>
      <w:r>
        <w:rPr>
          <w:rFonts w:ascii="Consolas" w:hAnsi="Consolas"/>
          <w:sz w:val="20"/>
        </w:rPr>
        <w:t>&lt;&lt;FILL: COMPANY NAME&gt;&gt;</w:t>
      </w:r>
      <w:r>
        <w:t xml:space="preserve"> over the reporting period across the suites and grades in scope, to assess whether the aseptic environment is stable, to surface out-of-trend signals, to confirm or re-derive alert and action levels, and to feed the contamination control strategy (CCS) and the EM site map. It covers viable air, viable surface, personnel monitoring, and non-viable particulate.</w:t>
      </w:r>
    </w:p>
    <w:p>
      <w:pPr>
        <w:pStyle w:val="Heading1"/>
      </w:pPr>
      <w:r>
        <w:rPr>
          <w:color w:val="0B2E4F"/>
        </w:rPr>
        <w:t>2. Data set and completeness</w:t>
      </w:r>
    </w:p>
    <w:p>
      <w:r>
        <w:t>State exactly what was analyzed so the report is re-derivable.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Data source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LIMS / system name and query/report ID&gt;&gt;</w:t>
            </w:r>
          </w:p>
        </w:tc>
      </w:tr>
      <w:tr>
        <w:tc>
          <w:tcPr>
            <w:tcW w:type="dxa" w:w="4320"/>
          </w:tcPr>
          <w:p>
            <w:r/>
            <w:r>
              <w:t>Sessions in period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count&gt;&gt;</w:t>
            </w:r>
          </w:p>
        </w:tc>
      </w:tr>
      <w:tr>
        <w:tc>
          <w:tcPr>
            <w:tcW w:type="dxa" w:w="4320"/>
          </w:tcPr>
          <w:p>
            <w:r/>
            <w:r>
              <w:t>Total samples analyzed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count, by method&gt;&gt;</w:t>
            </w:r>
          </w:p>
        </w:tc>
      </w:tr>
      <w:tr>
        <w:tc>
          <w:tcPr>
            <w:tcW w:type="dxa" w:w="4320"/>
          </w:tcPr>
          <w:p>
            <w:r/>
            <w:r>
              <w:t>Plate reconciliation gaps in period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count, with references&gt;&gt;</w:t>
            </w:r>
            <w:r>
              <w:t xml:space="preserve"> (target: zero)</w:t>
            </w:r>
          </w:p>
        </w:tc>
      </w:tr>
      <w:tr>
        <w:tc>
          <w:tcPr>
            <w:tcW w:type="dxa" w:w="4320"/>
          </w:tcPr>
          <w:p>
            <w:r/>
            <w:r>
              <w:t>Excluded results (with justification)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count + reference&gt;&gt;</w:t>
            </w:r>
          </w:p>
        </w:tc>
      </w:tr>
      <w:tr>
        <w:tc>
          <w:tcPr>
            <w:tcW w:type="dxa" w:w="4320"/>
          </w:tcPr>
          <w:p>
            <w:r/>
            <w:r>
              <w:t>Data extract date and analyst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r>
        <w:t>A statement that the data set is complete and reconciled, with no unaccounted plates, is the foundation of the report. If reconciliation gaps exist, list them and their deviation references here.</w:t>
      </w:r>
    </w:p>
    <w:p>
      <w:pPr>
        <w:pStyle w:val="Heading1"/>
      </w:pPr>
      <w:r>
        <w:rPr>
          <w:color w:val="0B2E4F"/>
        </w:rPr>
        <w:t>3. Trending by grade and method</w:t>
      </w:r>
    </w:p>
    <w:p>
      <w:r>
        <w:t>Report viable results as recovery rate (the fraction of samples showing any growth) for near-zero zones, and add summary statistics where the data supports them. For Grade A, recovery rate is the primary metric; a mean is meaningless when almost every plate reads zero.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Grade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Samples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Samples with recovery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Recovery rate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Alerts crossed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Actions crossed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Prior-period recovery rate</w:t>
            </w:r>
          </w:p>
        </w:tc>
      </w:tr>
      <w:tr>
        <w:tc>
          <w:tcPr>
            <w:tcW w:type="dxa" w:w="1080"/>
          </w:tcPr>
          <w:p>
            <w:r/>
            <w:r>
              <w:t>A</w:t>
            </w:r>
          </w:p>
        </w:tc>
        <w:tc>
          <w:tcPr>
            <w:tcW w:type="dxa" w:w="1080"/>
          </w:tcPr>
          <w:p>
            <w:r/>
            <w:r>
              <w:t>Viable air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080"/>
          </w:tcPr>
          <w:p>
            <w:r/>
            <w:r>
              <w:t>A</w:t>
            </w:r>
          </w:p>
        </w:tc>
        <w:tc>
          <w:tcPr>
            <w:tcW w:type="dxa" w:w="1080"/>
          </w:tcPr>
          <w:p>
            <w:r/>
            <w:r>
              <w:t>Settle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080"/>
          </w:tcPr>
          <w:p>
            <w:r/>
            <w:r>
              <w:t>A</w:t>
            </w:r>
          </w:p>
        </w:tc>
        <w:tc>
          <w:tcPr>
            <w:tcW w:type="dxa" w:w="1080"/>
          </w:tcPr>
          <w:p>
            <w:r/>
            <w:r>
              <w:t>Surface (contact)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080"/>
          </w:tcPr>
          <w:p>
            <w:r/>
            <w:r>
              <w:t>A</w:t>
            </w:r>
          </w:p>
        </w:tc>
        <w:tc>
          <w:tcPr>
            <w:tcW w:type="dxa" w:w="1080"/>
          </w:tcPr>
          <w:p>
            <w:r/>
            <w:r>
              <w:t>Personnel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080"/>
          </w:tcPr>
          <w:p>
            <w:r/>
            <w:r>
              <w:t>B</w:t>
            </w:r>
          </w:p>
        </w:tc>
        <w:tc>
          <w:tcPr>
            <w:tcW w:type="dxa" w:w="1080"/>
          </w:tcPr>
          <w:p>
            <w:r/>
            <w:r>
              <w:t>(each method)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(each method)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080"/>
          </w:tcPr>
          <w:p>
            <w:r/>
            <w:r>
              <w:t>D</w:t>
            </w:r>
          </w:p>
        </w:tc>
        <w:tc>
          <w:tcPr>
            <w:tcW w:type="dxa" w:w="1080"/>
          </w:tcPr>
          <w:p>
            <w:r/>
            <w:r>
              <w:t>(each method)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r>
        <w:t xml:space="preserve">For non-viable particulate, report whether continuous Grade A/B monitoring stayed within limits during operations and list any documented excursions and their references: </w:t>
      </w:r>
      <w:r>
        <w:rPr>
          <w:rFonts w:ascii="Consolas" w:hAnsi="Consolas"/>
          <w:sz w:val="20"/>
        </w:rPr>
        <w:t>&lt;&lt;FILL&gt;&gt;</w:t>
      </w:r>
      <w:r>
        <w:t>.</w:t>
      </w:r>
    </w:p>
    <w:p>
      <w:pPr>
        <w:pStyle w:val="Heading1"/>
      </w:pPr>
      <w:r>
        <w:rPr>
          <w:color w:val="0B2E4F"/>
        </w:rPr>
        <w:t>4. Site-level signals</w:t>
      </w:r>
    </w:p>
    <w:p>
      <w:r>
        <w:t>Identify any site whose recovery rate is rising across periods, even where no single result crossed an action level. Rising recovery rate is the early signal of a degrading environment.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Site ID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Location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Grade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This period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Prior period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Two periods ago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Trend read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&lt;&lt;FILL: stable / rising / out-of-trend&gt;&gt;</w:t>
            </w:r>
          </w:p>
        </w:tc>
      </w:tr>
    </w:tbl>
    <w:p/>
    <w:p>
      <w:pPr>
        <w:pStyle w:val="Heading1"/>
      </w:pPr>
      <w:r>
        <w:rPr>
          <w:color w:val="0B2E4F"/>
        </w:rPr>
        <w:t>5. Resident-organism analysis</w:t>
      </w:r>
    </w:p>
    <w:p>
      <w:r>
        <w:t>A recurring organism at a recurring location is a resident, a sign of a niche the cleaning program is not reaching, an ingress source, or a water source. This is more concerning than a one-off skin commensal.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Site / area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Most frequent isolate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Recurrences in period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Source class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Resident?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440"/>
          </w:tcPr>
          <w:p>
            <w:r/>
            <w:r>
              <w:t>People / Ingress-materials / Water / Other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&lt;&lt;FILL: monitor / investigate / OOT raised&gt;&gt;</w:t>
            </w:r>
          </w:p>
        </w:tc>
      </w:tr>
    </w:tbl>
    <w:p/>
    <w:p>
      <w:r>
        <w:t xml:space="preserve">Note any shift in the dominant flora (for example from transient skin organisms to a persistent mold), any seasonal or shift-correlated pattern, and any new isolate added to the house-flora library: </w:t>
      </w:r>
      <w:r>
        <w:rPr>
          <w:rFonts w:ascii="Consolas" w:hAnsi="Consolas"/>
          <w:sz w:val="20"/>
        </w:rPr>
        <w:t>&lt;&lt;FILL&gt;&gt;</w:t>
      </w:r>
      <w:r>
        <w:t>.</w:t>
      </w:r>
    </w:p>
    <w:p>
      <w:pPr>
        <w:pStyle w:val="Heading1"/>
      </w:pPr>
      <w:r>
        <w:rPr>
          <w:color w:val="0B2E4F"/>
        </w:rPr>
        <w:t>6. Cross-method and cross-program correlation</w:t>
      </w:r>
    </w:p>
    <w:p>
      <w:r>
        <w:t>Patterns that no single data stream shows on its own:</w:t>
      </w:r>
    </w:p>
    <w:p>
      <w:pPr>
        <w:pStyle w:val="ListBullet"/>
      </w:pPr>
      <w:r>
        <w:t xml:space="preserve">Non-viable excursions coinciding with viable hits at the same location and time: </w:t>
      </w:r>
      <w:r>
        <w:rPr>
          <w:rFonts w:ascii="Consolas" w:hAnsi="Consolas"/>
          <w:sz w:val="20"/>
        </w:rPr>
        <w:t>&lt;&lt;FILL&gt;&gt;</w:t>
      </w:r>
    </w:p>
    <w:p>
      <w:pPr>
        <w:pStyle w:val="ListBullet"/>
      </w:pPr>
      <w:r>
        <w:t xml:space="preserve">Personnel monitoring failures clustering with active-air rises: </w:t>
      </w:r>
      <w:r>
        <w:rPr>
          <w:rFonts w:ascii="Consolas" w:hAnsi="Consolas"/>
          <w:sz w:val="20"/>
        </w:rPr>
        <w:t>&lt;&lt;FILL&gt;&gt;</w:t>
      </w:r>
    </w:p>
    <w:p>
      <w:pPr>
        <w:pStyle w:val="ListBullet"/>
      </w:pPr>
      <w:r>
        <w:t xml:space="preserve">EM signals aligning with media fill results or specific interventions: </w:t>
      </w:r>
      <w:r>
        <w:rPr>
          <w:rFonts w:ascii="Consolas" w:hAnsi="Consolas"/>
          <w:sz w:val="20"/>
        </w:rPr>
        <w:t>&lt;&lt;FILL&gt;&gt;</w:t>
      </w:r>
    </w:p>
    <w:p>
      <w:pPr>
        <w:pStyle w:val="ListBullet"/>
      </w:pPr>
      <w:r>
        <w:t xml:space="preserve">Correlation with utility (water/gas) monitoring or with maintenance/HVAC events: </w:t>
      </w:r>
      <w:r>
        <w:rPr>
          <w:rFonts w:ascii="Consolas" w:hAnsi="Consolas"/>
          <w:sz w:val="20"/>
        </w:rPr>
        <w:t>&lt;&lt;FILL&gt;&gt;</w:t>
      </w:r>
    </w:p>
    <w:p>
      <w:pPr>
        <w:pStyle w:val="Heading1"/>
      </w:pPr>
      <w:r>
        <w:rPr>
          <w:color w:val="0B2E4F"/>
        </w:rPr>
        <w:t>7. Out-of-trend (OOT) determinations and excursions in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Reference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Site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Signal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Determination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Deviation / CAPA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&lt;&lt;FILL: rising recovery rate / resident organism / action breach&gt;&gt;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&lt;&lt;FILL: OOT confirmed / not OOT&gt;&gt;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&lt;&lt;FILL: DEV/CAPA number or N/A&gt;&gt;</w:t>
            </w:r>
          </w:p>
        </w:tc>
      </w:tr>
    </w:tbl>
    <w:p/>
    <w:p>
      <w:r>
        <w:t>A doubling recovery rate with a shifting dominant isolate is an OOT signal that should open a proactive investigation before any action-level breach, which is exactly what this review exists to catch.</w:t>
      </w:r>
    </w:p>
    <w:p>
      <w:pPr>
        <w:pStyle w:val="Heading1"/>
      </w:pPr>
      <w:r>
        <w:rPr>
          <w:color w:val="0B2E4F"/>
        </w:rPr>
        <w:t>8. Alert and action level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Levels reviewed this period (Yes/No)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Statistical basis re-derivable from this data set (Yes/No)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Any level proposed for change (with rationale)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none, or proposed change + data basis&gt;&gt;</w:t>
            </w:r>
          </w:p>
        </w:tc>
      </w:tr>
      <w:tr>
        <w:tc>
          <w:tcPr>
            <w:tcW w:type="dxa" w:w="4320"/>
          </w:tcPr>
          <w:p>
            <w:r/>
            <w:r>
              <w:t>Confirmation each action level is at or below the regulatory limit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Confirmation each alert sits below its action level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Next scheduled re-derivation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date&gt;&gt;</w:t>
            </w:r>
          </w:p>
        </w:tc>
      </w:tr>
    </w:tbl>
    <w:p/>
    <w:p>
      <w:pPr>
        <w:pStyle w:val="Heading1"/>
      </w:pPr>
      <w:r>
        <w:rPr>
          <w:color w:val="0B2E4F"/>
        </w:rPr>
        <w:t>9. Conclusions and CCS 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Overall environmental state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in control / drifting / out of control&gt;&gt;</w:t>
            </w:r>
          </w:p>
        </w:tc>
      </w:tr>
      <w:tr>
        <w:tc>
          <w:tcPr>
            <w:tcW w:type="dxa" w:w="4320"/>
          </w:tcPr>
          <w:p>
            <w:r/>
            <w:r>
              <w:t>Key signals this period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Site map changes recommended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add/remove/reprioritize sites with rationale&gt;&gt;</w:t>
            </w:r>
          </w:p>
        </w:tc>
      </w:tr>
      <w:tr>
        <w:tc>
          <w:tcPr>
            <w:tcW w:type="dxa" w:w="4320"/>
          </w:tcPr>
          <w:p>
            <w:r/>
            <w:r>
              <w:t>Actions and CAPAs opened or tracked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Feedback to the contamination control strategy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Cleaning / disinfectant program feedback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add sporicidal frequency where mold recurs&gt;&gt;</w:t>
            </w:r>
          </w:p>
        </w:tc>
      </w:tr>
    </w:tbl>
    <w:p/>
    <w:p>
      <w:pPr>
        <w:pStyle w:val="Heading1"/>
      </w:pPr>
      <w:r>
        <w:rPr>
          <w:color w:val="0B2E4F"/>
        </w:rPr>
        <w:t>10. Acceptance criteria for this report</w:t>
      </w:r>
    </w:p>
    <w:p>
      <w:pPr>
        <w:pStyle w:val="ListBullet"/>
      </w:pPr>
      <w:r>
        <w:t>The data set is stated, complete, reconciled, and re-derivable (source, query, extract date).</w:t>
      </w:r>
    </w:p>
    <w:p>
      <w:pPr>
        <w:pStyle w:val="ListBullet"/>
      </w:pPr>
      <w:r>
        <w:t>Viable data in near-zero zones is trended by recovery rate, not mean CFU.</w:t>
      </w:r>
    </w:p>
    <w:p>
      <w:pPr>
        <w:pStyle w:val="ListBullet"/>
      </w:pPr>
      <w:r>
        <w:t>Rising recovery rates are flagged even without an action-level breach.</w:t>
      </w:r>
    </w:p>
    <w:p>
      <w:pPr>
        <w:pStyle w:val="ListBullet"/>
      </w:pPr>
      <w:r>
        <w:t>Resident organisms are identified and distinguished from transients by source class.</w:t>
      </w:r>
    </w:p>
    <w:p>
      <w:pPr>
        <w:pStyle w:val="ListBullet"/>
      </w:pPr>
      <w:r>
        <w:t>Alert and action levels are confirmed at or below the regulatory limit, with alert below action.</w:t>
      </w:r>
    </w:p>
    <w:p>
      <w:pPr>
        <w:pStyle w:val="ListBullet"/>
      </w:pPr>
      <w:r>
        <w:t>Every OOT signal has a determination and, where confirmed, a deviation or CAPA reference.</w:t>
      </w:r>
    </w:p>
    <w:p>
      <w:pPr>
        <w:pStyle w:val="ListBullet"/>
      </w:pPr>
      <w:r>
        <w:t>The report is signed, dated, and its recommendations are routed to the CCS and the site map.</w:t>
      </w:r>
    </w:p>
    <w:p>
      <w:pPr>
        <w:pStyle w:val="Heading1"/>
      </w:pPr>
      <w:r>
        <w:rPr>
          <w:color w:val="0B2E4F"/>
        </w:rPr>
        <w:t>11. References</w:t>
      </w:r>
    </w:p>
    <w:p>
      <w:pPr>
        <w:ind w:left="432"/>
      </w:pPr>
      <w:r>
        <w:rPr>
          <w:i/>
          <w:color w:val="6B7076"/>
        </w:rPr>
        <w:t>EU GMP Annex 1, Manufacture of Sterile Medicinal Products (trending, contamination control strategy, continuous Grade A/B monitoring).</w:t>
      </w:r>
    </w:p>
    <w:p>
      <w:pPr>
        <w:ind w:left="432"/>
      </w:pPr>
      <w:r>
        <w:rPr>
          <w:i/>
          <w:color w:val="6B7076"/>
        </w:rPr>
        <w:t>FDA Guidance for Industry, Sterile Drug Products Produced by Aseptic Processing, Current Good Manufacturing Practice.</w:t>
      </w:r>
    </w:p>
    <w:p>
      <w:pPr>
        <w:ind w:left="432"/>
      </w:pPr>
      <w:r>
        <w:rPr>
          <w:i/>
          <w:color w:val="6B7076"/>
        </w:rPr>
        <w:t>21 CFR 211.113 and 211.192.</w:t>
      </w:r>
    </w:p>
    <w:p>
      <w:pPr>
        <w:ind w:left="432"/>
      </w:pPr>
      <w:r>
        <w:rPr>
          <w:i/>
          <w:color w:val="6B7076"/>
        </w:rPr>
        <w:t>USP &lt;1116&gt; Microbiological Control and Monitoring of Aseptic Processing Environments (contamination recovery rates, low-count statistics).</w:t>
      </w:r>
    </w:p>
    <w:p>
      <w:pPr>
        <w:ind w:left="432"/>
      </w:pPr>
      <w:r>
        <w:rPr>
          <w:i/>
          <w:color w:val="6B7076"/>
        </w:rPr>
        <w:t>ICH Q9, Quality Risk Management.</w:t>
      </w:r>
    </w:p>
    <w:p>
      <w:r>
        <w:t>Confirm the current version and clause numbers before issue.</w:t>
      </w:r>
    </w:p>
    <w:p>
      <w:pPr>
        <w:pStyle w:val="Heading1"/>
      </w:pPr>
      <w:r>
        <w:rPr>
          <w:color w:val="0B2E4F"/>
        </w:rPr>
        <w:t>12.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Prepared by (EM program owner)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Reviewed by (QC Micro Lead)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Approved by (QA)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The following shows the trend section completed for one Grade B surface site over four quarters, so you can see how an inspector expects a trend read to land. The numbers and organisms are illustrative; replace them with your own.</w:t>
      </w:r>
    </w:p>
    <w:p>
      <w:r>
        <w:rPr>
          <w:b/>
        </w:rPr>
        <w:t>Section 5, resident-organism analysis, site B-12 (Grade B fill-line surface):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Quarter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Samples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Samples with recovery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Recovery rate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Most frequent isolate</w:t>
            </w:r>
          </w:p>
        </w:tc>
      </w:tr>
      <w:tr>
        <w:tc>
          <w:tcPr>
            <w:tcW w:type="dxa" w:w="1728"/>
          </w:tcPr>
          <w:p>
            <w:r/>
            <w:r>
              <w:t>Q1</w:t>
            </w:r>
          </w:p>
        </w:tc>
        <w:tc>
          <w:tcPr>
            <w:tcW w:type="dxa" w:w="1728"/>
          </w:tcPr>
          <w:p>
            <w:r/>
            <w:r>
              <w:t>90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1.1%</w:t>
            </w:r>
          </w:p>
        </w:tc>
        <w:tc>
          <w:tcPr>
            <w:tcW w:type="dxa" w:w="1728"/>
          </w:tcPr>
          <w:p>
            <w:r/>
            <w:r>
              <w:t>Staphylococcus (skin)</w:t>
            </w:r>
          </w:p>
        </w:tc>
      </w:tr>
      <w:tr>
        <w:tc>
          <w:tcPr>
            <w:tcW w:type="dxa" w:w="1728"/>
          </w:tcPr>
          <w:p>
            <w:r/>
            <w:r>
              <w:t>Q2</w:t>
            </w:r>
          </w:p>
        </w:tc>
        <w:tc>
          <w:tcPr>
            <w:tcW w:type="dxa" w:w="1728"/>
          </w:tcPr>
          <w:p>
            <w:r/>
            <w:r>
              <w:t>90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2.2%</w:t>
            </w:r>
          </w:p>
        </w:tc>
        <w:tc>
          <w:tcPr>
            <w:tcW w:type="dxa" w:w="1728"/>
          </w:tcPr>
          <w:p>
            <w:r/>
            <w:r>
              <w:t>Staphylococcus (skin)</w:t>
            </w:r>
          </w:p>
        </w:tc>
      </w:tr>
      <w:tr>
        <w:tc>
          <w:tcPr>
            <w:tcW w:type="dxa" w:w="1728"/>
          </w:tcPr>
          <w:p>
            <w:r/>
            <w:r>
              <w:t>Q3</w:t>
            </w:r>
          </w:p>
        </w:tc>
        <w:tc>
          <w:tcPr>
            <w:tcW w:type="dxa" w:w="1728"/>
          </w:tcPr>
          <w:p>
            <w:r/>
            <w:r>
              <w:t>90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5.6%</w:t>
            </w:r>
          </w:p>
        </w:tc>
        <w:tc>
          <w:tcPr>
            <w:tcW w:type="dxa" w:w="1728"/>
          </w:tcPr>
          <w:p>
            <w:r/>
            <w:r>
              <w:t>Aspergillus (mold)</w:t>
            </w:r>
          </w:p>
        </w:tc>
      </w:tr>
      <w:tr>
        <w:tc>
          <w:tcPr>
            <w:tcW w:type="dxa" w:w="1728"/>
          </w:tcPr>
          <w:p>
            <w:r/>
            <w:r>
              <w:t>Q4</w:t>
            </w:r>
          </w:p>
        </w:tc>
        <w:tc>
          <w:tcPr>
            <w:tcW w:type="dxa" w:w="1728"/>
          </w:tcPr>
          <w:p>
            <w:r/>
            <w:r>
              <w:t>90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8.9%</w:t>
            </w:r>
          </w:p>
        </w:tc>
        <w:tc>
          <w:tcPr>
            <w:tcW w:type="dxa" w:w="1728"/>
          </w:tcPr>
          <w:p>
            <w:r/>
            <w:r>
              <w:t>Aspergillus (mold)</w:t>
            </w:r>
          </w:p>
        </w:tc>
      </w:tr>
    </w:tbl>
    <w:p/>
    <w:p>
      <w:r>
        <w:rPr>
          <w:b/>
        </w:rPr>
        <w:t>Trend read.</w:t>
      </w:r>
      <w:r>
        <w:t xml:space="preserve"> No single result exceeded the Grade B action level. But the recovery rate roughly doubled each quarter, and the dominant isolate shifted from a transient skin organism to a persistent mold. A mold recurring at one location points to ingress or a wet, uncleanable niche, not a gowning slip. This is an out-of-trend signal recorded in section 7 (reference OOT-2026-0019), and it opened a proactive investigation (DEV-2026-0240, CAPA-2026-0112) before any action-level breach. A mean-CFU chart would have hidden this, the counts are tiny, but the recovery-rate trend is unmistakable.</w:t>
      </w:r>
    </w:p>
    <w:p>
      <w:r>
        <w:rPr>
          <w:b/>
        </w:rPr>
        <w:t>Conclusion and CCS feedback (section 9, extract).</w:t>
      </w:r>
      <w:r>
        <w:t xml:space="preserve"> Overall state: drifting at site B-12, in control elsewhere. Key signal: rising mold recovery at the fill-line surface. Site map change: added a contact site at the adjacent floor drain and the nearest door gasket. CCS feedback: door gasket integrity and drain hygiene added to the CCS review; sporicidal disinfectant frequency at the fill-line floor increased pending the investigation outcome.</w:t>
      </w:r>
    </w:p>
    <w:p>
      <w:r>
        <w:t>What makes this report defensible is that it acted on a signal a single result never raised. The recovery rate, not the count, told the story, and the report routed it to a deviation, a CAPA, a site-map change, and the CCS rather than filing it.</w:t>
      </w:r>
    </w:p>
    <w:p>
      <w:pPr>
        <w:pStyle w:val="Heading1"/>
      </w:pPr>
      <w:r>
        <w:rPr>
          <w:color w:val="0B2E4F"/>
        </w:rPr>
        <w:t>Common inspection findings this report prevents</w:t>
      </w:r>
    </w:p>
    <w:p>
      <w:pPr>
        <w:pStyle w:val="ListBullet"/>
      </w:pPr>
      <w:r>
        <w:t>Trend reports generated and filed but never acted on, documenting that the signal was seen and ignored.</w:t>
      </w:r>
    </w:p>
    <w:p>
      <w:pPr>
        <w:pStyle w:val="ListBullet"/>
      </w:pPr>
      <w:r>
        <w:t>Mean-CFU trending in clean zones, which hides a rising recovery rate because most plates read zero.</w:t>
      </w:r>
    </w:p>
    <w:p>
      <w:pPr>
        <w:pStyle w:val="ListBullet"/>
      </w:pPr>
      <w:r>
        <w:t>A static site map that ignores a hotspot the trend data revealed.</w:t>
      </w:r>
    </w:p>
    <w:p>
      <w:pPr>
        <w:pStyle w:val="ListBullet"/>
      </w:pPr>
      <w:r>
        <w:t>Resident organisms never distinguished from transients, so an ingress or water source is missed.</w:t>
      </w:r>
    </w:p>
    <w:p>
      <w:pPr>
        <w:pStyle w:val="ListBullet"/>
      </w:pPr>
      <w:r>
        <w:t>Alert and action levels never re-derived, drifting out of step with the room's actual behavior.</w:t>
      </w:r>
    </w:p>
    <w:p>
      <w:pPr>
        <w:pStyle w:val="ListBullet"/>
      </w:pPr>
      <w:r>
        <w:t>A trend signal with no out-of-trend determination and no link to a deviation or CAPA.</w:t>
      </w:r>
    </w:p>
    <w:p>
      <w:pPr>
        <w:pStyle w:val="Heading1"/>
      </w:pPr>
      <w:r>
        <w:rPr>
          <w:color w:val="0B2E4F"/>
        </w:rPr>
        <w:t>How to adapt this report template</w:t>
      </w:r>
    </w:p>
    <w:p>
      <w:pPr>
        <w:pStyle w:val="ListNumber"/>
      </w:pPr>
      <w:r>
        <w:t>Set your report number, period, and frequency in the header, and link it to your EM/trending SOP.</w:t>
      </w:r>
    </w:p>
    <w:p>
      <w:pPr>
        <w:pStyle w:val="ListNumber"/>
      </w:pPr>
      <w:r>
        <w:t>Replace the grade-and-method table in section 3 with your actual suites, grades, and methods.</w:t>
      </w:r>
    </w:p>
    <w:p>
      <w:pPr>
        <w:pStyle w:val="ListNumber"/>
      </w:pPr>
      <w:r>
        <w:t>Use recovery rate as the primary viable metric in near-zero zones; add percentile statistics only where the distribution supports them.</w:t>
      </w:r>
    </w:p>
    <w:p>
      <w:pPr>
        <w:pStyle w:val="ListNumber"/>
      </w:pPr>
      <w:r>
        <w:t>Point section 9 feedback at your real CCS, site map, and cleaning/disinfectant procedures by document number.</w:t>
      </w:r>
    </w:p>
    <w:p>
      <w:pPr>
        <w:pStyle w:val="ListNumber"/>
      </w:pPr>
      <w:r>
        <w:t>Confirm every regulation in section 11 against the current published version before issue.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Template: Environmental Monitoring Data Trending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