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C00000"/>
          <w:sz w:val="44"/>
          <w:szCs w:val="44"/>
        </w:rPr>
        <w:t xml:space="preserve">Proposal: Contract Intelligence Platform</w:t>
      </w:r>
    </w:p>
    <w:p>
      <w:pPr>
        <w:spacing w:after="60"/>
      </w:pPr>
      <w:r>
        <w:rPr>
          <w:color w:val="555555"/>
          <w:sz w:val="26"/>
          <w:szCs w:val="26"/>
        </w:rPr>
        <w:t xml:space="preserve">Vectorization, Knowledge Graph &amp; Governed Access for Honeywell Aerospace Contracts</w:t>
      </w:r>
    </w:p>
    <w:p>
      <w:pPr>
        <w:spacing w:after="320"/>
      </w:pPr>
      <w:r>
        <w:rPr>
          <w:i/>
          <w:iCs/>
          <w:color w:val="555555"/>
          <w:sz w:val="20"/>
          <w:szCs w:val="20"/>
        </w:rPr>
        <w:t xml:space="preserve">Prepared by Goutham Chandrasekaran  |  Draft for technical team review  |  August 2026</w:t>
      </w:r>
    </w:p>
    <w:p>
      <w:pPr>
        <w:pBdr>
          <w:bottom w:val="single" w:color="AAAAAA" w:sz="6" w:space="1"/>
        </w:pBdr>
        <w:spacing w:after="240"/>
      </w:pPr>
    </w:p>
    <w:p>
      <w:pPr>
        <w:pStyle w:val="Heading1"/>
        <w:spacing w:after="160" w:before="320"/>
      </w:pPr>
      <w:r>
        <w:t xml:space="preserve">1. Executive Summary</w:t>
      </w:r>
    </w:p>
    <w:p>
      <w:pPr>
        <w:spacing w:after="160"/>
      </w:pPr>
      <w:r>
        <w:t xml:space="preserve">Honeywell Aerospace contracts (sales agreements, government contracts, SOWs, subcontracting plans) currently live in LEAP as finalized, static documents. They are searchable only by manually opening and reading them. This proposal recommends building a Contract Intelligence Platform that combines a semantic vector search layer (Vertex AI Data Store) with a structured knowledge graph (Neo4j), fed by an automated LEAP to Workato to GCP ingestion pipeline, so contract data becomes queryable, auditable, and usable by internal agents and copilots, while correctly handling contract amendments, cross-document references, and Honeywell's confidentiality and export-control requirements.</w:t>
      </w:r>
    </w:p>
    <w:p>
      <w:pPr>
        <w:spacing w:after="160"/>
      </w:pPr>
      <w:r>
        <w:rPr>
          <w:b/>
          <w:bCs/>
        </w:rPr>
        <w:t xml:space="preserve">What we're asking for: </w:t>
      </w:r>
      <w:r>
        <w:t xml:space="preserve">review and feedback on the architecture and open technical questions below, and agreement on a small pilot scope to validate the approach before any production build.</w:t>
      </w:r>
    </w:p>
    <w:p>
      <w:pPr>
        <w:pStyle w:val="Heading1"/>
        <w:spacing w:after="160" w:before="320"/>
      </w:pPr>
      <w:r>
        <w:t xml:space="preserve">2. Problem Statement</w:t>
      </w:r>
    </w:p>
    <w:p>
      <w:pPr>
        <w:pStyle w:val="ListParagraph"/>
        <w:numPr>
          <w:ilvl w:val="0"/>
          <w:numId w:val="2"/>
        </w:numPr>
        <w:spacing w:after="80"/>
      </w:pPr>
      <w:r>
        <w:t xml:space="preserve">Contracts are unstructured and scattered across formats (Word, PDF, Excel, scanned government forms) and are only accessible by manually opening and reading them in LEAP.</w:t>
      </w:r>
    </w:p>
    <w:p>
      <w:pPr>
        <w:pStyle w:val="ListParagraph"/>
        <w:numPr>
          <w:ilvl w:val="0"/>
          <w:numId w:val="2"/>
        </w:numPr>
        <w:spacing w:after="80"/>
      </w:pPr>
      <w:r>
        <w:t xml:space="preserve">Key facts, such as obligations, milestones, payment schedules, termination liability, and references to exhibits and external interface control documents, are not computable or queryable at scale today.</w:t>
      </w:r>
    </w:p>
    <w:p>
      <w:pPr>
        <w:pStyle w:val="ListParagraph"/>
        <w:numPr>
          <w:ilvl w:val="0"/>
          <w:numId w:val="2"/>
        </w:numPr>
        <w:spacing w:after="80"/>
      </w:pPr>
      <w:r>
        <w:t xml:space="preserve">Amendments and revisions create new versions with no structured way to track what changed or reconstruct history for an audit.</w:t>
      </w:r>
    </w:p>
    <w:p>
      <w:pPr>
        <w:pStyle w:val="ListParagraph"/>
        <w:numPr>
          <w:ilvl w:val="0"/>
          <w:numId w:val="2"/>
        </w:numPr>
        <w:spacing w:after="80"/>
      </w:pPr>
      <w:r>
        <w:t xml:space="preserve">There is no governed, access-controlled way for internal tools or AI agents to query this data safely, respecting the confidentiality and export-control classifications already present on these documents.</w:t>
      </w:r>
    </w:p>
    <w:p>
      <w:pPr>
        <w:pStyle w:val="Heading1"/>
        <w:spacing w:after="160" w:before="320"/>
      </w:pPr>
      <w:r>
        <w:t xml:space="preserve">3. Proposed Architecture</w:t>
      </w:r>
    </w:p>
    <w:p>
      <w:pPr>
        <w:spacing w:after="160"/>
      </w:pPr>
      <w:r>
        <w:t xml:space="preserve">Three layers, plus cross-cutting concerns that need to be built alongside them rather than added afterward.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shd w:fill="EDEDED" w:val="clear"/>
            <w:tcMar>
              <w:top w:type="dxa" w:w="80"/>
              <w:left w:type="dxa" w:w="100"/>
              <w:bottom w:type="dxa" w:w="80"/>
              <w:right w:type="dxa" w:w="100"/>
            </w:tcMar>
          </w:tcPr>
          <w:p>
            <w:pPr>
              <w:jc w:val="left"/>
            </w:pPr>
            <w:r>
              <w:rPr>
                <w:b/>
                <w:bCs/>
              </w:rPr>
              <w:t xml:space="preserve">Layer</w:t>
            </w:r>
          </w:p>
        </w:tc>
        <w:tc>
          <w:tcPr>
            <w:tcW w:type="dxa" w:w="4560"/>
            <w:shd w:fill="EDEDED" w:val="clear"/>
            <w:tcMar>
              <w:top w:type="dxa" w:w="80"/>
              <w:left w:type="dxa" w:w="100"/>
              <w:bottom w:type="dxa" w:w="80"/>
              <w:right w:type="dxa" w:w="100"/>
            </w:tcMar>
          </w:tcPr>
          <w:p>
            <w:pPr>
              <w:jc w:val="left"/>
            </w:pPr>
            <w:r>
              <w:rPr>
                <w:b/>
                <w:bCs/>
              </w:rPr>
              <w:t xml:space="preserve">Purpose</w:t>
            </w:r>
          </w:p>
        </w:tc>
        <w:tc>
          <w:tcPr>
            <w:tcW w:type="dxa" w:w="2400"/>
            <w:shd w:fill="EDEDED" w:val="clear"/>
            <w:tcMar>
              <w:top w:type="dxa" w:w="80"/>
              <w:left w:type="dxa" w:w="100"/>
              <w:bottom w:type="dxa" w:w="80"/>
              <w:right w:type="dxa" w:w="100"/>
            </w:tcMar>
          </w:tcPr>
          <w:p>
            <w:pPr>
              <w:jc w:val="left"/>
            </w:pPr>
            <w:r>
              <w:rPr>
                <w:b/>
                <w:bCs/>
              </w:rPr>
              <w:t xml:space="preserve">Primary Technology</w:t>
            </w:r>
          </w:p>
        </w:tc>
      </w:tr>
      <w:tr>
        <w:tc>
          <w:tcPr>
            <w:tcW w:type="dxa" w:w="2400"/>
            <w:tcMar>
              <w:top w:type="dxa" w:w="80"/>
              <w:left w:type="dxa" w:w="100"/>
              <w:bottom w:type="dxa" w:w="80"/>
              <w:right w:type="dxa" w:w="100"/>
            </w:tcMar>
          </w:tcPr>
          <w:p>
            <w:pPr>
              <w:jc w:val="left"/>
            </w:pPr>
            <w:r>
              <w:rPr>
                <w:b w:val="false"/>
                <w:bCs w:val="false"/>
              </w:rPr>
              <w:t xml:space="preserve">1. Ingestion &amp; Vectorization</w:t>
            </w:r>
          </w:p>
        </w:tc>
        <w:tc>
          <w:tcPr>
            <w:tcW w:type="dxa" w:w="4560"/>
            <w:tcMar>
              <w:top w:type="dxa" w:w="80"/>
              <w:left w:type="dxa" w:w="100"/>
              <w:bottom w:type="dxa" w:w="80"/>
              <w:right w:type="dxa" w:w="100"/>
            </w:tcMar>
          </w:tcPr>
          <w:p>
            <w:pPr>
              <w:jc w:val="left"/>
            </w:pPr>
            <w:r>
              <w:rPr>
                <w:b w:val="false"/>
                <w:bCs w:val="false"/>
              </w:rPr>
              <w:t xml:space="preserve">Parse, chunk, and embed raw contract documents for semantic search.</w:t>
            </w:r>
          </w:p>
        </w:tc>
        <w:tc>
          <w:tcPr>
            <w:tcW w:type="dxa" w:w="2400"/>
            <w:tcMar>
              <w:top w:type="dxa" w:w="80"/>
              <w:left w:type="dxa" w:w="100"/>
              <w:bottom w:type="dxa" w:w="80"/>
              <w:right w:type="dxa" w:w="100"/>
            </w:tcMar>
          </w:tcPr>
          <w:p>
            <w:pPr>
              <w:jc w:val="left"/>
            </w:pPr>
            <w:r>
              <w:rPr>
                <w:b w:val="false"/>
                <w:bCs w:val="false"/>
              </w:rPr>
              <w:t xml:space="preserve">GCS landing zone + Vertex AI Data Store</w:t>
            </w:r>
          </w:p>
        </w:tc>
      </w:tr>
      <w:tr>
        <w:tc>
          <w:tcPr>
            <w:tcW w:type="dxa" w:w="2400"/>
            <w:tcMar>
              <w:top w:type="dxa" w:w="80"/>
              <w:left w:type="dxa" w:w="100"/>
              <w:bottom w:type="dxa" w:w="80"/>
              <w:right w:type="dxa" w:w="100"/>
            </w:tcMar>
          </w:tcPr>
          <w:p>
            <w:pPr>
              <w:jc w:val="left"/>
            </w:pPr>
            <w:r>
              <w:rPr>
                <w:b w:val="false"/>
                <w:bCs w:val="false"/>
              </w:rPr>
              <w:t xml:space="preserve">2. Knowledge Graph</w:t>
            </w:r>
          </w:p>
        </w:tc>
        <w:tc>
          <w:tcPr>
            <w:tcW w:type="dxa" w:w="4560"/>
            <w:tcMar>
              <w:top w:type="dxa" w:w="80"/>
              <w:left w:type="dxa" w:w="100"/>
              <w:bottom w:type="dxa" w:w="80"/>
              <w:right w:type="dxa" w:w="100"/>
            </w:tcMar>
          </w:tcPr>
          <w:p>
            <w:pPr>
              <w:jc w:val="left"/>
            </w:pPr>
            <w:r>
              <w:rPr>
                <w:b w:val="false"/>
                <w:bCs w:val="false"/>
              </w:rPr>
              <w:t xml:space="preserve">Extract structured entities and relationships for precise, computable queries.</w:t>
            </w:r>
          </w:p>
        </w:tc>
        <w:tc>
          <w:tcPr>
            <w:tcW w:type="dxa" w:w="2400"/>
            <w:tcMar>
              <w:top w:type="dxa" w:w="80"/>
              <w:left w:type="dxa" w:w="100"/>
              <w:bottom w:type="dxa" w:w="80"/>
              <w:right w:type="dxa" w:w="100"/>
            </w:tcMar>
          </w:tcPr>
          <w:p>
            <w:pPr>
              <w:jc w:val="left"/>
            </w:pPr>
            <w:r>
              <w:rPr>
                <w:b w:val="false"/>
                <w:bCs w:val="false"/>
              </w:rPr>
              <w:t xml:space="preserve">Neo4j</w:t>
            </w:r>
          </w:p>
        </w:tc>
      </w:tr>
      <w:tr>
        <w:tc>
          <w:tcPr>
            <w:tcW w:type="dxa" w:w="2400"/>
            <w:tcMar>
              <w:top w:type="dxa" w:w="80"/>
              <w:left w:type="dxa" w:w="100"/>
              <w:bottom w:type="dxa" w:w="80"/>
              <w:right w:type="dxa" w:w="100"/>
            </w:tcMar>
          </w:tcPr>
          <w:p>
            <w:pPr>
              <w:jc w:val="left"/>
            </w:pPr>
            <w:r>
              <w:rPr>
                <w:b w:val="false"/>
                <w:bCs w:val="false"/>
              </w:rPr>
              <w:t xml:space="preserve">3. Access &amp; Governance</w:t>
            </w:r>
          </w:p>
        </w:tc>
        <w:tc>
          <w:tcPr>
            <w:tcW w:type="dxa" w:w="4560"/>
            <w:tcMar>
              <w:top w:type="dxa" w:w="80"/>
              <w:left w:type="dxa" w:w="100"/>
              <w:bottom w:type="dxa" w:w="80"/>
              <w:right w:type="dxa" w:w="100"/>
            </w:tcMar>
          </w:tcPr>
          <w:p>
            <w:pPr>
              <w:jc w:val="left"/>
            </w:pPr>
            <w:r>
              <w:rPr>
                <w:b w:val="false"/>
                <w:bCs w:val="false"/>
              </w:rPr>
              <w:t xml:space="preserve">Unified, access-controlled API exposing both layers to internal and external agents.</w:t>
            </w:r>
          </w:p>
        </w:tc>
        <w:tc>
          <w:tcPr>
            <w:tcW w:type="dxa" w:w="2400"/>
            <w:tcMar>
              <w:top w:type="dxa" w:w="80"/>
              <w:left w:type="dxa" w:w="100"/>
              <w:bottom w:type="dxa" w:w="80"/>
              <w:right w:type="dxa" w:w="100"/>
            </w:tcMar>
          </w:tcPr>
          <w:p>
            <w:pPr>
              <w:jc w:val="left"/>
            </w:pPr>
            <w:r>
              <w:rPr>
                <w:b w:val="false"/>
                <w:bCs w:val="false"/>
              </w:rPr>
              <w:t xml:space="preserve">Vertex AI API layer + IAM</w:t>
            </w:r>
          </w:p>
        </w:tc>
      </w:tr>
      <w:tr>
        <w:tc>
          <w:tcPr>
            <w:tcW w:type="dxa" w:w="2400"/>
            <w:tcMar>
              <w:top w:type="dxa" w:w="80"/>
              <w:left w:type="dxa" w:w="100"/>
              <w:bottom w:type="dxa" w:w="80"/>
              <w:right w:type="dxa" w:w="100"/>
            </w:tcMar>
          </w:tcPr>
          <w:p>
            <w:pPr>
              <w:jc w:val="left"/>
            </w:pPr>
            <w:r>
              <w:rPr>
                <w:b w:val="false"/>
                <w:bCs w:val="false"/>
              </w:rPr>
              <w:t xml:space="preserve">Cross-cutting</w:t>
            </w:r>
          </w:p>
        </w:tc>
        <w:tc>
          <w:tcPr>
            <w:tcW w:type="dxa" w:w="4560"/>
            <w:tcMar>
              <w:top w:type="dxa" w:w="80"/>
              <w:left w:type="dxa" w:w="100"/>
              <w:bottom w:type="dxa" w:w="80"/>
              <w:right w:type="dxa" w:w="100"/>
            </w:tcMar>
          </w:tcPr>
          <w:p>
            <w:pPr>
              <w:jc w:val="left"/>
            </w:pPr>
            <w:r>
              <w:rPr>
                <w:b w:val="false"/>
                <w:bCs w:val="false"/>
              </w:rPr>
              <w:t xml:space="preserve">Data classification, audit logging, observability, built in from day one.</w:t>
            </w:r>
          </w:p>
        </w:tc>
        <w:tc>
          <w:tcPr>
            <w:tcW w:type="dxa" w:w="2400"/>
            <w:tcMar>
              <w:top w:type="dxa" w:w="80"/>
              <w:left w:type="dxa" w:w="100"/>
              <w:bottom w:type="dxa" w:w="80"/>
              <w:right w:type="dxa" w:w="100"/>
            </w:tcMar>
          </w:tcPr>
          <w:p>
            <w:pPr>
              <w:jc w:val="left"/>
            </w:pPr>
            <w:r>
              <w:rPr>
                <w:b w:val="false"/>
                <w:bCs w:val="false"/>
              </w:rPr>
              <w:t xml:space="preserve">GCP IAM, Cloud Logging, monitoring</w:t>
            </w:r>
          </w:p>
        </w:tc>
      </w:tr>
    </w:tbl>
    <w:p>
      <w:pPr>
        <w:spacing w:after="200"/>
      </w:pPr>
    </w:p>
    <w:p>
      <w:pPr>
        <w:pStyle w:val="Heading1"/>
        <w:spacing w:after="160" w:before="320"/>
      </w:pPr>
      <w:r>
        <w:t xml:space="preserve">4. Design Principle: Two Complementary Stores, Not One</w:t>
      </w:r>
    </w:p>
    <w:p>
      <w:pPr>
        <w:spacing w:after="160"/>
      </w:pPr>
      <w:r>
        <w:t xml:space="preserve">The vector store and the knowledge graph are not competing options. They answer different kinds of questions and should both be used, deliberately.</w:t>
      </w:r>
    </w:p>
    <w:p>
      <w:pPr>
        <w:spacing w:after="160"/>
      </w:pPr>
      <w:r>
        <w:rPr>
          <w:b/>
          <w:bCs/>
        </w:rPr>
        <w:t xml:space="preserve">The rule: </w:t>
      </w:r>
      <w:r>
        <w:t xml:space="preserve">the vector store gets everything, in full; the graph gets only what's worth computing or traversing, and it points back to the vector store instead of duplicating text.</w:t>
      </w:r>
    </w:p>
    <w:p>
      <w:pPr>
        <w:spacing w:after="160"/>
      </w:pPr>
      <w:r>
        <w:t xml:space="preserve">A quick test: if two people could phrase the same fact differently and you'd still want to find it, it belongs in the vector store. If it's a specific number, date, name, or relationship that must be exactly right and traceable, it belongs in the graph. A Clause node in the graph does not hold the clause's full prose, it holds a short label plus a pointer back to the source chunk in the vector store.</w:t>
      </w:r>
    </w:p>
    <w:p>
      <w:pPr>
        <w:pStyle w:val="Heading1"/>
        <w:spacing w:after="160" w:before="320"/>
      </w:pPr>
      <w:r>
        <w:t xml:space="preserve">5. Handling the Hard Parts</w:t>
      </w:r>
    </w:p>
    <w:p>
      <w:pPr>
        <w:pStyle w:val="Heading2"/>
        <w:spacing w:after="120" w:before="240"/>
      </w:pPr>
      <w:r>
        <w:t xml:space="preserve">5.1 Contract Revisions &amp; Amendments</w:t>
      </w:r>
    </w:p>
    <w:p>
      <w:pPr>
        <w:spacing w:after="160"/>
      </w:pPr>
      <w:r>
        <w:t xml:space="preserve">Confirmed with the LEAP team: amendments are handled by LEAP creating and freezing a new revision, not editing in place. The pipeline hashes each parsed chunk and compares it against the prior revision; unchanged chunks reuse their existing embedding, and only changed chunks are re-embedded and re-extracted. The vector store tags every chunk with contract ID and revision number, marking prior revisions superseded rather than deleting them. The graph models this with a Contract node pointing to the current ContractVersion, with prior versions linked via a SUPERSEDES chain, preserving full audit history.</w:t>
      </w:r>
    </w:p>
    <w:p>
      <w:pPr>
        <w:pStyle w:val="Heading2"/>
        <w:spacing w:after="120" w:before="240"/>
      </w:pPr>
      <w:r>
        <w:t xml:space="preserve">5.2 Cross-Document References</w:t>
      </w:r>
    </w:p>
    <w:p>
      <w:pPr>
        <w:spacing w:after="160"/>
      </w:pPr>
      <w:r>
        <w:t xml:space="preserve">Contracts routinely cite other documents by reference. Intra-document references resolve immediately during extraction. Inter-document references, to exhibits, SOWs, or external documents like customer-authored interface control documents, are captured as REFERENCES edges. If the target document isn't yet ingested, an Unresolved placeholder node is created, keyed on the normalized document number, and automatically resolved the moment that document is ingested.</w:t>
      </w:r>
    </w:p>
    <w:p>
      <w:pPr>
        <w:pStyle w:val="Heading2"/>
        <w:spacing w:after="120" w:before="240"/>
      </w:pPr>
      <w:r>
        <w:t xml:space="preserve">5.3 Chunking Strategy</w:t>
      </w:r>
    </w:p>
    <w:p>
      <w:pPr>
        <w:spacing w:after="160"/>
      </w:pPr>
      <w:r>
        <w:t xml:space="preserve">Naive fixed-size chunking breaks contracts, splitting a termination liability table row from its header produces a chunk with a percentage and no indication of which contract, version, or month it refers to. The proposed approach chunks by document structure rather than token count, keeps tables intact with their headers, routes forms and signature blocks to structured field extraction rather than prose chunking, and tags every chunk with contract ID, revision, section, page, and content type.</w:t>
      </w:r>
    </w:p>
    <w:p>
      <w:pPr>
        <w:pStyle w:val="Heading1"/>
        <w:spacing w:after="160" w:before="320"/>
      </w:pPr>
      <w:r>
        <w:t xml:space="preserve">6. Knowledge Graph Schema</w:t>
      </w:r>
    </w:p>
    <w:p>
      <w:pPr>
        <w:spacing w:after="160"/>
      </w:pPr>
      <w:r>
        <w:t xml:space="preserve">Node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EDEDED" w:val="clear"/>
            <w:tcMar>
              <w:top w:type="dxa" w:w="80"/>
              <w:left w:type="dxa" w:w="100"/>
              <w:bottom w:type="dxa" w:w="80"/>
              <w:right w:type="dxa" w:w="100"/>
            </w:tcMar>
          </w:tcPr>
          <w:p>
            <w:pPr>
              <w:jc w:val="left"/>
            </w:pPr>
            <w:r>
              <w:rPr>
                <w:b/>
                <w:bCs/>
              </w:rPr>
              <w:t xml:space="preserve">Node</w:t>
            </w:r>
          </w:p>
        </w:tc>
        <w:tc>
          <w:tcPr>
            <w:tcW w:type="dxa" w:w="7160"/>
            <w:shd w:fill="EDEDED" w:val="clear"/>
            <w:tcMar>
              <w:top w:type="dxa" w:w="80"/>
              <w:left w:type="dxa" w:w="100"/>
              <w:bottom w:type="dxa" w:w="80"/>
              <w:right w:type="dxa" w:w="100"/>
            </w:tcMar>
          </w:tcPr>
          <w:p>
            <w:pPr>
              <w:jc w:val="left"/>
            </w:pPr>
            <w:r>
              <w:rPr>
                <w:b/>
                <w:bCs/>
              </w:rPr>
              <w:t xml:space="preserve">Represents</w:t>
            </w:r>
          </w:p>
        </w:tc>
      </w:tr>
      <w:tr>
        <w:tc>
          <w:tcPr>
            <w:tcW w:type="dxa" w:w="2200"/>
            <w:tcMar>
              <w:top w:type="dxa" w:w="80"/>
              <w:left w:type="dxa" w:w="100"/>
              <w:bottom w:type="dxa" w:w="80"/>
              <w:right w:type="dxa" w:w="100"/>
            </w:tcMar>
          </w:tcPr>
          <w:p>
            <w:pPr>
              <w:jc w:val="left"/>
            </w:pPr>
            <w:r>
              <w:rPr>
                <w:b w:val="false"/>
                <w:bCs w:val="false"/>
              </w:rPr>
              <w:t xml:space="preserve">Contract</w:t>
            </w:r>
          </w:p>
        </w:tc>
        <w:tc>
          <w:tcPr>
            <w:tcW w:type="dxa" w:w="7160"/>
            <w:tcMar>
              <w:top w:type="dxa" w:w="80"/>
              <w:left w:type="dxa" w:w="100"/>
              <w:bottom w:type="dxa" w:w="80"/>
              <w:right w:type="dxa" w:w="100"/>
            </w:tcMar>
          </w:tcPr>
          <w:p>
            <w:pPr>
              <w:jc w:val="left"/>
            </w:pPr>
            <w:r>
              <w:rPr>
                <w:b w:val="false"/>
                <w:bCs w:val="false"/>
              </w:rPr>
              <w:t xml:space="preserve">The logical agreement, a stable ID persisting across all revisions.</w:t>
            </w:r>
          </w:p>
        </w:tc>
      </w:tr>
      <w:tr>
        <w:tc>
          <w:tcPr>
            <w:tcW w:type="dxa" w:w="2200"/>
            <w:tcMar>
              <w:top w:type="dxa" w:w="80"/>
              <w:left w:type="dxa" w:w="100"/>
              <w:bottom w:type="dxa" w:w="80"/>
              <w:right w:type="dxa" w:w="100"/>
            </w:tcMar>
          </w:tcPr>
          <w:p>
            <w:pPr>
              <w:jc w:val="left"/>
            </w:pPr>
            <w:r>
              <w:rPr>
                <w:b w:val="false"/>
                <w:bCs w:val="false"/>
              </w:rPr>
              <w:t xml:space="preserve">ContractVersion</w:t>
            </w:r>
          </w:p>
        </w:tc>
        <w:tc>
          <w:tcPr>
            <w:tcW w:type="dxa" w:w="7160"/>
            <w:tcMar>
              <w:top w:type="dxa" w:w="80"/>
              <w:left w:type="dxa" w:w="100"/>
              <w:bottom w:type="dxa" w:w="80"/>
              <w:right w:type="dxa" w:w="100"/>
            </w:tcMar>
          </w:tcPr>
          <w:p>
            <w:pPr>
              <w:jc w:val="left"/>
            </w:pPr>
            <w:r>
              <w:rPr>
                <w:b w:val="false"/>
                <w:bCs w:val="false"/>
              </w:rPr>
              <w:t xml:space="preserve">One specific revision or freeze event. All facts below hang off this, not off Contract directly.</w:t>
            </w:r>
          </w:p>
        </w:tc>
      </w:tr>
      <w:tr>
        <w:tc>
          <w:tcPr>
            <w:tcW w:type="dxa" w:w="2200"/>
            <w:tcMar>
              <w:top w:type="dxa" w:w="80"/>
              <w:left w:type="dxa" w:w="100"/>
              <w:bottom w:type="dxa" w:w="80"/>
              <w:right w:type="dxa" w:w="100"/>
            </w:tcMar>
          </w:tcPr>
          <w:p>
            <w:pPr>
              <w:jc w:val="left"/>
            </w:pPr>
            <w:r>
              <w:rPr>
                <w:b w:val="false"/>
                <w:bCs w:val="false"/>
              </w:rPr>
              <w:t xml:space="preserve">Party</w:t>
            </w:r>
          </w:p>
        </w:tc>
        <w:tc>
          <w:tcPr>
            <w:tcW w:type="dxa" w:w="7160"/>
            <w:tcMar>
              <w:top w:type="dxa" w:w="80"/>
              <w:left w:type="dxa" w:w="100"/>
              <w:bottom w:type="dxa" w:w="80"/>
              <w:right w:type="dxa" w:w="100"/>
            </w:tcMar>
          </w:tcPr>
          <w:p>
            <w:pPr>
              <w:jc w:val="left"/>
            </w:pPr>
            <w:r>
              <w:rPr>
                <w:b w:val="false"/>
                <w:bCs w:val="false"/>
              </w:rPr>
              <w:t xml:space="preserve">A contracting entity (buyer, seller, subcontractor).</w:t>
            </w:r>
          </w:p>
        </w:tc>
      </w:tr>
      <w:tr>
        <w:tc>
          <w:tcPr>
            <w:tcW w:type="dxa" w:w="2200"/>
            <w:tcMar>
              <w:top w:type="dxa" w:w="80"/>
              <w:left w:type="dxa" w:w="100"/>
              <w:bottom w:type="dxa" w:w="80"/>
              <w:right w:type="dxa" w:w="100"/>
            </w:tcMar>
          </w:tcPr>
          <w:p>
            <w:pPr>
              <w:jc w:val="left"/>
            </w:pPr>
            <w:r>
              <w:rPr>
                <w:b w:val="false"/>
                <w:bCs w:val="false"/>
              </w:rPr>
              <w:t xml:space="preserve">Document</w:t>
            </w:r>
          </w:p>
        </w:tc>
        <w:tc>
          <w:tcPr>
            <w:tcW w:type="dxa" w:w="7160"/>
            <w:tcMar>
              <w:top w:type="dxa" w:w="80"/>
              <w:left w:type="dxa" w:w="100"/>
              <w:bottom w:type="dxa" w:w="80"/>
              <w:right w:type="dxa" w:w="100"/>
            </w:tcMar>
          </w:tcPr>
          <w:p>
            <w:pPr>
              <w:jc w:val="left"/>
            </w:pPr>
            <w:r>
              <w:rPr>
                <w:b w:val="false"/>
                <w:bCs w:val="false"/>
              </w:rPr>
              <w:t xml:space="preserve">An exhibit, SOW, ICD, or attachment, may be external or not yet ingested.</w:t>
            </w:r>
          </w:p>
        </w:tc>
      </w:tr>
      <w:tr>
        <w:tc>
          <w:tcPr>
            <w:tcW w:type="dxa" w:w="2200"/>
            <w:tcMar>
              <w:top w:type="dxa" w:w="80"/>
              <w:left w:type="dxa" w:w="100"/>
              <w:bottom w:type="dxa" w:w="80"/>
              <w:right w:type="dxa" w:w="100"/>
            </w:tcMar>
          </w:tcPr>
          <w:p>
            <w:pPr>
              <w:jc w:val="left"/>
            </w:pPr>
            <w:r>
              <w:rPr>
                <w:b w:val="false"/>
                <w:bCs w:val="false"/>
              </w:rPr>
              <w:t xml:space="preserve">Clause</w:t>
            </w:r>
          </w:p>
        </w:tc>
        <w:tc>
          <w:tcPr>
            <w:tcW w:type="dxa" w:w="7160"/>
            <w:tcMar>
              <w:top w:type="dxa" w:w="80"/>
              <w:left w:type="dxa" w:w="100"/>
              <w:bottom w:type="dxa" w:w="80"/>
              <w:right w:type="dxa" w:w="100"/>
            </w:tcMar>
          </w:tcPr>
          <w:p>
            <w:pPr>
              <w:jc w:val="left"/>
            </w:pPr>
            <w:r>
              <w:rPr>
                <w:b w:val="false"/>
                <w:bCs w:val="false"/>
              </w:rPr>
              <w:t xml:space="preserve">An extracted obligation or term, with a pointer back to its source chunk.</w:t>
            </w:r>
          </w:p>
        </w:tc>
      </w:tr>
      <w:tr>
        <w:tc>
          <w:tcPr>
            <w:tcW w:type="dxa" w:w="2200"/>
            <w:tcMar>
              <w:top w:type="dxa" w:w="80"/>
              <w:left w:type="dxa" w:w="100"/>
              <w:bottom w:type="dxa" w:w="80"/>
              <w:right w:type="dxa" w:w="100"/>
            </w:tcMar>
          </w:tcPr>
          <w:p>
            <w:pPr>
              <w:jc w:val="left"/>
            </w:pPr>
            <w:r>
              <w:rPr>
                <w:b w:val="false"/>
                <w:bCs w:val="false"/>
              </w:rPr>
              <w:t xml:space="preserve">Milestone</w:t>
            </w:r>
          </w:p>
        </w:tc>
        <w:tc>
          <w:tcPr>
            <w:tcW w:type="dxa" w:w="7160"/>
            <w:tcMar>
              <w:top w:type="dxa" w:w="80"/>
              <w:left w:type="dxa" w:w="100"/>
              <w:bottom w:type="dxa" w:w="80"/>
              <w:right w:type="dxa" w:w="100"/>
            </w:tcMar>
          </w:tcPr>
          <w:p>
            <w:pPr>
              <w:jc w:val="left"/>
            </w:pPr>
            <w:r>
              <w:rPr>
                <w:b w:val="false"/>
                <w:bCs w:val="false"/>
              </w:rPr>
              <w:t xml:space="preserve">A program milestone (ATP, PDR, CDR) with schedule data.</w:t>
            </w:r>
          </w:p>
        </w:tc>
      </w:tr>
      <w:tr>
        <w:tc>
          <w:tcPr>
            <w:tcW w:type="dxa" w:w="2200"/>
            <w:tcMar>
              <w:top w:type="dxa" w:w="80"/>
              <w:left w:type="dxa" w:w="100"/>
              <w:bottom w:type="dxa" w:w="80"/>
              <w:right w:type="dxa" w:w="100"/>
            </w:tcMar>
          </w:tcPr>
          <w:p>
            <w:pPr>
              <w:jc w:val="left"/>
            </w:pPr>
            <w:r>
              <w:rPr>
                <w:b w:val="false"/>
                <w:bCs w:val="false"/>
              </w:rPr>
              <w:t xml:space="preserve">PaymentTerm</w:t>
            </w:r>
          </w:p>
        </w:tc>
        <w:tc>
          <w:tcPr>
            <w:tcW w:type="dxa" w:w="7160"/>
            <w:tcMar>
              <w:top w:type="dxa" w:w="80"/>
              <w:left w:type="dxa" w:w="100"/>
              <w:bottom w:type="dxa" w:w="80"/>
              <w:right w:type="dxa" w:w="100"/>
            </w:tcMar>
          </w:tcPr>
          <w:p>
            <w:pPr>
              <w:jc w:val="left"/>
            </w:pPr>
            <w:r>
              <w:rPr>
                <w:b w:val="false"/>
                <w:bCs w:val="false"/>
              </w:rPr>
              <w:t xml:space="preserve">A billing milestone, percentage, dollar amount, cumulative total.</w:t>
            </w:r>
          </w:p>
        </w:tc>
      </w:tr>
      <w:tr>
        <w:tc>
          <w:tcPr>
            <w:tcW w:type="dxa" w:w="2200"/>
            <w:tcMar>
              <w:top w:type="dxa" w:w="80"/>
              <w:left w:type="dxa" w:w="100"/>
              <w:bottom w:type="dxa" w:w="80"/>
              <w:right w:type="dxa" w:w="100"/>
            </w:tcMar>
          </w:tcPr>
          <w:p>
            <w:pPr>
              <w:jc w:val="left"/>
            </w:pPr>
            <w:r>
              <w:rPr>
                <w:b w:val="false"/>
                <w:bCs w:val="false"/>
              </w:rPr>
              <w:t xml:space="preserve">Unresolved</w:t>
            </w:r>
          </w:p>
        </w:tc>
        <w:tc>
          <w:tcPr>
            <w:tcW w:type="dxa" w:w="7160"/>
            <w:tcMar>
              <w:top w:type="dxa" w:w="80"/>
              <w:left w:type="dxa" w:w="100"/>
              <w:bottom w:type="dxa" w:w="80"/>
              <w:right w:type="dxa" w:w="100"/>
            </w:tcMar>
          </w:tcPr>
          <w:p>
            <w:pPr>
              <w:jc w:val="left"/>
            </w:pPr>
            <w:r>
              <w:rPr>
                <w:b w:val="false"/>
                <w:bCs w:val="false"/>
              </w:rPr>
              <w:t xml:space="preserve">A placeholder for a cited document not yet in the graph.</w:t>
            </w:r>
          </w:p>
        </w:tc>
      </w:tr>
    </w:tbl>
    <w:p>
      <w:pPr>
        <w:spacing w:after="160"/>
      </w:pPr>
    </w:p>
    <w:p>
      <w:pPr>
        <w:spacing w:after="160"/>
      </w:pPr>
      <w:r>
        <w:t xml:space="preserve">Relationship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shd w:fill="EDEDED" w:val="clear"/>
            <w:tcMar>
              <w:top w:type="dxa" w:w="80"/>
              <w:left w:type="dxa" w:w="100"/>
              <w:bottom w:type="dxa" w:w="80"/>
              <w:right w:type="dxa" w:w="100"/>
            </w:tcMar>
          </w:tcPr>
          <w:p>
            <w:pPr>
              <w:jc w:val="left"/>
            </w:pPr>
            <w:r>
              <w:rPr>
                <w:b/>
                <w:bCs/>
              </w:rPr>
              <w:t xml:space="preserve">Relationship</w:t>
            </w:r>
          </w:p>
        </w:tc>
        <w:tc>
          <w:tcPr>
            <w:tcW w:type="dxa" w:w="4560"/>
            <w:shd w:fill="EDEDED" w:val="clear"/>
            <w:tcMar>
              <w:top w:type="dxa" w:w="80"/>
              <w:left w:type="dxa" w:w="100"/>
              <w:bottom w:type="dxa" w:w="80"/>
              <w:right w:type="dxa" w:w="100"/>
            </w:tcMar>
          </w:tcPr>
          <w:p>
            <w:pPr>
              <w:jc w:val="left"/>
            </w:pPr>
            <w:r>
              <w:rPr>
                <w:b/>
                <w:bCs/>
              </w:rPr>
              <w:t xml:space="preserve">Meaning</w:t>
            </w:r>
          </w:p>
        </w:tc>
      </w:tr>
      <w:tr>
        <w:tc>
          <w:tcPr>
            <w:tcW w:type="dxa" w:w="4800"/>
            <w:tcMar>
              <w:top w:type="dxa" w:w="80"/>
              <w:left w:type="dxa" w:w="100"/>
              <w:bottom w:type="dxa" w:w="80"/>
              <w:right w:type="dxa" w:w="100"/>
            </w:tcMar>
          </w:tcPr>
          <w:p>
            <w:pPr>
              <w:jc w:val="left"/>
            </w:pPr>
            <w:r>
              <w:rPr>
                <w:b w:val="false"/>
                <w:bCs w:val="false"/>
              </w:rPr>
              <w:t xml:space="preserve">Contract to CURRENT_VERSION to ContractVersion</w:t>
            </w:r>
          </w:p>
        </w:tc>
        <w:tc>
          <w:tcPr>
            <w:tcW w:type="dxa" w:w="4560"/>
            <w:tcMar>
              <w:top w:type="dxa" w:w="80"/>
              <w:left w:type="dxa" w:w="100"/>
              <w:bottom w:type="dxa" w:w="80"/>
              <w:right w:type="dxa" w:w="100"/>
            </w:tcMar>
          </w:tcPr>
          <w:p>
            <w:pPr>
              <w:jc w:val="left"/>
            </w:pPr>
            <w:r>
              <w:rPr>
                <w:b w:val="false"/>
                <w:bCs w:val="false"/>
              </w:rPr>
              <w:t xml:space="preserve">Points to the latest revision, repointed on every freeze.</w:t>
            </w:r>
          </w:p>
        </w:tc>
      </w:tr>
      <w:tr>
        <w:tc>
          <w:tcPr>
            <w:tcW w:type="dxa" w:w="4800"/>
            <w:tcMar>
              <w:top w:type="dxa" w:w="80"/>
              <w:left w:type="dxa" w:w="100"/>
              <w:bottom w:type="dxa" w:w="80"/>
              <w:right w:type="dxa" w:w="100"/>
            </w:tcMar>
          </w:tcPr>
          <w:p>
            <w:pPr>
              <w:jc w:val="left"/>
            </w:pPr>
            <w:r>
              <w:rPr>
                <w:b w:val="false"/>
                <w:bCs w:val="false"/>
              </w:rPr>
              <w:t xml:space="preserve">ContractVersion to SUPERSEDES to ContractVersion</w:t>
            </w:r>
          </w:p>
        </w:tc>
        <w:tc>
          <w:tcPr>
            <w:tcW w:type="dxa" w:w="4560"/>
            <w:tcMar>
              <w:top w:type="dxa" w:w="80"/>
              <w:left w:type="dxa" w:w="100"/>
              <w:bottom w:type="dxa" w:w="80"/>
              <w:right w:type="dxa" w:w="100"/>
            </w:tcMar>
          </w:tcPr>
          <w:p>
            <w:pPr>
              <w:jc w:val="left"/>
            </w:pPr>
            <w:r>
              <w:rPr>
                <w:b w:val="false"/>
                <w:bCs w:val="false"/>
              </w:rPr>
              <w:t xml:space="preserve">Links a revision to the one it replaced.</w:t>
            </w:r>
          </w:p>
        </w:tc>
      </w:tr>
      <w:tr>
        <w:tc>
          <w:tcPr>
            <w:tcW w:type="dxa" w:w="4800"/>
            <w:tcMar>
              <w:top w:type="dxa" w:w="80"/>
              <w:left w:type="dxa" w:w="100"/>
              <w:bottom w:type="dxa" w:w="80"/>
              <w:right w:type="dxa" w:w="100"/>
            </w:tcMar>
          </w:tcPr>
          <w:p>
            <w:pPr>
              <w:jc w:val="left"/>
            </w:pPr>
            <w:r>
              <w:rPr>
                <w:b w:val="false"/>
                <w:bCs w:val="false"/>
              </w:rPr>
              <w:t xml:space="preserve">Party to PARTY_TO to ContractVersion</w:t>
            </w:r>
          </w:p>
        </w:tc>
        <w:tc>
          <w:tcPr>
            <w:tcW w:type="dxa" w:w="4560"/>
            <w:tcMar>
              <w:top w:type="dxa" w:w="80"/>
              <w:left w:type="dxa" w:w="100"/>
              <w:bottom w:type="dxa" w:w="80"/>
              <w:right w:type="dxa" w:w="100"/>
            </w:tcMar>
          </w:tcPr>
          <w:p>
            <w:pPr>
              <w:jc w:val="left"/>
            </w:pPr>
            <w:r>
              <w:rPr>
                <w:b w:val="false"/>
                <w:bCs w:val="false"/>
              </w:rPr>
              <w:t xml:space="preserve">Who the agreement is between.</w:t>
            </w:r>
          </w:p>
        </w:tc>
      </w:tr>
      <w:tr>
        <w:tc>
          <w:tcPr>
            <w:tcW w:type="dxa" w:w="4800"/>
            <w:tcMar>
              <w:top w:type="dxa" w:w="80"/>
              <w:left w:type="dxa" w:w="100"/>
              <w:bottom w:type="dxa" w:w="80"/>
              <w:right w:type="dxa" w:w="100"/>
            </w:tcMar>
          </w:tcPr>
          <w:p>
            <w:pPr>
              <w:jc w:val="left"/>
            </w:pPr>
            <w:r>
              <w:rPr>
                <w:b w:val="false"/>
                <w:bCs w:val="false"/>
              </w:rPr>
              <w:t xml:space="preserve">ContractVersion to INCLUDES_EXHIBIT to Document</w:t>
            </w:r>
          </w:p>
        </w:tc>
        <w:tc>
          <w:tcPr>
            <w:tcW w:type="dxa" w:w="4560"/>
            <w:tcMar>
              <w:top w:type="dxa" w:w="80"/>
              <w:left w:type="dxa" w:w="100"/>
              <w:bottom w:type="dxa" w:w="80"/>
              <w:right w:type="dxa" w:w="100"/>
            </w:tcMar>
          </w:tcPr>
          <w:p>
            <w:pPr>
              <w:jc w:val="left"/>
            </w:pPr>
            <w:r>
              <w:rPr>
                <w:b w:val="false"/>
                <w:bCs w:val="false"/>
              </w:rPr>
              <w:t xml:space="preserve">Attachments incorporated into this version.</w:t>
            </w:r>
          </w:p>
        </w:tc>
      </w:tr>
      <w:tr>
        <w:tc>
          <w:tcPr>
            <w:tcW w:type="dxa" w:w="4800"/>
            <w:tcMar>
              <w:top w:type="dxa" w:w="80"/>
              <w:left w:type="dxa" w:w="100"/>
              <w:bottom w:type="dxa" w:w="80"/>
              <w:right w:type="dxa" w:w="100"/>
            </w:tcMar>
          </w:tcPr>
          <w:p>
            <w:pPr>
              <w:jc w:val="left"/>
            </w:pPr>
            <w:r>
              <w:rPr>
                <w:b w:val="false"/>
                <w:bCs w:val="false"/>
              </w:rPr>
              <w:t xml:space="preserve">ContractVersion to CONTAINS to Clause</w:t>
            </w:r>
          </w:p>
        </w:tc>
        <w:tc>
          <w:tcPr>
            <w:tcW w:type="dxa" w:w="4560"/>
            <w:tcMar>
              <w:top w:type="dxa" w:w="80"/>
              <w:left w:type="dxa" w:w="100"/>
              <w:bottom w:type="dxa" w:w="80"/>
              <w:right w:type="dxa" w:w="100"/>
            </w:tcMar>
          </w:tcPr>
          <w:p>
            <w:pPr>
              <w:jc w:val="left"/>
            </w:pPr>
            <w:r>
              <w:rPr>
                <w:b w:val="false"/>
                <w:bCs w:val="false"/>
              </w:rPr>
              <w:t xml:space="preserve">Terms and obligations belonging to this version.</w:t>
            </w:r>
          </w:p>
        </w:tc>
      </w:tr>
      <w:tr>
        <w:tc>
          <w:tcPr>
            <w:tcW w:type="dxa" w:w="4800"/>
            <w:tcMar>
              <w:top w:type="dxa" w:w="80"/>
              <w:left w:type="dxa" w:w="100"/>
              <w:bottom w:type="dxa" w:w="80"/>
              <w:right w:type="dxa" w:w="100"/>
            </w:tcMar>
          </w:tcPr>
          <w:p>
            <w:pPr>
              <w:jc w:val="left"/>
            </w:pPr>
            <w:r>
              <w:rPr>
                <w:b w:val="false"/>
                <w:bCs w:val="false"/>
              </w:rPr>
              <w:t xml:space="preserve">ContractVersion to HAS_MILESTONE to Milestone</w:t>
            </w:r>
          </w:p>
        </w:tc>
        <w:tc>
          <w:tcPr>
            <w:tcW w:type="dxa" w:w="4560"/>
            <w:tcMar>
              <w:top w:type="dxa" w:w="80"/>
              <w:left w:type="dxa" w:w="100"/>
              <w:bottom w:type="dxa" w:w="80"/>
              <w:right w:type="dxa" w:w="100"/>
            </w:tcMar>
          </w:tcPr>
          <w:p>
            <w:pPr>
              <w:jc w:val="left"/>
            </w:pPr>
            <w:r>
              <w:rPr>
                <w:b w:val="false"/>
                <w:bCs w:val="false"/>
              </w:rPr>
              <w:t xml:space="preserve">Program milestones for this version.</w:t>
            </w:r>
          </w:p>
        </w:tc>
      </w:tr>
      <w:tr>
        <w:tc>
          <w:tcPr>
            <w:tcW w:type="dxa" w:w="4800"/>
            <w:tcMar>
              <w:top w:type="dxa" w:w="80"/>
              <w:left w:type="dxa" w:w="100"/>
              <w:bottom w:type="dxa" w:w="80"/>
              <w:right w:type="dxa" w:w="100"/>
            </w:tcMar>
          </w:tcPr>
          <w:p>
            <w:pPr>
              <w:jc w:val="left"/>
            </w:pPr>
            <w:r>
              <w:rPr>
                <w:b w:val="false"/>
                <w:bCs w:val="false"/>
              </w:rPr>
              <w:t xml:space="preserve">Milestone to TRIGGERS_PAYMENT to PaymentTerm</w:t>
            </w:r>
          </w:p>
        </w:tc>
        <w:tc>
          <w:tcPr>
            <w:tcW w:type="dxa" w:w="4560"/>
            <w:tcMar>
              <w:top w:type="dxa" w:w="80"/>
              <w:left w:type="dxa" w:w="100"/>
              <w:bottom w:type="dxa" w:w="80"/>
              <w:right w:type="dxa" w:w="100"/>
            </w:tcMar>
          </w:tcPr>
          <w:p>
            <w:pPr>
              <w:jc w:val="left"/>
            </w:pPr>
            <w:r>
              <w:rPr>
                <w:b w:val="false"/>
                <w:bCs w:val="false"/>
              </w:rPr>
              <w:t xml:space="preserve">Links a milestone to the payment it triggers.</w:t>
            </w:r>
          </w:p>
        </w:tc>
      </w:tr>
      <w:tr>
        <w:tc>
          <w:tcPr>
            <w:tcW w:type="dxa" w:w="4800"/>
            <w:tcMar>
              <w:top w:type="dxa" w:w="80"/>
              <w:left w:type="dxa" w:w="100"/>
              <w:bottom w:type="dxa" w:w="80"/>
              <w:right w:type="dxa" w:w="100"/>
            </w:tcMar>
          </w:tcPr>
          <w:p>
            <w:pPr>
              <w:jc w:val="left"/>
            </w:pPr>
            <w:r>
              <w:rPr>
                <w:b w:val="false"/>
                <w:bCs w:val="false"/>
              </w:rPr>
              <w:t xml:space="preserve">Clause to REFERENCES to Document or Unresolved</w:t>
            </w:r>
          </w:p>
        </w:tc>
        <w:tc>
          <w:tcPr>
            <w:tcW w:type="dxa" w:w="4560"/>
            <w:tcMar>
              <w:top w:type="dxa" w:w="80"/>
              <w:left w:type="dxa" w:w="100"/>
              <w:bottom w:type="dxa" w:w="80"/>
              <w:right w:type="dxa" w:w="100"/>
            </w:tcMar>
          </w:tcPr>
          <w:p>
            <w:pPr>
              <w:jc w:val="left"/>
            </w:pPr>
            <w:r>
              <w:rPr>
                <w:b w:val="false"/>
                <w:bCs w:val="false"/>
              </w:rPr>
              <w:t xml:space="preserve">Cross-document citations.</w:t>
            </w:r>
          </w:p>
        </w:tc>
      </w:tr>
    </w:tbl>
    <w:p>
      <w:pPr>
        <w:pStyle w:val="Heading1"/>
        <w:spacing w:after="160" w:before="320"/>
      </w:pPr>
      <w:r>
        <w:t xml:space="preserve">7. How the Two Stores Interlink</w:t>
      </w:r>
    </w:p>
    <w:p>
      <w:pPr>
        <w:spacing w:after="160"/>
      </w:pPr>
      <w:r>
        <w:t xml:space="preserve">Vertex AI Data Store and Neo4j do not know about each other automatically. The link is a shared ID, and the pipeline that maintains it is custom engineering work, not something either platform provides out of the box:</w:t>
      </w:r>
    </w:p>
    <w:p>
      <w:pPr>
        <w:pStyle w:val="ListParagraph"/>
        <w:numPr>
          <w:ilvl w:val="0"/>
          <w:numId w:val="3"/>
        </w:numPr>
        <w:spacing w:after="100"/>
      </w:pPr>
      <w:r>
        <w:t xml:space="preserve">A document lands in GCS; Vertex AI Data Store parses, chunks, and embeds it, assigning each chunk an ID.</w:t>
      </w:r>
    </w:p>
    <w:p>
      <w:pPr>
        <w:pStyle w:val="ListParagraph"/>
        <w:numPr>
          <w:ilvl w:val="0"/>
          <w:numId w:val="3"/>
        </w:numPr>
        <w:spacing w:after="100"/>
      </w:pPr>
      <w:r>
        <w:t xml:space="preserve">An orchestration service pulls the new or changed chunks back out via the Vertex AI API.</w:t>
      </w:r>
    </w:p>
    <w:p>
      <w:pPr>
        <w:pStyle w:val="ListParagraph"/>
        <w:numPr>
          <w:ilvl w:val="0"/>
          <w:numId w:val="3"/>
        </w:numPr>
        <w:spacing w:after="100"/>
      </w:pPr>
      <w:r>
        <w:t xml:space="preserve">For each non-boilerplate chunk, an LLM reads the chunk text and extracts any parties, milestones, payment terms, or references it finds, as structured JSON. This is the step where a judgment call is made about what belongs in the graph.</w:t>
      </w:r>
    </w:p>
    <w:p>
      <w:pPr>
        <w:pStyle w:val="ListParagraph"/>
        <w:numPr>
          <w:ilvl w:val="0"/>
          <w:numId w:val="3"/>
        </w:numPr>
        <w:spacing w:after="100"/>
      </w:pPr>
      <w:r>
        <w:t xml:space="preserve">That JSON is written into Neo4j via Cypher MERGE statements, with every new node tagged with its source chunk ID.</w:t>
      </w:r>
    </w:p>
    <w:p>
      <w:pPr>
        <w:pStyle w:val="ListParagraph"/>
        <w:numPr>
          <w:ilvl w:val="0"/>
          <w:numId w:val="3"/>
        </w:numPr>
        <w:spacing w:after="100"/>
      </w:pPr>
      <w:r>
        <w:t xml:space="preserve">At query time, a vector search returns matching chunk IDs, which can be looked up in Neo4j to jump into the graph; or a graph query can follow a chunk ID back to Vertex AI to retrieve full source text for citation.</w:t>
      </w:r>
    </w:p>
    <w:p>
      <w:pPr>
        <w:pStyle w:val="Heading1"/>
        <w:spacing w:after="160" w:before="320"/>
      </w:pPr>
      <w:r>
        <w:t xml:space="preserve">8. Technology Decisions</w:t>
      </w:r>
    </w:p>
    <w:p>
      <w:pPr>
        <w:pStyle w:val="Heading2"/>
        <w:spacing w:after="120" w:before="240"/>
      </w:pPr>
      <w:r>
        <w:t xml:space="preserve">8.1 Vector Storage: Vertex AI vs. Neo4j</w:t>
      </w:r>
    </w:p>
    <w:p>
      <w:pPr>
        <w:spacing w:after="160"/>
      </w:pPr>
      <w:r>
        <w:t xml:space="preserve">Recommendation: use both, deliberately, rather than choosing one. Vertex AI Data Store remains the primary, managed vector store for full document chunk text. Neo4j, which has supported native vector indexes since version 5.13 with a native Cypher SEARCH clause as of the 2026.01 release, additionally carries a smaller, graph-native vector index over extracted Clause nodes, so a single Cypher query can combine similarity search and graph traversal without a round trip between two services.</w:t>
      </w:r>
    </w:p>
    <w:p>
      <w:pPr>
        <w:pStyle w:val="Heading2"/>
        <w:spacing w:after="120" w:before="240"/>
      </w:pPr>
      <w:r>
        <w:t xml:space="preserve">8.2 Deployment</w:t>
      </w:r>
    </w:p>
    <w:p>
      <w:pPr>
        <w:spacing w:after="160"/>
      </w:pPr>
      <w:r>
        <w:t xml:space="preserve">Neo4j is cloud-agnostic, but given the rest of the stack is GCP and the export-control sensitivity of aerospace contract content, we recommend keeping Neo4j on GCP as well, via AuraDB on GCP Marketplace or self-managed on GCP Compute or GKE. To be confirmed with IT Security.</w:t>
      </w:r>
    </w:p>
    <w:p>
      <w:pPr>
        <w:pStyle w:val="Heading1"/>
        <w:spacing w:after="160" w:before="320"/>
      </w:pPr>
      <w:r>
        <w:t xml:space="preserve">9. Terminology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EDEDED" w:val="clear"/>
            <w:tcMar>
              <w:top w:type="dxa" w:w="80"/>
              <w:left w:type="dxa" w:w="100"/>
              <w:bottom w:type="dxa" w:w="80"/>
              <w:right w:type="dxa" w:w="100"/>
            </w:tcMar>
          </w:tcPr>
          <w:p>
            <w:pPr>
              <w:jc w:val="left"/>
            </w:pPr>
            <w:r>
              <w:rPr>
                <w:b/>
                <w:bCs/>
              </w:rPr>
              <w:t xml:space="preserve">Term</w:t>
            </w:r>
          </w:p>
        </w:tc>
        <w:tc>
          <w:tcPr>
            <w:tcW w:type="dxa" w:w="6560"/>
            <w:shd w:fill="EDEDED" w:val="clear"/>
            <w:tcMar>
              <w:top w:type="dxa" w:w="80"/>
              <w:left w:type="dxa" w:w="100"/>
              <w:bottom w:type="dxa" w:w="80"/>
              <w:right w:type="dxa" w:w="100"/>
            </w:tcMar>
          </w:tcPr>
          <w:p>
            <w:pPr>
              <w:jc w:val="left"/>
            </w:pPr>
            <w:r>
              <w:rPr>
                <w:b/>
                <w:bCs/>
              </w:rPr>
              <w:t xml:space="preserve">Meaning</w:t>
            </w:r>
          </w:p>
        </w:tc>
      </w:tr>
      <w:tr>
        <w:tc>
          <w:tcPr>
            <w:tcW w:type="dxa" w:w="2800"/>
            <w:tcMar>
              <w:top w:type="dxa" w:w="80"/>
              <w:left w:type="dxa" w:w="100"/>
              <w:bottom w:type="dxa" w:w="80"/>
              <w:right w:type="dxa" w:w="100"/>
            </w:tcMar>
          </w:tcPr>
          <w:p>
            <w:pPr>
              <w:jc w:val="left"/>
            </w:pPr>
            <w:r>
              <w:rPr>
                <w:b w:val="false"/>
                <w:bCs w:val="false"/>
              </w:rPr>
              <w:t xml:space="preserve">Amendment</w:t>
            </w:r>
          </w:p>
        </w:tc>
        <w:tc>
          <w:tcPr>
            <w:tcW w:type="dxa" w:w="6560"/>
            <w:tcMar>
              <w:top w:type="dxa" w:w="80"/>
              <w:left w:type="dxa" w:w="100"/>
              <w:bottom w:type="dxa" w:w="80"/>
              <w:right w:type="dxa" w:w="100"/>
            </w:tcMar>
          </w:tcPr>
          <w:p>
            <w:pPr>
              <w:jc w:val="left"/>
            </w:pPr>
            <w:r>
              <w:rPr>
                <w:b w:val="false"/>
                <w:bCs w:val="false"/>
              </w:rPr>
              <w:t xml:space="preserve">A formal, signed change to a contract after execution, modifying specific terms.</w:t>
            </w:r>
          </w:p>
        </w:tc>
      </w:tr>
      <w:tr>
        <w:tc>
          <w:tcPr>
            <w:tcW w:type="dxa" w:w="2800"/>
            <w:tcMar>
              <w:top w:type="dxa" w:w="80"/>
              <w:left w:type="dxa" w:w="100"/>
              <w:bottom w:type="dxa" w:w="80"/>
              <w:right w:type="dxa" w:w="100"/>
            </w:tcMar>
          </w:tcPr>
          <w:p>
            <w:pPr>
              <w:jc w:val="left"/>
            </w:pPr>
            <w:r>
              <w:rPr>
                <w:b w:val="false"/>
                <w:bCs w:val="false"/>
              </w:rPr>
              <w:t xml:space="preserve">Modification (Mod)</w:t>
            </w:r>
          </w:p>
        </w:tc>
        <w:tc>
          <w:tcPr>
            <w:tcW w:type="dxa" w:w="6560"/>
            <w:tcMar>
              <w:top w:type="dxa" w:w="80"/>
              <w:left w:type="dxa" w:w="100"/>
              <w:bottom w:type="dxa" w:w="80"/>
              <w:right w:type="dxa" w:w="100"/>
            </w:tcMar>
          </w:tcPr>
          <w:p>
            <w:pPr>
              <w:jc w:val="left"/>
            </w:pPr>
            <w:r>
              <w:rPr>
                <w:b w:val="false"/>
                <w:bCs w:val="false"/>
              </w:rPr>
              <w:t xml:space="preserve">The government-contracting term for the same concept.</w:t>
            </w:r>
          </w:p>
        </w:tc>
      </w:tr>
      <w:tr>
        <w:tc>
          <w:tcPr>
            <w:tcW w:type="dxa" w:w="2800"/>
            <w:tcMar>
              <w:top w:type="dxa" w:w="80"/>
              <w:left w:type="dxa" w:w="100"/>
              <w:bottom w:type="dxa" w:w="80"/>
              <w:right w:type="dxa" w:w="100"/>
            </w:tcMar>
          </w:tcPr>
          <w:p>
            <w:pPr>
              <w:jc w:val="left"/>
            </w:pPr>
            <w:r>
              <w:rPr>
                <w:b w:val="false"/>
                <w:bCs w:val="false"/>
              </w:rPr>
              <w:t xml:space="preserve">Exhibit / Schedule</w:t>
            </w:r>
          </w:p>
        </w:tc>
        <w:tc>
          <w:tcPr>
            <w:tcW w:type="dxa" w:w="6560"/>
            <w:tcMar>
              <w:top w:type="dxa" w:w="80"/>
              <w:left w:type="dxa" w:w="100"/>
              <w:bottom w:type="dxa" w:w="80"/>
              <w:right w:type="dxa" w:w="100"/>
            </w:tcMar>
          </w:tcPr>
          <w:p>
            <w:pPr>
              <w:jc w:val="left"/>
            </w:pPr>
            <w:r>
              <w:rPr>
                <w:b w:val="false"/>
                <w:bCs w:val="false"/>
              </w:rPr>
              <w:t xml:space="preserve">A separate attachment legally incorporated by reference into the main agreement.</w:t>
            </w:r>
          </w:p>
        </w:tc>
      </w:tr>
      <w:tr>
        <w:tc>
          <w:tcPr>
            <w:tcW w:type="dxa" w:w="2800"/>
            <w:tcMar>
              <w:top w:type="dxa" w:w="80"/>
              <w:left w:type="dxa" w:w="100"/>
              <w:bottom w:type="dxa" w:w="80"/>
              <w:right w:type="dxa" w:w="100"/>
            </w:tcMar>
          </w:tcPr>
          <w:p>
            <w:pPr>
              <w:jc w:val="left"/>
            </w:pPr>
            <w:r>
              <w:rPr>
                <w:b w:val="false"/>
                <w:bCs w:val="false"/>
              </w:rPr>
              <w:t xml:space="preserve">Statement of Work (SOW)</w:t>
            </w:r>
          </w:p>
        </w:tc>
        <w:tc>
          <w:tcPr>
            <w:tcW w:type="dxa" w:w="6560"/>
            <w:tcMar>
              <w:top w:type="dxa" w:w="80"/>
              <w:left w:type="dxa" w:w="100"/>
              <w:bottom w:type="dxa" w:w="80"/>
              <w:right w:type="dxa" w:w="100"/>
            </w:tcMar>
          </w:tcPr>
          <w:p>
            <w:pPr>
              <w:jc w:val="left"/>
            </w:pPr>
            <w:r>
              <w:rPr>
                <w:b w:val="false"/>
                <w:bCs w:val="false"/>
              </w:rPr>
              <w:t xml:space="preserve">The document defining scope, deliverables, and milestones.</w:t>
            </w:r>
          </w:p>
        </w:tc>
      </w:tr>
      <w:tr>
        <w:tc>
          <w:tcPr>
            <w:tcW w:type="dxa" w:w="2800"/>
            <w:tcMar>
              <w:top w:type="dxa" w:w="80"/>
              <w:left w:type="dxa" w:w="100"/>
              <w:bottom w:type="dxa" w:w="80"/>
              <w:right w:type="dxa" w:w="100"/>
            </w:tcMar>
          </w:tcPr>
          <w:p>
            <w:pPr>
              <w:jc w:val="left"/>
            </w:pPr>
            <w:r>
              <w:rPr>
                <w:b w:val="false"/>
                <w:bCs w:val="false"/>
              </w:rPr>
              <w:t xml:space="preserve">Novation</w:t>
            </w:r>
          </w:p>
        </w:tc>
        <w:tc>
          <w:tcPr>
            <w:tcW w:type="dxa" w:w="6560"/>
            <w:tcMar>
              <w:top w:type="dxa" w:w="80"/>
              <w:left w:type="dxa" w:w="100"/>
              <w:bottom w:type="dxa" w:w="80"/>
              <w:right w:type="dxa" w:w="100"/>
            </w:tcMar>
          </w:tcPr>
          <w:p>
            <w:pPr>
              <w:jc w:val="left"/>
            </w:pPr>
            <w:r>
              <w:rPr>
                <w:b w:val="false"/>
                <w:bCs w:val="false"/>
              </w:rPr>
              <w:t xml:space="preserve">Replacing one contracting party with a new party entirely.</w:t>
            </w:r>
          </w:p>
        </w:tc>
      </w:tr>
      <w:tr>
        <w:tc>
          <w:tcPr>
            <w:tcW w:type="dxa" w:w="2800"/>
            <w:tcMar>
              <w:top w:type="dxa" w:w="80"/>
              <w:left w:type="dxa" w:w="100"/>
              <w:bottom w:type="dxa" w:w="80"/>
              <w:right w:type="dxa" w:w="100"/>
            </w:tcMar>
          </w:tcPr>
          <w:p>
            <w:pPr>
              <w:jc w:val="left"/>
            </w:pPr>
            <w:r>
              <w:rPr>
                <w:b w:val="false"/>
                <w:bCs w:val="false"/>
              </w:rPr>
              <w:t xml:space="preserve">Termination Liability</w:t>
            </w:r>
          </w:p>
        </w:tc>
        <w:tc>
          <w:tcPr>
            <w:tcW w:type="dxa" w:w="6560"/>
            <w:tcMar>
              <w:top w:type="dxa" w:w="80"/>
              <w:left w:type="dxa" w:w="100"/>
              <w:bottom w:type="dxa" w:w="80"/>
              <w:right w:type="dxa" w:w="100"/>
            </w:tcMar>
          </w:tcPr>
          <w:p>
            <w:pPr>
              <w:jc w:val="left"/>
            </w:pPr>
            <w:r>
              <w:rPr>
                <w:b w:val="false"/>
                <w:bCs w:val="false"/>
              </w:rPr>
              <w:t xml:space="preserve">What is owed if the contract ends before natural expiration, often tiered by date.</w:t>
            </w:r>
          </w:p>
        </w:tc>
      </w:tr>
      <w:tr>
        <w:tc>
          <w:tcPr>
            <w:tcW w:type="dxa" w:w="2800"/>
            <w:tcMar>
              <w:top w:type="dxa" w:w="80"/>
              <w:left w:type="dxa" w:w="100"/>
              <w:bottom w:type="dxa" w:w="80"/>
              <w:right w:type="dxa" w:w="100"/>
            </w:tcMar>
          </w:tcPr>
          <w:p>
            <w:pPr>
              <w:jc w:val="left"/>
            </w:pPr>
            <w:r>
              <w:rPr>
                <w:b w:val="false"/>
                <w:bCs w:val="false"/>
              </w:rPr>
              <w:t xml:space="preserve">Applicable Document (AD)</w:t>
            </w:r>
          </w:p>
        </w:tc>
        <w:tc>
          <w:tcPr>
            <w:tcW w:type="dxa" w:w="6560"/>
            <w:tcMar>
              <w:top w:type="dxa" w:w="80"/>
              <w:left w:type="dxa" w:w="100"/>
              <w:bottom w:type="dxa" w:w="80"/>
              <w:right w:type="dxa" w:w="100"/>
            </w:tcMar>
          </w:tcPr>
          <w:p>
            <w:pPr>
              <w:jc w:val="left"/>
            </w:pPr>
            <w:r>
              <w:rPr>
                <w:b w:val="false"/>
                <w:bCs w:val="false"/>
              </w:rPr>
              <w:t xml:space="preserve">A referenced external document the contract depends on, possibly outside our corpus.</w:t>
            </w:r>
          </w:p>
        </w:tc>
      </w:tr>
      <w:tr>
        <w:tc>
          <w:tcPr>
            <w:tcW w:type="dxa" w:w="2800"/>
            <w:tcMar>
              <w:top w:type="dxa" w:w="80"/>
              <w:left w:type="dxa" w:w="100"/>
              <w:bottom w:type="dxa" w:w="80"/>
              <w:right w:type="dxa" w:w="100"/>
            </w:tcMar>
          </w:tcPr>
          <w:p>
            <w:pPr>
              <w:jc w:val="left"/>
            </w:pPr>
            <w:r>
              <w:rPr>
                <w:b w:val="false"/>
                <w:bCs w:val="false"/>
              </w:rPr>
              <w:t xml:space="preserve">Precedence Clause</w:t>
            </w:r>
          </w:p>
        </w:tc>
        <w:tc>
          <w:tcPr>
            <w:tcW w:type="dxa" w:w="6560"/>
            <w:tcMar>
              <w:top w:type="dxa" w:w="80"/>
              <w:left w:type="dxa" w:w="100"/>
              <w:bottom w:type="dxa" w:w="80"/>
              <w:right w:type="dxa" w:w="100"/>
            </w:tcMar>
          </w:tcPr>
          <w:p>
            <w:pPr>
              <w:jc w:val="left"/>
            </w:pPr>
            <w:r>
              <w:rPr>
                <w:b w:val="false"/>
                <w:bCs w:val="false"/>
              </w:rPr>
              <w:t xml:space="preserve">Defines which document wins if two parts of the agreement conflict.</w:t>
            </w:r>
          </w:p>
        </w:tc>
      </w:tr>
    </w:tbl>
    <w:p>
      <w:pPr>
        <w:pStyle w:val="Heading1"/>
        <w:spacing w:after="160" w:before="320"/>
      </w:pPr>
      <w:r>
        <w:t xml:space="preserve">10. Proposed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DEDED" w:val="clear"/>
            <w:tcMar>
              <w:top w:type="dxa" w:w="80"/>
              <w:left w:type="dxa" w:w="100"/>
              <w:bottom w:type="dxa" w:w="80"/>
              <w:right w:type="dxa" w:w="100"/>
            </w:tcMar>
          </w:tcPr>
          <w:p>
            <w:pPr>
              <w:jc w:val="left"/>
            </w:pPr>
            <w:r>
              <w:rPr>
                <w:b/>
                <w:bCs/>
              </w:rPr>
              <w:t xml:space="preserve">Phase</w:t>
            </w:r>
          </w:p>
        </w:tc>
        <w:tc>
          <w:tcPr>
            <w:tcW w:type="dxa" w:w="6760"/>
            <w:shd w:fill="EDEDED" w:val="clear"/>
            <w:tcMar>
              <w:top w:type="dxa" w:w="80"/>
              <w:left w:type="dxa" w:w="100"/>
              <w:bottom w:type="dxa" w:w="80"/>
              <w:right w:type="dxa" w:w="100"/>
            </w:tcMar>
          </w:tcPr>
          <w:p>
            <w:pPr>
              <w:jc w:val="left"/>
            </w:pPr>
            <w:r>
              <w:rPr>
                <w:b/>
                <w:bCs/>
              </w:rPr>
              <w:t xml:space="preserve">Focus</w:t>
            </w:r>
          </w:p>
        </w:tc>
      </w:tr>
      <w:tr>
        <w:tc>
          <w:tcPr>
            <w:tcW w:type="dxa" w:w="2600"/>
            <w:tcMar>
              <w:top w:type="dxa" w:w="80"/>
              <w:left w:type="dxa" w:w="100"/>
              <w:bottom w:type="dxa" w:w="80"/>
              <w:right w:type="dxa" w:w="100"/>
            </w:tcMar>
          </w:tcPr>
          <w:p>
            <w:pPr>
              <w:jc w:val="left"/>
            </w:pPr>
            <w:r>
              <w:rPr>
                <w:b w:val="false"/>
                <w:bCs w:val="false"/>
              </w:rPr>
              <w:t xml:space="preserve">0 - Scoping &amp; Pilot</w:t>
            </w:r>
          </w:p>
        </w:tc>
        <w:tc>
          <w:tcPr>
            <w:tcW w:type="dxa" w:w="6760"/>
            <w:tcMar>
              <w:top w:type="dxa" w:w="80"/>
              <w:left w:type="dxa" w:w="100"/>
              <w:bottom w:type="dxa" w:w="80"/>
              <w:right w:type="dxa" w:w="100"/>
            </w:tcMar>
          </w:tcPr>
          <w:p>
            <w:pPr>
              <w:jc w:val="left"/>
            </w:pPr>
            <w:r>
              <w:rPr>
                <w:b w:val="false"/>
                <w:bCs w:val="false"/>
              </w:rPr>
              <w:t xml:space="preserve">Confirm LEAP webhook and metadata capabilities; select a small, deliberately messy pilot corpus.</w:t>
            </w:r>
          </w:p>
        </w:tc>
      </w:tr>
      <w:tr>
        <w:tc>
          <w:tcPr>
            <w:tcW w:type="dxa" w:w="2600"/>
            <w:tcMar>
              <w:top w:type="dxa" w:w="80"/>
              <w:left w:type="dxa" w:w="100"/>
              <w:bottom w:type="dxa" w:w="80"/>
              <w:right w:type="dxa" w:w="100"/>
            </w:tcMar>
          </w:tcPr>
          <w:p>
            <w:pPr>
              <w:jc w:val="left"/>
            </w:pPr>
            <w:r>
              <w:rPr>
                <w:b w:val="false"/>
                <w:bCs w:val="false"/>
              </w:rPr>
              <w:t xml:space="preserve">1 - Ingestion &amp; Vectorization</w:t>
            </w:r>
          </w:p>
        </w:tc>
        <w:tc>
          <w:tcPr>
            <w:tcW w:type="dxa" w:w="6760"/>
            <w:tcMar>
              <w:top w:type="dxa" w:w="80"/>
              <w:left w:type="dxa" w:w="100"/>
              <w:bottom w:type="dxa" w:w="80"/>
              <w:right w:type="dxa" w:w="100"/>
            </w:tcMar>
          </w:tcPr>
          <w:p>
            <w:pPr>
              <w:jc w:val="left"/>
            </w:pPr>
            <w:r>
              <w:rPr>
                <w:b w:val="false"/>
                <w:bCs w:val="false"/>
              </w:rPr>
              <w:t xml:space="preserve">Stand up GCS and Vertex AI Data Store; validate structure-aware chunking against the pilot set.</w:t>
            </w:r>
          </w:p>
        </w:tc>
      </w:tr>
      <w:tr>
        <w:tc>
          <w:tcPr>
            <w:tcW w:type="dxa" w:w="2600"/>
            <w:tcMar>
              <w:top w:type="dxa" w:w="80"/>
              <w:left w:type="dxa" w:w="100"/>
              <w:bottom w:type="dxa" w:w="80"/>
              <w:right w:type="dxa" w:w="100"/>
            </w:tcMar>
          </w:tcPr>
          <w:p>
            <w:pPr>
              <w:jc w:val="left"/>
            </w:pPr>
            <w:r>
              <w:rPr>
                <w:b w:val="false"/>
                <w:bCs w:val="false"/>
              </w:rPr>
              <w:t xml:space="preserve">2 - Knowledge Graph</w:t>
            </w:r>
          </w:p>
        </w:tc>
        <w:tc>
          <w:tcPr>
            <w:tcW w:type="dxa" w:w="6760"/>
            <w:tcMar>
              <w:top w:type="dxa" w:w="80"/>
              <w:left w:type="dxa" w:w="100"/>
              <w:bottom w:type="dxa" w:w="80"/>
              <w:right w:type="dxa" w:w="100"/>
            </w:tcMar>
          </w:tcPr>
          <w:p>
            <w:pPr>
              <w:jc w:val="left"/>
            </w:pPr>
            <w:r>
              <w:rPr>
                <w:b w:val="false"/>
                <w:bCs w:val="false"/>
              </w:rPr>
              <w:t xml:space="preserve">Implement schema; build LLM extraction with a ground-truth accuracy eval set; add reference resolution.</w:t>
            </w:r>
          </w:p>
        </w:tc>
      </w:tr>
      <w:tr>
        <w:tc>
          <w:tcPr>
            <w:tcW w:type="dxa" w:w="2600"/>
            <w:tcMar>
              <w:top w:type="dxa" w:w="80"/>
              <w:left w:type="dxa" w:w="100"/>
              <w:bottom w:type="dxa" w:w="80"/>
              <w:right w:type="dxa" w:w="100"/>
            </w:tcMar>
          </w:tcPr>
          <w:p>
            <w:pPr>
              <w:jc w:val="left"/>
            </w:pPr>
            <w:r>
              <w:rPr>
                <w:b w:val="false"/>
                <w:bCs w:val="false"/>
              </w:rPr>
              <w:t xml:space="preserve">3 - Access &amp; Governance</w:t>
            </w:r>
          </w:p>
        </w:tc>
        <w:tc>
          <w:tcPr>
            <w:tcW w:type="dxa" w:w="6760"/>
            <w:tcMar>
              <w:top w:type="dxa" w:w="80"/>
              <w:left w:type="dxa" w:w="100"/>
              <w:bottom w:type="dxa" w:w="80"/>
              <w:right w:type="dxa" w:w="100"/>
            </w:tcMar>
          </w:tcPr>
          <w:p>
            <w:pPr>
              <w:jc w:val="left"/>
            </w:pPr>
            <w:r>
              <w:rPr>
                <w:b w:val="false"/>
                <w:bCs w:val="false"/>
              </w:rPr>
              <w:t xml:space="preserve">Unified API, access control tied to identity and confidentiality classification, hybrid search.</w:t>
            </w:r>
          </w:p>
        </w:tc>
      </w:tr>
      <w:tr>
        <w:tc>
          <w:tcPr>
            <w:tcW w:type="dxa" w:w="2600"/>
            <w:tcMar>
              <w:top w:type="dxa" w:w="80"/>
              <w:left w:type="dxa" w:w="100"/>
              <w:bottom w:type="dxa" w:w="80"/>
              <w:right w:type="dxa" w:w="100"/>
            </w:tcMar>
          </w:tcPr>
          <w:p>
            <w:pPr>
              <w:jc w:val="left"/>
            </w:pPr>
            <w:r>
              <w:rPr>
                <w:b w:val="false"/>
                <w:bCs w:val="false"/>
              </w:rPr>
              <w:t xml:space="preserve">4 - Consumer Rollout</w:t>
            </w:r>
          </w:p>
        </w:tc>
        <w:tc>
          <w:tcPr>
            <w:tcW w:type="dxa" w:w="6760"/>
            <w:tcMar>
              <w:top w:type="dxa" w:w="80"/>
              <w:left w:type="dxa" w:w="100"/>
              <w:bottom w:type="dxa" w:w="80"/>
              <w:right w:type="dxa" w:w="100"/>
            </w:tcMar>
          </w:tcPr>
          <w:p>
            <w:pPr>
              <w:jc w:val="left"/>
            </w:pPr>
            <w:r>
              <w:rPr>
                <w:b w:val="false"/>
                <w:bCs w:val="false"/>
              </w:rPr>
              <w:t xml:space="preserve">Roll out to one business unit or contract type at a time, with a feedback loop into the eval set.</w:t>
            </w:r>
          </w:p>
        </w:tc>
      </w:tr>
    </w:tbl>
    <w:p>
      <w:pPr>
        <w:spacing w:after="160"/>
      </w:pPr>
    </w:p>
    <w:p>
      <w:pPr>
        <w:spacing w:after="160"/>
      </w:pPr>
      <w:r>
        <w:t xml:space="preserve">Recommended sequencing for getting started, so each layer is validated before building on top of it:</w:t>
      </w:r>
    </w:p>
    <w:p>
      <w:pPr>
        <w:pStyle w:val="ListParagraph"/>
        <w:numPr>
          <w:ilvl w:val="0"/>
          <w:numId w:val="3"/>
        </w:numPr>
        <w:spacing w:after="100"/>
      </w:pPr>
      <w:r>
        <w:t xml:space="preserve">Stand up GCS, Vertex AI Data Store, and Neo4j (AuraDB) for a 5-10 document pilot set, manually uploaded, no Workato or LEAP integration yet.</w:t>
      </w:r>
    </w:p>
    <w:p>
      <w:pPr>
        <w:pStyle w:val="ListParagraph"/>
        <w:numPr>
          <w:ilvl w:val="0"/>
          <w:numId w:val="3"/>
        </w:numPr>
        <w:spacing w:after="100"/>
      </w:pPr>
      <w:r>
        <w:t xml:space="preserve">Validate chunking quality directly against the pilot set before writing any extraction code.</w:t>
      </w:r>
    </w:p>
    <w:p>
      <w:pPr>
        <w:pStyle w:val="ListParagraph"/>
        <w:numPr>
          <w:ilvl w:val="0"/>
          <w:numId w:val="3"/>
        </w:numPr>
        <w:spacing w:after="100"/>
      </w:pPr>
      <w:r>
        <w:t xml:space="preserve">Hand-build a small slice of the graph via Cypher to validate the schema before automating extraction.</w:t>
      </w:r>
    </w:p>
    <w:p>
      <w:pPr>
        <w:pStyle w:val="ListParagraph"/>
        <w:numPr>
          <w:ilvl w:val="0"/>
          <w:numId w:val="3"/>
        </w:numPr>
        <w:spacing w:after="100"/>
      </w:pPr>
      <w:r>
        <w:t xml:space="preserve">Build LLM extraction scoped per chunk, validated against a hand-written ground-truth eval set.</w:t>
      </w:r>
    </w:p>
    <w:p>
      <w:pPr>
        <w:pStyle w:val="ListParagraph"/>
        <w:numPr>
          <w:ilvl w:val="0"/>
          <w:numId w:val="3"/>
        </w:numPr>
        <w:spacing w:after="100"/>
      </w:pPr>
      <w:r>
        <w:t xml:space="preserve">Add reference resolution once the pilot set contains real cross-references.</w:t>
      </w:r>
    </w:p>
    <w:p>
      <w:pPr>
        <w:pStyle w:val="ListParagraph"/>
        <w:numPr>
          <w:ilvl w:val="0"/>
          <w:numId w:val="3"/>
        </w:numPr>
        <w:spacing w:after="100"/>
      </w:pPr>
      <w:r>
        <w:t xml:space="preserve">Test the revision and amendment flow end to end on a simulated or real amendment.</w:t>
      </w:r>
    </w:p>
    <w:p>
      <w:pPr>
        <w:pStyle w:val="ListParagraph"/>
        <w:numPr>
          <w:ilvl w:val="0"/>
          <w:numId w:val="3"/>
        </w:numPr>
        <w:spacing w:after="100"/>
      </w:pPr>
      <w:r>
        <w:t xml:space="preserve">Only then wire up Workato and LEAP, once pipeline logic is proven on manually uploaded files.</w:t>
      </w:r>
    </w:p>
    <w:p>
      <w:pPr>
        <w:pStyle w:val="ListParagraph"/>
        <w:numPr>
          <w:ilvl w:val="0"/>
          <w:numId w:val="3"/>
        </w:numPr>
        <w:spacing w:after="100"/>
      </w:pPr>
      <w:r>
        <w:t xml:space="preserve">Build and test the hybrid vector and graph query flow against realistic business questions.</w:t>
      </w:r>
    </w:p>
    <w:p>
      <w:pPr>
        <w:pStyle w:val="ListParagraph"/>
        <w:numPr>
          <w:ilvl w:val="0"/>
          <w:numId w:val="3"/>
        </w:numPr>
        <w:spacing w:after="100"/>
      </w:pPr>
      <w:r>
        <w:t xml:space="preserve">Apply governance and access control to the pilot before expanding.</w:t>
      </w:r>
    </w:p>
    <w:p>
      <w:pPr>
        <w:pStyle w:val="ListParagraph"/>
        <w:numPr>
          <w:ilvl w:val="0"/>
          <w:numId w:val="3"/>
        </w:numPr>
        <w:spacing w:after="100"/>
      </w:pPr>
      <w:r>
        <w:t xml:space="preserve">Expand deliberately, one contract type or business unit at a time.</w:t>
      </w:r>
    </w:p>
    <w:p>
      <w:pPr>
        <w:pStyle w:val="Heading1"/>
        <w:spacing w:after="160" w:before="320"/>
      </w:pPr>
      <w:r>
        <w:t xml:space="preserve">11. Open Questions - What We Need From the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shd w:fill="EDEDED" w:val="clear"/>
            <w:tcMar>
              <w:top w:type="dxa" w:w="80"/>
              <w:left w:type="dxa" w:w="100"/>
              <w:bottom w:type="dxa" w:w="80"/>
              <w:right w:type="dxa" w:w="100"/>
            </w:tcMar>
          </w:tcPr>
          <w:p>
            <w:pPr>
              <w:jc w:val="left"/>
            </w:pPr>
            <w:r>
              <w:rPr>
                <w:b/>
                <w:bCs/>
              </w:rPr>
              <w:t xml:space="preserve">Question</w:t>
            </w:r>
          </w:p>
        </w:tc>
        <w:tc>
          <w:tcPr>
            <w:tcW w:type="dxa" w:w="3360"/>
            <w:shd w:fill="EDEDED" w:val="clear"/>
            <w:tcMar>
              <w:top w:type="dxa" w:w="80"/>
              <w:left w:type="dxa" w:w="100"/>
              <w:bottom w:type="dxa" w:w="80"/>
              <w:right w:type="dxa" w:w="100"/>
            </w:tcMar>
          </w:tcPr>
          <w:p>
            <w:pPr>
              <w:jc w:val="left"/>
            </w:pPr>
            <w:r>
              <w:rPr>
                <w:b/>
                <w:bCs/>
              </w:rPr>
              <w:t xml:space="preserve">Who to Involve</w:t>
            </w:r>
          </w:p>
        </w:tc>
      </w:tr>
      <w:tr>
        <w:tc>
          <w:tcPr>
            <w:tcW w:type="dxa" w:w="6000"/>
            <w:tcMar>
              <w:top w:type="dxa" w:w="80"/>
              <w:left w:type="dxa" w:w="100"/>
              <w:bottom w:type="dxa" w:w="80"/>
              <w:right w:type="dxa" w:w="100"/>
            </w:tcMar>
          </w:tcPr>
          <w:p>
            <w:pPr>
              <w:jc w:val="left"/>
            </w:pPr>
            <w:r>
              <w:rPr>
                <w:b w:val="false"/>
                <w:bCs w:val="false"/>
              </w:rPr>
              <w:t xml:space="preserve">Does LEAP support outbound webhooks on freeze events, or only a pollable export API?</w:t>
            </w:r>
          </w:p>
        </w:tc>
        <w:tc>
          <w:tcPr>
            <w:tcW w:type="dxa" w:w="3360"/>
            <w:tcMar>
              <w:top w:type="dxa" w:w="80"/>
              <w:left w:type="dxa" w:w="100"/>
              <w:bottom w:type="dxa" w:w="80"/>
              <w:right w:type="dxa" w:w="100"/>
            </w:tcMar>
          </w:tcPr>
          <w:p>
            <w:pPr>
              <w:jc w:val="left"/>
            </w:pPr>
            <w:r>
              <w:rPr>
                <w:b w:val="false"/>
                <w:bCs w:val="false"/>
              </w:rPr>
              <w:t xml:space="preserve">LEAP admin / IT</w:t>
            </w:r>
          </w:p>
        </w:tc>
      </w:tr>
      <w:tr>
        <w:tc>
          <w:tcPr>
            <w:tcW w:type="dxa" w:w="6000"/>
            <w:tcMar>
              <w:top w:type="dxa" w:w="80"/>
              <w:left w:type="dxa" w:w="100"/>
              <w:bottom w:type="dxa" w:w="80"/>
              <w:right w:type="dxa" w:w="100"/>
            </w:tcMar>
          </w:tcPr>
          <w:p>
            <w:pPr>
              <w:jc w:val="left"/>
            </w:pPr>
            <w:r>
              <w:rPr>
                <w:b w:val="false"/>
                <w:bCs w:val="false"/>
              </w:rPr>
              <w:t xml:space="preserve">What metadata does LEAP expose per document (contract ID, revision, freeze timestamp, confidentiality marking)?</w:t>
            </w:r>
          </w:p>
        </w:tc>
        <w:tc>
          <w:tcPr>
            <w:tcW w:type="dxa" w:w="3360"/>
            <w:tcMar>
              <w:top w:type="dxa" w:w="80"/>
              <w:left w:type="dxa" w:w="100"/>
              <w:bottom w:type="dxa" w:w="80"/>
              <w:right w:type="dxa" w:w="100"/>
            </w:tcMar>
          </w:tcPr>
          <w:p>
            <w:pPr>
              <w:jc w:val="left"/>
            </w:pPr>
            <w:r>
              <w:rPr>
                <w:b w:val="false"/>
                <w:bCs w:val="false"/>
              </w:rPr>
              <w:t xml:space="preserve">LEAP admin / IT</w:t>
            </w:r>
          </w:p>
        </w:tc>
      </w:tr>
      <w:tr>
        <w:tc>
          <w:tcPr>
            <w:tcW w:type="dxa" w:w="6000"/>
            <w:tcMar>
              <w:top w:type="dxa" w:w="80"/>
              <w:left w:type="dxa" w:w="100"/>
              <w:bottom w:type="dxa" w:w="80"/>
              <w:right w:type="dxa" w:w="100"/>
            </w:tcMar>
          </w:tcPr>
          <w:p>
            <w:pPr>
              <w:jc w:val="left"/>
            </w:pPr>
            <w:r>
              <w:rPr>
                <w:b w:val="false"/>
                <w:bCs w:val="false"/>
              </w:rPr>
              <w:t xml:space="preserve">Does LEAP already track applicable-document links between a contract and its references?</w:t>
            </w:r>
          </w:p>
        </w:tc>
        <w:tc>
          <w:tcPr>
            <w:tcW w:type="dxa" w:w="3360"/>
            <w:tcMar>
              <w:top w:type="dxa" w:w="80"/>
              <w:left w:type="dxa" w:w="100"/>
              <w:bottom w:type="dxa" w:w="80"/>
              <w:right w:type="dxa" w:w="100"/>
            </w:tcMar>
          </w:tcPr>
          <w:p>
            <w:pPr>
              <w:jc w:val="left"/>
            </w:pPr>
            <w:r>
              <w:rPr>
                <w:b w:val="false"/>
                <w:bCs w:val="false"/>
              </w:rPr>
              <w:t xml:space="preserve">LEAP admin / IT</w:t>
            </w:r>
          </w:p>
        </w:tc>
      </w:tr>
      <w:tr>
        <w:tc>
          <w:tcPr>
            <w:tcW w:type="dxa" w:w="6000"/>
            <w:tcMar>
              <w:top w:type="dxa" w:w="80"/>
              <w:left w:type="dxa" w:w="100"/>
              <w:bottom w:type="dxa" w:w="80"/>
              <w:right w:type="dxa" w:w="100"/>
            </w:tcMar>
          </w:tcPr>
          <w:p>
            <w:pPr>
              <w:jc w:val="left"/>
            </w:pPr>
            <w:r>
              <w:rPr>
                <w:b w:val="false"/>
                <w:bCs w:val="false"/>
              </w:rPr>
              <w:t xml:space="preserve">Recipe design for event-driven vs. batch-backfill ingestion, idempotency, and error handling.</w:t>
            </w:r>
          </w:p>
        </w:tc>
        <w:tc>
          <w:tcPr>
            <w:tcW w:type="dxa" w:w="3360"/>
            <w:tcMar>
              <w:top w:type="dxa" w:w="80"/>
              <w:left w:type="dxa" w:w="100"/>
              <w:bottom w:type="dxa" w:w="80"/>
              <w:right w:type="dxa" w:w="100"/>
            </w:tcMar>
          </w:tcPr>
          <w:p>
            <w:pPr>
              <w:jc w:val="left"/>
            </w:pPr>
            <w:r>
              <w:rPr>
                <w:b w:val="false"/>
                <w:bCs w:val="false"/>
              </w:rPr>
              <w:t xml:space="preserve">Workato team</w:t>
            </w:r>
          </w:p>
        </w:tc>
      </w:tr>
      <w:tr>
        <w:tc>
          <w:tcPr>
            <w:tcW w:type="dxa" w:w="6000"/>
            <w:tcMar>
              <w:top w:type="dxa" w:w="80"/>
              <w:left w:type="dxa" w:w="100"/>
              <w:bottom w:type="dxa" w:w="80"/>
              <w:right w:type="dxa" w:w="100"/>
            </w:tcMar>
          </w:tcPr>
          <w:p>
            <w:pPr>
              <w:jc w:val="left"/>
            </w:pPr>
            <w:r>
              <w:rPr>
                <w:b w:val="false"/>
                <w:bCs w:val="false"/>
              </w:rPr>
              <w:t xml:space="preserve">Data classification tiers and ITAR/export-control handling for the access-control model.</w:t>
            </w:r>
          </w:p>
        </w:tc>
        <w:tc>
          <w:tcPr>
            <w:tcW w:type="dxa" w:w="3360"/>
            <w:tcMar>
              <w:top w:type="dxa" w:w="80"/>
              <w:left w:type="dxa" w:w="100"/>
              <w:bottom w:type="dxa" w:w="80"/>
              <w:right w:type="dxa" w:w="100"/>
            </w:tcMar>
          </w:tcPr>
          <w:p>
            <w:pPr>
              <w:jc w:val="left"/>
            </w:pPr>
            <w:r>
              <w:rPr>
                <w:b w:val="false"/>
                <w:bCs w:val="false"/>
              </w:rPr>
              <w:t xml:space="preserve">IT Security / Data Governance</w:t>
            </w:r>
          </w:p>
        </w:tc>
      </w:tr>
      <w:tr>
        <w:tc>
          <w:tcPr>
            <w:tcW w:type="dxa" w:w="6000"/>
            <w:tcMar>
              <w:top w:type="dxa" w:w="80"/>
              <w:left w:type="dxa" w:w="100"/>
              <w:bottom w:type="dxa" w:w="80"/>
              <w:right w:type="dxa" w:w="100"/>
            </w:tcMar>
          </w:tcPr>
          <w:p>
            <w:pPr>
              <w:jc w:val="left"/>
            </w:pPr>
            <w:r>
              <w:rPr>
                <w:b w:val="false"/>
                <w:bCs w:val="false"/>
              </w:rPr>
              <w:t xml:space="preserve">Internal usage conventions for amendment vs. addendum vs. modification.</w:t>
            </w:r>
          </w:p>
        </w:tc>
        <w:tc>
          <w:tcPr>
            <w:tcW w:type="dxa" w:w="3360"/>
            <w:tcMar>
              <w:top w:type="dxa" w:w="80"/>
              <w:left w:type="dxa" w:w="100"/>
              <w:bottom w:type="dxa" w:w="80"/>
              <w:right w:type="dxa" w:w="100"/>
            </w:tcMar>
          </w:tcPr>
          <w:p>
            <w:pPr>
              <w:jc w:val="left"/>
            </w:pPr>
            <w:r>
              <w:rPr>
                <w:b w:val="false"/>
                <w:bCs w:val="false"/>
              </w:rPr>
              <w:t xml:space="preserve">Legal / Contracts</w:t>
            </w:r>
          </w:p>
        </w:tc>
      </w:tr>
      <w:tr>
        <w:tc>
          <w:tcPr>
            <w:tcW w:type="dxa" w:w="6000"/>
            <w:tcMar>
              <w:top w:type="dxa" w:w="80"/>
              <w:left w:type="dxa" w:w="100"/>
              <w:bottom w:type="dxa" w:w="80"/>
              <w:right w:type="dxa" w:w="100"/>
            </w:tcMar>
          </w:tcPr>
          <w:p>
            <w:pPr>
              <w:jc w:val="left"/>
            </w:pPr>
            <w:r>
              <w:rPr>
                <w:b w:val="false"/>
                <w:bCs w:val="false"/>
              </w:rPr>
              <w:t xml:space="preserve">Current GA/Preview status of the Vertex AI layout parser for our file types; validate against real samples.</w:t>
            </w:r>
          </w:p>
        </w:tc>
        <w:tc>
          <w:tcPr>
            <w:tcW w:type="dxa" w:w="3360"/>
            <w:tcMar>
              <w:top w:type="dxa" w:w="80"/>
              <w:left w:type="dxa" w:w="100"/>
              <w:bottom w:type="dxa" w:w="80"/>
              <w:right w:type="dxa" w:w="100"/>
            </w:tcMar>
          </w:tcPr>
          <w:p>
            <w:pPr>
              <w:jc w:val="left"/>
            </w:pPr>
            <w:r>
              <w:rPr>
                <w:b w:val="false"/>
                <w:bCs w:val="false"/>
              </w:rPr>
              <w:t xml:space="preserve">GCP / Vertex AI</w:t>
            </w:r>
          </w:p>
        </w:tc>
      </w:tr>
      <w:tr>
        <w:tc>
          <w:tcPr>
            <w:tcW w:type="dxa" w:w="6000"/>
            <w:tcMar>
              <w:top w:type="dxa" w:w="80"/>
              <w:left w:type="dxa" w:w="100"/>
              <w:bottom w:type="dxa" w:w="80"/>
              <w:right w:type="dxa" w:w="100"/>
            </w:tcMar>
          </w:tcPr>
          <w:p>
            <w:pPr>
              <w:jc w:val="left"/>
            </w:pPr>
            <w:r>
              <w:rPr>
                <w:b w:val="false"/>
                <w:bCs w:val="false"/>
              </w:rPr>
              <w:t xml:space="preserve">Validate the proposed graph schema against real extraction output from the pilot batch.</w:t>
            </w:r>
          </w:p>
        </w:tc>
        <w:tc>
          <w:tcPr>
            <w:tcW w:type="dxa" w:w="3360"/>
            <w:tcMar>
              <w:top w:type="dxa" w:w="80"/>
              <w:left w:type="dxa" w:w="100"/>
              <w:bottom w:type="dxa" w:w="80"/>
              <w:right w:type="dxa" w:w="100"/>
            </w:tcMar>
          </w:tcPr>
          <w:p>
            <w:pPr>
              <w:jc w:val="left"/>
            </w:pPr>
            <w:r>
              <w:rPr>
                <w:b w:val="false"/>
                <w:bCs w:val="false"/>
              </w:rPr>
              <w:t xml:space="preserve">Engineering team</w:t>
            </w:r>
          </w:p>
        </w:tc>
      </w:tr>
    </w:tbl>
    <w:p>
      <w:pPr>
        <w:pStyle w:val="Heading1"/>
        <w:spacing w:after="160" w:before="320"/>
      </w:pPr>
      <w:r>
        <w:t xml:space="preserve">12. Requested Next Steps</w:t>
      </w:r>
    </w:p>
    <w:p>
      <w:pPr>
        <w:pStyle w:val="ListParagraph"/>
        <w:numPr>
          <w:ilvl w:val="0"/>
          <w:numId w:val="2"/>
        </w:numPr>
        <w:spacing w:after="80"/>
      </w:pPr>
      <w:r>
        <w:t xml:space="preserve">Review and feedback on the architecture and open questions above.</w:t>
      </w:r>
    </w:p>
    <w:p>
      <w:pPr>
        <w:pStyle w:val="ListParagraph"/>
        <w:numPr>
          <w:ilvl w:val="0"/>
          <w:numId w:val="2"/>
        </w:numPr>
        <w:spacing w:after="80"/>
      </w:pPr>
      <w:r>
        <w:t xml:space="preserve">Agreement on pilot scope: a small, deliberately messy set of contracts covering tables, signatures, multi-exhibit SOWs, and government FAR contracts.</w:t>
      </w:r>
    </w:p>
    <w:p>
      <w:pPr>
        <w:pStyle w:val="ListParagraph"/>
        <w:numPr>
          <w:ilvl w:val="0"/>
          <w:numId w:val="2"/>
        </w:numPr>
        <w:spacing w:after="80"/>
      </w:pPr>
      <w:r>
        <w:t xml:space="preserve">Sign-off to provision a pilot GCP environment (GCS and Vertex AI Data Store) and a Neo4j AuraDB instance.</w:t>
      </w:r>
    </w:p>
    <w:p>
      <w:pPr>
        <w:pStyle w:val="ListParagraph"/>
        <w:numPr>
          <w:ilvl w:val="0"/>
          <w:numId w:val="2"/>
        </w:numPr>
        <w:spacing w:after="80"/>
      </w:pPr>
      <w:r>
        <w:t xml:space="preserve">Introductions to the LEAP admin, Workato, IT Security, and Legal/Contracts contacts needed to resolve the open questions above.</w:t>
      </w:r>
    </w:p>
    <w:p>
      <w:pPr>
        <w:pStyle w:val="ListParagraph"/>
        <w:numPr>
          <w:ilvl w:val="0"/>
          <w:numId w:val="2"/>
        </w:numPr>
        <w:spacing w:after="80"/>
      </w:pPr>
      <w:r>
        <w:t xml:space="preserve">An engineering owner assigned for the ingestion pipeline track and the knowledge graph track, so both can proceed in parallel during the pilot.</w:t>
      </w:r>
    </w:p>
    <w:p>
      <w:pPr>
        <w:pStyle w:val="Heading1"/>
        <w:spacing w:after="160" w:before="320"/>
      </w:pPr>
      <w:r>
        <w:t xml:space="preserve">13. Technical Reference: Data Shapes, Ingestion &amp; Retrieval</w:t>
      </w:r>
    </w:p>
    <w:p>
      <w:pPr>
        <w:spacing w:after="160"/>
      </w:pPr>
      <w:r>
        <w:t xml:space="preserve">Concrete detail on what actually gets stored and queried, to make the pipeline design implementable rather than conceptual.</w:t>
      </w:r>
    </w:p>
    <w:p>
      <w:pPr>
        <w:pStyle w:val="Heading2"/>
        <w:spacing w:after="120" w:before="240"/>
      </w:pPr>
      <w:r>
        <w:t xml:space="preserve">13.1 Embedding Model</w:t>
      </w:r>
    </w:p>
    <w:p>
      <w:pPr>
        <w:spacing w:after="160"/>
      </w:pPr>
      <w:r>
        <w:t xml:space="preserve">Recommendation: gemini-embedding-001 (GA on Vertex AI). Default output is 3,072 dimensions, with Matryoshka truncation supported down to 1,536 or 768 with minimal quality loss. 768 is the right production choice: smaller index, faster search, lower storage cost in both Vertex AI and Neo4j.</w:t>
      </w:r>
    </w:p>
    <w:p>
      <w:pPr>
        <w:spacing w:after="160"/>
      </w:pPr>
      <w:r>
        <w:rPr>
          <w:b/>
          <w:bCs/>
        </w:rPr>
        <w:t xml:space="preserve">Important asymmetry: </w:t>
      </w:r>
      <w:r>
        <w:t xml:space="preserve">the API takes a task_type parameter. Chunks are embedded with task_type=RETRIEVAL_DOCUMENT at ingestion time; the user's question is embedded with task_type=RETRIEVAL_QUERY at query time. Same model, different task type, because the model produces different vectors optimized for each side. Using the wrong one on either side quietly degrades match quality without an error.</w:t>
      </w:r>
    </w:p>
    <w:p>
      <w:pPr>
        <w:pStyle w:val="Heading2"/>
        <w:spacing w:after="120" w:before="240"/>
      </w:pPr>
      <w:r>
        <w:t xml:space="preserve">13.2 Chunk / Vector Record Shape</w:t>
      </w:r>
    </w:p>
    <w:p>
      <w:pPr>
        <w:spacing w:after="160"/>
      </w:pPr>
      <w:r>
        <w:t xml:space="preserve">What one chunk record looks like inside the vector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5F5" w:val="clear"/>
            <w:tcMar>
              <w:top w:type="dxa" w:w="140"/>
              <w:left w:type="dxa" w:w="180"/>
              <w:bottom w:type="dxa" w:w="140"/>
              <w:right w:type="dxa" w:w="180"/>
            </w:tcMar>
          </w:tcPr>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"chunk_id": "S0637980_rev2_sec-exhibitD_0012",</w:t>
            </w:r>
          </w:p>
          <w:p>
            <w:pPr>
              <w:spacing w:after="0"/>
            </w:pPr>
            <w:r>
              <w:rPr>
                <w:rFonts w:ascii="Consolas" w:cs="Consolas" w:eastAsia="Consolas" w:hAnsi="Consolas"/>
                <w:sz w:val="17"/>
                <w:szCs w:val="17"/>
              </w:rPr>
              <w:t xml:space="preserve">  "contract_id": "S0637980",</w:t>
            </w:r>
          </w:p>
          <w:p>
            <w:pPr>
              <w:spacing w:after="0"/>
            </w:pPr>
            <w:r>
              <w:rPr>
                <w:rFonts w:ascii="Consolas" w:cs="Consolas" w:eastAsia="Consolas" w:hAnsi="Consolas"/>
                <w:sz w:val="17"/>
                <w:szCs w:val="17"/>
              </w:rPr>
              <w:t xml:space="preserve">  "revision": 2,</w:t>
            </w:r>
          </w:p>
          <w:p>
            <w:pPr>
              <w:spacing w:after="0"/>
            </w:pPr>
            <w:r>
              <w:rPr>
                <w:rFonts w:ascii="Consolas" w:cs="Consolas" w:eastAsia="Consolas" w:hAnsi="Consolas"/>
                <w:sz w:val="17"/>
                <w:szCs w:val="17"/>
              </w:rPr>
              <w:t xml:space="preserve">  "document_type": "SOW",</w:t>
            </w:r>
          </w:p>
          <w:p>
            <w:pPr>
              <w:spacing w:after="0"/>
            </w:pPr>
            <w:r>
              <w:rPr>
                <w:rFonts w:ascii="Consolas" w:cs="Consolas" w:eastAsia="Consolas" w:hAnsi="Consolas"/>
                <w:sz w:val="17"/>
                <w:szCs w:val="17"/>
              </w:rPr>
              <w:t xml:space="preserve">  "section_path": "Exhibit D &gt; Termination Liability Schedule",</w:t>
            </w:r>
          </w:p>
          <w:p>
            <w:pPr>
              <w:spacing w:after="0"/>
            </w:pPr>
            <w:r>
              <w:rPr>
                <w:rFonts w:ascii="Consolas" w:cs="Consolas" w:eastAsia="Consolas" w:hAnsi="Consolas"/>
                <w:sz w:val="17"/>
                <w:szCs w:val="17"/>
              </w:rPr>
              <w:t xml:space="preserve">  "page": 29,</w:t>
            </w:r>
          </w:p>
          <w:p>
            <w:pPr>
              <w:spacing w:after="0"/>
            </w:pPr>
            <w:r>
              <w:rPr>
                <w:rFonts w:ascii="Consolas" w:cs="Consolas" w:eastAsia="Consolas" w:hAnsi="Consolas"/>
                <w:sz w:val="17"/>
                <w:szCs w:val="17"/>
              </w:rPr>
              <w:t xml:space="preserve">  "content_type": "table",</w:t>
            </w:r>
          </w:p>
          <w:p>
            <w:pPr>
              <w:spacing w:after="0"/>
            </w:pPr>
            <w:r>
              <w:rPr>
                <w:rFonts w:ascii="Consolas" w:cs="Consolas" w:eastAsia="Consolas" w:hAnsi="Consolas"/>
                <w:sz w:val="17"/>
                <w:szCs w:val="17"/>
              </w:rPr>
              <w:t xml:space="preserve">  "text": "EDC+9: Liability 15%, Cumulative 65%, Amount $1,091,700, Cumulative $4,730,700",</w:t>
            </w:r>
          </w:p>
          <w:p>
            <w:pPr>
              <w:spacing w:after="0"/>
            </w:pPr>
            <w:r>
              <w:rPr>
                <w:rFonts w:ascii="Consolas" w:cs="Consolas" w:eastAsia="Consolas" w:hAnsi="Consolas"/>
                <w:sz w:val="17"/>
                <w:szCs w:val="17"/>
              </w:rPr>
              <w:t xml:space="preserve">  "embedding": [0.0182, -0.0091, 0.0447, ..., -0.0026],</w:t>
            </w:r>
          </w:p>
          <w:p>
            <w:pPr>
              <w:spacing w:after="0"/>
            </w:pPr>
            <w:r>
              <w:rPr>
                <w:rFonts w:ascii="Consolas" w:cs="Consolas" w:eastAsia="Consolas" w:hAnsi="Consolas"/>
                <w:sz w:val="17"/>
                <w:szCs w:val="17"/>
              </w:rPr>
              <w:t xml:space="preserve">  "embedding_dims": 768,</w:t>
            </w:r>
          </w:p>
          <w:p>
            <w:pPr>
              <w:spacing w:after="0"/>
            </w:pPr>
            <w:r>
              <w:rPr>
                <w:rFonts w:ascii="Consolas" w:cs="Consolas" w:eastAsia="Consolas" w:hAnsi="Consolas"/>
                <w:sz w:val="17"/>
                <w:szCs w:val="17"/>
              </w:rPr>
              <w:t xml:space="preserve">  "superseded": false,</w:t>
            </w:r>
          </w:p>
          <w:p>
            <w:pPr>
              <w:spacing w:after="0"/>
            </w:pPr>
            <w:r>
              <w:rPr>
                <w:rFonts w:ascii="Consolas" w:cs="Consolas" w:eastAsia="Consolas" w:hAnsi="Consolas"/>
                <w:sz w:val="17"/>
                <w:szCs w:val="17"/>
              </w:rPr>
              <w:t xml:space="preserve">  "ingested_at": "2026-08-04T06:12:33Z"</w:t>
            </w:r>
          </w:p>
          <w:p>
            <w:pPr>
              <w:spacing w:after="0"/>
            </w:pPr>
            <w:r>
              <w:rPr>
                <w:rFonts w:ascii="Consolas" w:cs="Consolas" w:eastAsia="Consolas" w:hAnsi="Consolas"/>
                <w:sz w:val="17"/>
                <w:szCs w:val="17"/>
              </w:rPr>
              <w:t xml:space="preserve">}</w:t>
            </w:r>
          </w:p>
        </w:tc>
      </w:tr>
    </w:tbl>
    <w:p>
      <w:pPr>
        <w:spacing w:after="160"/>
      </w:pPr>
      <w:r>
        <w:t xml:space="preserve">chunk_id is deterministic (hash of contract_id + revision + section + index), not random, so re-running ingestion on the same document produces the same IDs instead of duplicates.</w:t>
      </w:r>
    </w:p>
    <w:p>
      <w:pPr>
        <w:pStyle w:val="Heading2"/>
        <w:spacing w:after="120" w:before="240"/>
      </w:pPr>
      <w:r>
        <w:t xml:space="preserve">13.3 Graph Ingestion</w:t>
      </w:r>
    </w:p>
    <w:p>
      <w:pPr>
        <w:spacing w:after="160"/>
      </w:pPr>
      <w:r>
        <w:t xml:space="preserve">Uniqueness constraints are set up first, so MERGE behaves correctly and stays fast as the graph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5F5" w:val="clear"/>
            <w:tcMar>
              <w:top w:type="dxa" w:w="140"/>
              <w:left w:type="dxa" w:w="180"/>
              <w:bottom w:type="dxa" w:w="140"/>
              <w:right w:type="dxa" w:w="180"/>
            </w:tcMar>
          </w:tcPr>
          <w:p>
            <w:pPr>
              <w:spacing w:after="0"/>
            </w:pPr>
            <w:r>
              <w:rPr>
                <w:rFonts w:ascii="Consolas" w:cs="Consolas" w:eastAsia="Consolas" w:hAnsi="Consolas"/>
                <w:sz w:val="17"/>
                <w:szCs w:val="17"/>
              </w:rPr>
              <w:t xml:space="preserve">CREATE CONSTRAINT contract_id IF NOT EXISTS FOR (c:Contract) REQUIRE c.contract_id IS UNIQUE;</w:t>
            </w:r>
          </w:p>
          <w:p>
            <w:pPr>
              <w:spacing w:after="0"/>
            </w:pPr>
            <w:r>
              <w:rPr>
                <w:rFonts w:ascii="Consolas" w:cs="Consolas" w:eastAsia="Consolas" w:hAnsi="Consolas"/>
                <w:sz w:val="17"/>
                <w:szCs w:val="17"/>
              </w:rPr>
              <w:t xml:space="preserve">CREATE CONSTRAINT version_id IF NOT EXISTS FOR (cv:ContractVersion) REQUIRE (cv.contract_id, cv.revision) IS NODE KEY;</w:t>
            </w:r>
          </w:p>
          <w:p>
            <w:pPr>
              <w:spacing w:after="0"/>
            </w:pPr>
            <w:r>
              <w:rPr>
                <w:rFonts w:ascii="Consolas" w:cs="Consolas" w:eastAsia="Consolas" w:hAnsi="Consolas"/>
                <w:sz w:val="17"/>
                <w:szCs w:val="17"/>
              </w:rPr>
              <w:t xml:space="preserve">CREATE CONSTRAINT doc_number IF NOT EXISTS FOR (d:Document) REQUIRE d.document_number IS UNIQUE;</w:t>
            </w:r>
          </w:p>
        </w:tc>
      </w:tr>
    </w:tbl>
    <w:p>
      <w:pPr>
        <w:spacing w:after="160"/>
      </w:pPr>
      <w:r>
        <w:t xml:space="preserve">Ingestion runs as one MERGE-based transaction per chunk's extracted JSON, safe to re-run: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5F5" w:val="clear"/>
            <w:tcMar>
              <w:top w:type="dxa" w:w="140"/>
              <w:left w:type="dxa" w:w="180"/>
              <w:bottom w:type="dxa" w:w="140"/>
              <w:right w:type="dxa" w:w="180"/>
            </w:tcMar>
          </w:tcPr>
          <w:p>
            <w:pPr>
              <w:spacing w:after="0"/>
            </w:pPr>
            <w:r>
              <w:rPr>
                <w:rFonts w:ascii="Consolas" w:cs="Consolas" w:eastAsia="Consolas" w:hAnsi="Consolas"/>
                <w:sz w:val="17"/>
                <w:szCs w:val="17"/>
              </w:rPr>
              <w:t xml:space="preserve">MERGE (c:Contract {contract_id: $contract_id})</w:t>
            </w:r>
          </w:p>
          <w:p>
            <w:pPr>
              <w:spacing w:after="0"/>
            </w:pPr>
            <w:r>
              <w:rPr>
                <w:rFonts w:ascii="Consolas" w:cs="Consolas" w:eastAsia="Consolas" w:hAnsi="Consolas"/>
                <w:sz w:val="17"/>
                <w:szCs w:val="17"/>
              </w:rPr>
              <w:t xml:space="preserve">MERGE (cv:ContractVersion {contract_id: $contract_id, revision: $revision})</w:t>
            </w:r>
          </w:p>
          <w:p>
            <w:pPr>
              <w:spacing w:after="0"/>
            </w:pPr>
            <w:r>
              <w:rPr>
                <w:rFonts w:ascii="Consolas" w:cs="Consolas" w:eastAsia="Consolas" w:hAnsi="Consolas"/>
                <w:sz w:val="17"/>
                <w:szCs w:val="17"/>
              </w:rPr>
              <w:t xml:space="preserve">MERGE (c)-[:CURRENT_VERSION]-&gt;(cv)</w:t>
            </w:r>
          </w:p>
          <w:p>
            <w:pPr>
              <w:spacing w:after="0"/>
            </w:pPr>
            <w:r>
              <w:rPr>
                <w:rFonts w:ascii="Consolas" w:cs="Consolas" w:eastAsia="Consolas" w:hAnsi="Consolas"/>
                <w:sz w:val="17"/>
                <w:szCs w:val="17"/>
              </w:rPr>
              <w:t xml:space="preserve">WITH cv</w:t>
            </w:r>
          </w:p>
          <w:p>
            <w:pPr>
              <w:spacing w:after="0"/>
            </w:pPr>
            <w:r>
              <w:rPr>
                <w:rFonts w:ascii="Consolas" w:cs="Consolas" w:eastAsia="Consolas" w:hAnsi="Consolas"/>
                <w:sz w:val="17"/>
                <w:szCs w:val="17"/>
              </w:rPr>
              <w:t xml:space="preserve">UNWIND $milestones AS ms</w:t>
            </w:r>
          </w:p>
          <w:p>
            <w:pPr>
              <w:spacing w:after="0"/>
            </w:pPr>
            <w:r>
              <w:rPr>
                <w:rFonts w:ascii="Consolas" w:cs="Consolas" w:eastAsia="Consolas" w:hAnsi="Consolas"/>
                <w:sz w:val="17"/>
                <w:szCs w:val="17"/>
              </w:rPr>
              <w:t xml:space="preserve">  MERGE (m:Milestone {contract_id: $contract_id, revision: $revision, name: ms.name})</w:t>
            </w:r>
          </w:p>
          <w:p>
            <w:pPr>
              <w:spacing w:after="0"/>
            </w:pPr>
            <w:r>
              <w:rPr>
                <w:rFonts w:ascii="Consolas" w:cs="Consolas" w:eastAsia="Consolas" w:hAnsi="Consolas"/>
                <w:sz w:val="17"/>
                <w:szCs w:val="17"/>
              </w:rPr>
              <w:t xml:space="preserve">  SET m.date_offset = ms.date_offset</w:t>
            </w:r>
          </w:p>
          <w:p>
            <w:pPr>
              <w:spacing w:after="0"/>
            </w:pPr>
            <w:r>
              <w:rPr>
                <w:rFonts w:ascii="Consolas" w:cs="Consolas" w:eastAsia="Consolas" w:hAnsi="Consolas"/>
                <w:sz w:val="17"/>
                <w:szCs w:val="17"/>
              </w:rPr>
              <w:t xml:space="preserve">  MERGE (cv)-[:HAS_MILESTONE]-&gt;(m)</w:t>
            </w:r>
          </w:p>
          <w:p>
            <w:pPr>
              <w:spacing w:after="0"/>
            </w:pPr>
            <w:r>
              <w:rPr>
                <w:rFonts w:ascii="Consolas" w:cs="Consolas" w:eastAsia="Consolas" w:hAnsi="Consolas"/>
                <w:sz w:val="17"/>
                <w:szCs w:val="17"/>
              </w:rPr>
              <w:t xml:space="preserve">  WITH cv, m, ms</w:t>
            </w:r>
          </w:p>
          <w:p>
            <w:pPr>
              <w:spacing w:after="0"/>
            </w:pPr>
            <w:r>
              <w:rPr>
                <w:rFonts w:ascii="Consolas" w:cs="Consolas" w:eastAsia="Consolas" w:hAnsi="Consolas"/>
                <w:sz w:val="17"/>
                <w:szCs w:val="17"/>
              </w:rPr>
              <w:t xml:space="preserve">  UNWIND ms.payment_terms AS pt</w:t>
            </w:r>
          </w:p>
          <w:p>
            <w:pPr>
              <w:spacing w:after="0"/>
            </w:pPr>
            <w:r>
              <w:rPr>
                <w:rFonts w:ascii="Consolas" w:cs="Consolas" w:eastAsia="Consolas" w:hAnsi="Consolas"/>
                <w:sz w:val="17"/>
                <w:szCs w:val="17"/>
              </w:rPr>
              <w:t xml:space="preserve">    MERGE (p:PaymentTerm {contract_id: $contract_id, revision: $revision, milestone_ref: ms.name})</w:t>
            </w:r>
          </w:p>
          <w:p>
            <w:pPr>
              <w:spacing w:after="0"/>
            </w:pPr>
            <w:r>
              <w:rPr>
                <w:rFonts w:ascii="Consolas" w:cs="Consolas" w:eastAsia="Consolas" w:hAnsi="Consolas"/>
                <w:sz w:val="17"/>
                <w:szCs w:val="17"/>
              </w:rPr>
              <w:t xml:space="preserve">    SET p.percent = pt.percent, p.cumulative_percent = pt.cumulative_percent,</w:t>
            </w:r>
          </w:p>
          <w:p>
            <w:pPr>
              <w:spacing w:after="0"/>
            </w:pPr>
            <w:r>
              <w:rPr>
                <w:rFonts w:ascii="Consolas" w:cs="Consolas" w:eastAsia="Consolas" w:hAnsi="Consolas"/>
                <w:sz w:val="17"/>
                <w:szCs w:val="17"/>
              </w:rPr>
              <w:t xml:space="preserve">        p.amount_usd = pt.amount_usd, p.source_chunk_id = $chunk_id</w:t>
            </w:r>
          </w:p>
          <w:p>
            <w:pPr>
              <w:spacing w:after="0"/>
            </w:pPr>
            <w:r>
              <w:rPr>
                <w:rFonts w:ascii="Consolas" w:cs="Consolas" w:eastAsia="Consolas" w:hAnsi="Consolas"/>
                <w:sz w:val="17"/>
                <w:szCs w:val="17"/>
              </w:rPr>
              <w:t xml:space="preserve">    MERGE (m)-[:TRIGGERS_PAYMENT]-&gt;(p)</w:t>
            </w:r>
          </w:p>
        </w:tc>
      </w:tr>
    </w:tbl>
    <w:p>
      <w:pPr>
        <w:pStyle w:val="Heading2"/>
        <w:spacing w:after="120" w:before="240"/>
      </w:pPr>
      <w:r>
        <w:t xml:space="preserve">13.4 Probable Retrieval Queries</w:t>
      </w:r>
    </w:p>
    <w:p>
      <w:pPr>
        <w:spacing w:after="160"/>
      </w:pPr>
      <w:r>
        <w:t xml:space="preserve">The vector search request sent to Vertex AI (question embedded with RETRIEVAL_QUERY, filtered to what the user is permitted to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5F5" w:val="clear"/>
            <w:tcMar>
              <w:top w:type="dxa" w:w="140"/>
              <w:left w:type="dxa" w:w="180"/>
              <w:bottom w:type="dxa" w:w="140"/>
              <w:right w:type="dxa" w:w="180"/>
            </w:tcMar>
          </w:tcPr>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"query_embedding": [0.0091, -0.0033, ..., 0.0128],</w:t>
            </w:r>
          </w:p>
          <w:p>
            <w:pPr>
              <w:spacing w:after="0"/>
            </w:pPr>
            <w:r>
              <w:rPr>
                <w:rFonts w:ascii="Consolas" w:cs="Consolas" w:eastAsia="Consolas" w:hAnsi="Consolas"/>
                <w:sz w:val="17"/>
                <w:szCs w:val="17"/>
              </w:rPr>
              <w:t xml:space="preserve">  "neighbor_count": 8,</w:t>
            </w:r>
          </w:p>
          <w:p>
            <w:pPr>
              <w:spacing w:after="0"/>
            </w:pPr>
            <w:r>
              <w:rPr>
                <w:rFonts w:ascii="Consolas" w:cs="Consolas" w:eastAsia="Consolas" w:hAnsi="Consolas"/>
                <w:sz w:val="17"/>
                <w:szCs w:val="17"/>
              </w:rPr>
              <w:t xml:space="preserve">  "filter": "contract_id IN ('S0637980','S0662570') AND superseded = false"</w:t>
            </w:r>
          </w:p>
          <w:p>
            <w:pPr>
              <w:spacing w:after="0"/>
            </w:pPr>
            <w:r>
              <w:rPr>
                <w:rFonts w:ascii="Consolas" w:cs="Consolas" w:eastAsia="Consolas" w:hAnsi="Consolas"/>
                <w:sz w:val="17"/>
                <w:szCs w:val="17"/>
              </w:rPr>
              <w:t xml:space="preserve">}</w:t>
            </w:r>
          </w:p>
        </w:tc>
      </w:tr>
    </w:tbl>
    <w:p>
      <w:pPr>
        <w:spacing w:after="160"/>
      </w:pPr>
      <w:r>
        <w:t xml:space="preserve">The follow-up graph query, using the contract_id returned above, that retrieves the exact structured figures rather than trusting matched text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5F5" w:val="clear"/>
            <w:tcMar>
              <w:top w:type="dxa" w:w="140"/>
              <w:left w:type="dxa" w:w="180"/>
              <w:bottom w:type="dxa" w:w="140"/>
              <w:right w:type="dxa" w:w="180"/>
            </w:tcMar>
          </w:tcPr>
          <w:p>
            <w:pPr>
              <w:spacing w:after="0"/>
            </w:pPr>
            <w:r>
              <w:rPr>
                <w:rFonts w:ascii="Consolas" w:cs="Consolas" w:eastAsia="Consolas" w:hAnsi="Consolas"/>
                <w:sz w:val="17"/>
                <w:szCs w:val="17"/>
              </w:rPr>
              <w:t xml:space="preserve">MATCH (cv:ContractVersion {contract_id: $contract_id})-[:CONTAINS]-&gt;(:Clause)-[:REFERENCES]-&gt;</w:t>
            </w:r>
          </w:p>
          <w:p>
            <w:pPr>
              <w:spacing w:after="0"/>
            </w:pPr>
            <w:r>
              <w:rPr>
                <w:rFonts w:ascii="Consolas" w:cs="Consolas" w:eastAsia="Consolas" w:hAnsi="Consolas"/>
                <w:sz w:val="17"/>
                <w:szCs w:val="17"/>
              </w:rPr>
              <w:t xml:space="preserve">  (d:Document {document_type: "TerminationLiabilitySchedule"})</w:t>
            </w:r>
          </w:p>
          <w:p>
            <w:pPr>
              <w:spacing w:after="0"/>
            </w:pPr>
            <w:r>
              <w:rPr>
                <w:rFonts w:ascii="Consolas" w:cs="Consolas" w:eastAsia="Consolas" w:hAnsi="Consolas"/>
                <w:sz w:val="17"/>
                <w:szCs w:val="17"/>
              </w:rPr>
              <w:t xml:space="preserve">MATCH (cv)-[:HAS_MILESTONE]-&gt;(m:Milestone {name: "CDR"})-[:TRIGGERS_PAYMENT]-&gt;(p:PaymentTerm)</w:t>
            </w:r>
          </w:p>
          <w:p>
            <w:pPr>
              <w:spacing w:after="0"/>
            </w:pPr>
            <w:r>
              <w:rPr>
                <w:rFonts w:ascii="Consolas" w:cs="Consolas" w:eastAsia="Consolas" w:hAnsi="Consolas"/>
                <w:sz w:val="17"/>
                <w:szCs w:val="17"/>
              </w:rPr>
              <w:t xml:space="preserve">RETURN m.date_offset, p.percent, p.cumulative_percent, p.amount_usd, p.source_chunk_id</w:t>
            </w:r>
          </w:p>
        </w:tc>
      </w:tr>
    </w:tbl>
    <w:p>
      <w:pPr>
        <w:spacing w:after="160"/>
      </w:pPr>
      <w:r>
        <w:t xml:space="preserve">The source_chunk_id returned here is what lets the final answer cite the exact passage it came from.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Honeywell Aerospace - Internal Working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Contract Intelligence Platform - Technical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2026-08-04T02:40:25.740Z</dcterms:created>
  <dcterms:modified xsi:type="dcterms:W3CDTF">2026-08-04T02:40:25.741Z</dcterms:modified>
</cp:coreProperties>
</file>

<file path=docProps/custom.xml><?xml version="1.0" encoding="utf-8"?>
<Properties xmlns="http://schemas.openxmlformats.org/officeDocument/2006/custom-properties" xmlns:vt="http://schemas.openxmlformats.org/officeDocument/2006/docPropsVTypes"/>
</file>