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Counterfactual Fraud Networks with Graph-Aware Temporal Memory</w:t>
      </w:r>
    </w:p>
    <w:p>
      <w:pPr>
        <w:jc w:val="center"/>
      </w:pPr>
      <w:r>
        <w:rPr>
          <w:i/>
        </w:rPr>
        <w:t>Working manuscript draft v0.1 — experimental core</w:t>
      </w:r>
    </w:p>
    <w:p>
      <w:pPr>
        <w:pStyle w:val="Heading1"/>
      </w:pPr>
      <w:r>
        <w:t>Abstract</w:t>
      </w:r>
    </w:p>
    <w:p>
      <w:r>
        <w:t>We study fraud detection as an evolving relational process rather than a sequence of independent transactions. We introduce a graph-aware temporal memory architecture that combines entity history, graph structure, and strictly prior neighbor behavior, then use historical graph interventions to explain predictions counterfactually. On the Elliptic++ wallet graph under a chronological train/validation/test split, plain graph-memory improves PR-AUC from 0.1470 for the matched temporal GRU baseline to 0.2911. A hub-suppressed variant attains F1 0.2989 while reducing the share of total absolute counterfactual effect attributed to the single most influential neighbor from 23.9% to 10.3%. In 578 matched historical relationship interventions, removing one relationship changes illicit-wallet fraud probability by 0.0917 on average in absolute terms (bootstrap 95% CI 0.0750–0.1096). The framework distinguishes risk-increasing from protective relationships and identifies cases where removing one historical relationship changes the model decision. These quantities are model counterfactual sensitivities, not claims of real-world causality.</w:t>
      </w:r>
    </w:p>
    <w:p>
      <w:pPr>
        <w:pStyle w:val="Heading1"/>
      </w:pPr>
      <w:r>
        <w:t>1. Problem and Research Question</w:t>
      </w:r>
    </w:p>
    <w:p>
      <w:r>
        <w:t>Conventional fraud classifiers often score an entity from its current features, while temporal models add the entity's own history. Our central question is stronger: can a fraud model remember how an entity evolves, incorporate the prior behavioral states of connected entities, and explain a decision by asking whether the entity would still look fraudulent if a relationship had not contributed to its historical network context?</w:t>
      </w:r>
    </w:p>
    <w:p>
      <w:r>
        <w:t>Core counterfactual quantity:</w:t>
      </w:r>
    </w:p>
    <w:p>
      <w:pPr>
        <w:jc w:val="center"/>
      </w:pPr>
      <w:r>
        <w:rPr>
          <w:b/>
        </w:rPr>
        <w:t>CFᵘ→ᵛ,ₜ = P(yᵥ,ₜ = 1 | G₁:ₜ) − P(yᵥ,ₜ = 1 | G₁:ₜ \ u)</w:t>
      </w:r>
    </w:p>
    <w:p>
      <w:pPr>
        <w:pStyle w:val="Heading1"/>
      </w:pPr>
      <w:r>
        <w:t>2. Contributions</w:t>
      </w:r>
    </w:p>
    <w:p>
      <w:pPr>
        <w:pStyle w:val="ListBullet"/>
      </w:pPr>
      <w:r>
        <w:t>Temporal fraud memory: entity predictions are conditioned on evolving behavioral history rather than isolated observations.</w:t>
      </w:r>
    </w:p>
    <w:p>
      <w:pPr>
        <w:pStyle w:val="ListBullet"/>
      </w:pPr>
      <w:r>
        <w:t>Graph-aware temporal memory: each entity receives leakage-safe relational context derived only from neighbors' states at strictly earlier time steps.</w:t>
      </w:r>
    </w:p>
    <w:p>
      <w:pPr>
        <w:pStyle w:val="ListBullet"/>
      </w:pPr>
      <w:r>
        <w:t>Historical counterfactual explanations: a relationship is removed from every prior relational aggregation for a target entity, its sequence is replayed through the fixed trained model, and the change in final fraud probability is measured.</w:t>
      </w:r>
    </w:p>
    <w:p>
      <w:pPr>
        <w:pStyle w:val="ListBullet"/>
      </w:pPr>
      <w:r>
        <w:t>Hub-robust counterfactual analysis: degree-suppressed message aggregation tests whether explanations survive explicit control for highly connected wallets.</w:t>
      </w:r>
    </w:p>
    <w:p>
      <w:pPr>
        <w:pStyle w:val="ListBullet"/>
      </w:pPr>
      <w:r>
        <w:t>Bidirectional explanation semantics: relationships may be risk-increasing or protective, allowing the model to surface both suspicious and exculpatory relational context.</w:t>
      </w:r>
    </w:p>
    <w:p>
      <w:pPr>
        <w:pStyle w:val="Heading1"/>
      </w:pPr>
      <w:r>
        <w:t>3. Experimental Design</w:t>
      </w:r>
    </w:p>
    <w:p>
      <w:pPr>
        <w:pStyle w:val="Heading2"/>
      </w:pPr>
      <w:r>
        <w:t>3.1 Chronological protocol</w:t>
      </w:r>
    </w:p>
    <w:p>
      <w:r>
        <w:t>All reported core experiments use the same chronological split: time steps 1–34 for training, 35–41 for validation, and 42–49 for testing. Validation selects the classification threshold. Graph-memory construction is leakage-safe: observations at time t may use only neighbors' most recent observations from times strictly earlier than t.</w:t>
      </w:r>
    </w:p>
    <w:p>
      <w:pPr>
        <w:pStyle w:val="Heading2"/>
      </w:pPr>
      <w:r>
        <w:t>3.2 Graph-memory architecture</w:t>
      </w:r>
    </w:p>
    <w:p>
      <w:r>
        <w:t>The full graph-memory model concatenates transformed wallet behavior, structural graph features, and directional incoming/outgoing summaries of neighbors' most recent historical behavior. The concatenated representation is projected through a feed-forward layer and processed by a GRU, producing a fraud probability at each observed time step.</w:t>
      </w:r>
    </w:p>
    <w:p>
      <w:pPr>
        <w:pStyle w:val="Heading2"/>
      </w:pPr>
      <w:r>
        <w:t>3.3 Hub-suppressed aggregation</w:t>
      </w:r>
    </w:p>
    <w:p>
      <w:r>
        <w:t>To reduce dominance by highly connected wallets, the strict hub-suppressed model scales each neighbor message by 1/sqrt(1 + degree(u)) before averaging by the raw number of available neighbors. This differs from renormalized attention-like weighting, which can still assign full influence to a single high-degree neighbor when it is the only available neighbor.</w:t>
      </w:r>
    </w:p>
    <w:p>
      <w:pPr>
        <w:pStyle w:val="Heading2"/>
      </w:pPr>
      <w:r>
        <w:t>3.4 Historical counterfactual intervention</w:t>
      </w:r>
    </w:p>
    <w:p>
      <w:r>
        <w:t>For a target wallet v and neighbor u, u is removed from every incoming/outgoing prior-neighbor aggregation in v's observed history through prediction time t. The target sequence is then replayed through the unchanged trained model. The difference between the original and intervened fraud probabilities is the relationship-level historical counterfactual effect.</w:t>
      </w:r>
    </w:p>
    <w:p>
      <w:pPr>
        <w:pStyle w:val="Heading1"/>
      </w:pPr>
      <w:r>
        <w:t>4. Results</w:t>
      </w:r>
    </w:p>
    <w:p>
      <w:pPr>
        <w:pStyle w:val="Heading2"/>
      </w:pPr>
      <w:r>
        <w:t>4.1 Predictive progression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Model</w:t>
            </w:r>
          </w:p>
        </w:tc>
        <w:tc>
          <w:tcPr>
            <w:tcW w:type="dxa" w:w="1632"/>
          </w:tcPr>
          <w:p>
            <w:r>
              <w:t>PR-AUC</w:t>
            </w:r>
          </w:p>
        </w:tc>
        <w:tc>
          <w:tcPr>
            <w:tcW w:type="dxa" w:w="1632"/>
          </w:tcPr>
          <w:p>
            <w:r>
              <w:t>ROC-AUC</w:t>
            </w:r>
          </w:p>
        </w:tc>
        <w:tc>
          <w:tcPr>
            <w:tcW w:type="dxa" w:w="1632"/>
          </w:tcPr>
          <w:p>
            <w:r>
              <w:t>Precision</w:t>
            </w:r>
          </w:p>
        </w:tc>
        <w:tc>
          <w:tcPr>
            <w:tcW w:type="dxa" w:w="1632"/>
          </w:tcPr>
          <w:p>
            <w:r>
              <w:t>Recall</w:t>
            </w:r>
          </w:p>
        </w:tc>
        <w:tc>
          <w:tcPr>
            <w:tcW w:type="dxa" w:w="1632"/>
          </w:tcPr>
          <w:p>
            <w:r>
              <w:t>F1</w:t>
            </w:r>
          </w:p>
        </w:tc>
      </w:tr>
      <w:tr>
        <w:tc>
          <w:tcPr>
            <w:tcW w:type="dxa" w:w="1632"/>
          </w:tcPr>
          <w:p>
            <w:r>
              <w:t>TEMF-GRU</w:t>
            </w:r>
          </w:p>
        </w:tc>
        <w:tc>
          <w:tcPr>
            <w:tcW w:type="dxa" w:w="1632"/>
          </w:tcPr>
          <w:p>
            <w:r>
              <w:t>0.1470</w:t>
            </w:r>
          </w:p>
        </w:tc>
        <w:tc>
          <w:tcPr>
            <w:tcW w:type="dxa" w:w="1632"/>
          </w:tcPr>
          <w:p>
            <w:r>
              <w:t>0.7221</w:t>
            </w:r>
          </w:p>
        </w:tc>
        <w:tc>
          <w:tcPr>
            <w:tcW w:type="dxa" w:w="1632"/>
          </w:tcPr>
          <w:p>
            <w:r>
              <w:t>0.3390</w:t>
            </w:r>
          </w:p>
        </w:tc>
        <w:tc>
          <w:tcPr>
            <w:tcW w:type="dxa" w:w="1632"/>
          </w:tcPr>
          <w:p>
            <w:r>
              <w:t>0.1620</w:t>
            </w:r>
          </w:p>
        </w:tc>
        <w:tc>
          <w:tcPr>
            <w:tcW w:type="dxa" w:w="1632"/>
          </w:tcPr>
          <w:p>
            <w:r>
              <w:t>0.2193</w:t>
            </w:r>
          </w:p>
        </w:tc>
      </w:tr>
      <w:tr>
        <w:tc>
          <w:tcPr>
            <w:tcW w:type="dxa" w:w="1632"/>
          </w:tcPr>
          <w:p>
            <w:r>
              <w:t>Graph-Structural TEMF</w:t>
            </w:r>
          </w:p>
        </w:tc>
        <w:tc>
          <w:tcPr>
            <w:tcW w:type="dxa" w:w="1632"/>
          </w:tcPr>
          <w:p>
            <w:r>
              <w:t>0.1943</w:t>
            </w:r>
          </w:p>
        </w:tc>
        <w:tc>
          <w:tcPr>
            <w:tcW w:type="dxa" w:w="1632"/>
          </w:tcPr>
          <w:p>
            <w:r>
              <w:t>0.7501</w:t>
            </w:r>
          </w:p>
        </w:tc>
        <w:tc>
          <w:tcPr>
            <w:tcW w:type="dxa" w:w="1632"/>
          </w:tcPr>
          <w:p>
            <w:r>
              <w:t>0.2721</w:t>
            </w:r>
          </w:p>
        </w:tc>
        <w:tc>
          <w:tcPr>
            <w:tcW w:type="dxa" w:w="1632"/>
          </w:tcPr>
          <w:p>
            <w:r>
              <w:t>0.2355</w:t>
            </w:r>
          </w:p>
        </w:tc>
        <w:tc>
          <w:tcPr>
            <w:tcW w:type="dxa" w:w="1632"/>
          </w:tcPr>
          <w:p>
            <w:r>
              <w:t>0.2525</w:t>
            </w:r>
          </w:p>
        </w:tc>
      </w:tr>
      <w:tr>
        <w:tc>
          <w:tcPr>
            <w:tcW w:type="dxa" w:w="1632"/>
          </w:tcPr>
          <w:p>
            <w:r>
              <w:t>Neighbor-Memory TEMF</w:t>
            </w:r>
          </w:p>
        </w:tc>
        <w:tc>
          <w:tcPr>
            <w:tcW w:type="dxa" w:w="1632"/>
          </w:tcPr>
          <w:p>
            <w:r>
              <w:t>0.2103</w:t>
            </w:r>
          </w:p>
        </w:tc>
        <w:tc>
          <w:tcPr>
            <w:tcW w:type="dxa" w:w="1632"/>
          </w:tcPr>
          <w:p>
            <w:r>
              <w:t>0.8202</w:t>
            </w:r>
          </w:p>
        </w:tc>
        <w:tc>
          <w:tcPr>
            <w:tcW w:type="dxa" w:w="1632"/>
          </w:tcPr>
          <w:p>
            <w:r>
              <w:t>—</w:t>
            </w:r>
          </w:p>
        </w:tc>
        <w:tc>
          <w:tcPr>
            <w:tcW w:type="dxa" w:w="1632"/>
          </w:tcPr>
          <w:p>
            <w:r>
              <w:t>—</w:t>
            </w:r>
          </w:p>
        </w:tc>
        <w:tc>
          <w:tcPr>
            <w:tcW w:type="dxa" w:w="1632"/>
          </w:tcPr>
          <w:p>
            <w:r>
              <w:t>0.2666</w:t>
            </w:r>
          </w:p>
        </w:tc>
      </w:tr>
      <w:tr>
        <w:tc>
          <w:tcPr>
            <w:tcW w:type="dxa" w:w="1632"/>
          </w:tcPr>
          <w:p>
            <w:r>
              <w:t>Full Graph-Memory TEMF</w:t>
            </w:r>
          </w:p>
        </w:tc>
        <w:tc>
          <w:tcPr>
            <w:tcW w:type="dxa" w:w="1632"/>
          </w:tcPr>
          <w:p>
            <w:r>
              <w:t>0.2911</w:t>
            </w:r>
          </w:p>
        </w:tc>
        <w:tc>
          <w:tcPr>
            <w:tcW w:type="dxa" w:w="1632"/>
          </w:tcPr>
          <w:p>
            <w:r>
              <w:t>0.8299</w:t>
            </w:r>
          </w:p>
        </w:tc>
        <w:tc>
          <w:tcPr>
            <w:tcW w:type="dxa" w:w="1632"/>
          </w:tcPr>
          <w:p>
            <w:r>
              <w:t>—</w:t>
            </w:r>
          </w:p>
        </w:tc>
        <w:tc>
          <w:tcPr>
            <w:tcW w:type="dxa" w:w="1632"/>
          </w:tcPr>
          <w:p>
            <w:r>
              <w:t>—</w:t>
            </w:r>
          </w:p>
        </w:tc>
        <w:tc>
          <w:tcPr>
            <w:tcW w:type="dxa" w:w="1632"/>
          </w:tcPr>
          <w:p>
            <w:r>
              <w:t>0.2592</w:t>
            </w:r>
          </w:p>
        </w:tc>
      </w:tr>
      <w:tr>
        <w:tc>
          <w:tcPr>
            <w:tcW w:type="dxa" w:w="1632"/>
          </w:tcPr>
          <w:p>
            <w:r>
              <w:t>Strict Hub-Suppressed Graph Memory</w:t>
            </w:r>
          </w:p>
        </w:tc>
        <w:tc>
          <w:tcPr>
            <w:tcW w:type="dxa" w:w="1632"/>
          </w:tcPr>
          <w:p>
            <w:r>
              <w:t>0.2825</w:t>
            </w:r>
          </w:p>
        </w:tc>
        <w:tc>
          <w:tcPr>
            <w:tcW w:type="dxa" w:w="1632"/>
          </w:tcPr>
          <w:p>
            <w:r>
              <w:t>0.8184</w:t>
            </w:r>
          </w:p>
        </w:tc>
        <w:tc>
          <w:tcPr>
            <w:tcW w:type="dxa" w:w="1632"/>
          </w:tcPr>
          <w:p>
            <w:r>
              <w:t>0.4732</w:t>
            </w:r>
          </w:p>
        </w:tc>
        <w:tc>
          <w:tcPr>
            <w:tcW w:type="dxa" w:w="1632"/>
          </w:tcPr>
          <w:p>
            <w:r>
              <w:t>0.2185</w:t>
            </w:r>
          </w:p>
        </w:tc>
        <w:tc>
          <w:tcPr>
            <w:tcW w:type="dxa" w:w="1632"/>
          </w:tcPr>
          <w:p>
            <w:r>
              <w:t>0.2989</w:t>
            </w:r>
          </w:p>
        </w:tc>
      </w:tr>
    </w:tbl>
    <w:p>
      <w:r>
        <w:t>The full plain-mean graph-memory model nearly doubles PR-AUC relative to the matched temporal GRU baseline (0.1470 to 0.2911). The strict hub-suppressed model trades a small amount of PR-AUC for the strongest F1 (0.2989), while retaining substantial ranking performance.</w:t>
      </w:r>
    </w:p>
    <w:p>
      <w:pPr>
        <w:pStyle w:val="Heading2"/>
      </w:pPr>
      <w:r>
        <w:t>4.2 Counterfactual robustness to hubs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Aggregation</w:t>
            </w:r>
          </w:p>
        </w:tc>
        <w:tc>
          <w:tcPr>
            <w:tcW w:type="dxa" w:w="2448"/>
          </w:tcPr>
          <w:p>
            <w:r>
              <w:t>Top-1 share</w:t>
            </w:r>
          </w:p>
        </w:tc>
        <w:tc>
          <w:tcPr>
            <w:tcW w:type="dxa" w:w="2448"/>
          </w:tcPr>
          <w:p>
            <w:r>
              <w:t>Top-5 share</w:t>
            </w:r>
          </w:p>
        </w:tc>
        <w:tc>
          <w:tcPr>
            <w:tcW w:type="dxa" w:w="2448"/>
          </w:tcPr>
          <w:p>
            <w:r>
              <w:t>Top-10 share</w:t>
            </w:r>
          </w:p>
        </w:tc>
      </w:tr>
      <w:tr>
        <w:tc>
          <w:tcPr>
            <w:tcW w:type="dxa" w:w="2448"/>
          </w:tcPr>
          <w:p>
            <w:r>
              <w:t>Plain mean</w:t>
            </w:r>
          </w:p>
        </w:tc>
        <w:tc>
          <w:tcPr>
            <w:tcW w:type="dxa" w:w="2448"/>
          </w:tcPr>
          <w:p>
            <w:r>
              <w:t>23.9%</w:t>
            </w:r>
          </w:p>
        </w:tc>
        <w:tc>
          <w:tcPr>
            <w:tcW w:type="dxa" w:w="2448"/>
          </w:tcPr>
          <w:p>
            <w:r>
              <w:t>46.0%</w:t>
            </w:r>
          </w:p>
        </w:tc>
        <w:tc>
          <w:tcPr>
            <w:tcW w:type="dxa" w:w="2448"/>
          </w:tcPr>
          <w:p>
            <w:r>
              <w:t>57.0%</w:t>
            </w:r>
          </w:p>
        </w:tc>
      </w:tr>
      <w:tr>
        <w:tc>
          <w:tcPr>
            <w:tcW w:type="dxa" w:w="2448"/>
          </w:tcPr>
          <w:p>
            <w:r>
              <w:t>Strict hub-suppressed</w:t>
            </w:r>
          </w:p>
        </w:tc>
        <w:tc>
          <w:tcPr>
            <w:tcW w:type="dxa" w:w="2448"/>
          </w:tcPr>
          <w:p>
            <w:r>
              <w:t>10.3%</w:t>
            </w:r>
          </w:p>
        </w:tc>
        <w:tc>
          <w:tcPr>
            <w:tcW w:type="dxa" w:w="2448"/>
          </w:tcPr>
          <w:p>
            <w:r>
              <w:t>35.0%</w:t>
            </w:r>
          </w:p>
        </w:tc>
        <w:tc>
          <w:tcPr>
            <w:tcW w:type="dxa" w:w="2448"/>
          </w:tcPr>
          <w:p>
            <w:r>
              <w:t>45.2%</w:t>
            </w:r>
          </w:p>
        </w:tc>
      </w:tr>
    </w:tbl>
    <w:p>
      <w:r>
        <w:t>Hub suppression reduces concentration of explanation mass without eliminating relationship-level effects. This addresses the concern that counterfactual explanations merely rediscover a small number of highly connected wallets.</w:t>
      </w:r>
    </w:p>
    <w:p>
      <w:pPr>
        <w:pStyle w:val="Heading2"/>
      </w:pPr>
      <w:r>
        <w:t>4.3 Historical relationship interventions</w:t>
      </w:r>
    </w:p>
    <w:p>
      <w:r>
        <w:t>The matched hub-robust analysis contains 328 test targets (164 illicit and 164 licit) and 578 single-relationship historical interventions. For illicit targets, mean absolute probability change is 0.0917 (bootstrap 95% CI 0.0750–0.1096); for licit targets it is 0.0502 (95% CI 0.0361–0.0660). At the target level, 7.9% of illicit wallets have at least one relationship whose historical removal flips the final classification under the hub-suppressed model.</w:t>
      </w:r>
    </w:p>
    <w:p>
      <w:r>
        <w:t>Large individual effects remain after hub suppression. In one illicit example, removing one historical relationship changes predicted illicit probability from 0.5804 to 0.0596, a counterfactual effect of +0.5208. These examples demonstrate model sensitivity to specific historical relationships, but should not be interpreted as evidence that the relationship caused illicit behavior.</w:t>
      </w:r>
    </w:p>
    <w:p>
      <w:pPr>
        <w:pStyle w:val="Heading1"/>
      </w:pPr>
      <w:r>
        <w:t>5. Interpretation</w:t>
      </w:r>
    </w:p>
    <w:p>
      <w:r>
        <w:t>The experiments support three distinct conclusions. First, graph context adds predictive information beyond entity-only temporal memory. Second, historical neighbor behavior contributes information beyond static graph structure. Third, relationship-level counterfactual effects remain substantial after explicit suppression of hub influence. The resulting explanations are directional: positive effects indicate relationships that support the model's fraud assessment, while negative effects indicate relationships that reduce it.</w:t>
      </w:r>
    </w:p>
    <w:p>
      <w:pPr>
        <w:pStyle w:val="Heading1"/>
      </w:pPr>
      <w:r>
        <w:t>6. Limitations and Threats to Validity</w:t>
      </w:r>
    </w:p>
    <w:p>
      <w:pPr>
        <w:pStyle w:val="ListBullet"/>
      </w:pPr>
      <w:r>
        <w:t>The strongest graph-memory and hub-robust results currently use a single training seed; multi-seed robustness is still required for the final paper.</w:t>
      </w:r>
    </w:p>
    <w:p>
      <w:pPr>
        <w:pStyle w:val="ListBullet"/>
      </w:pPr>
      <w:r>
        <w:t>Counterfactual interventions measure sensitivity of the trained model, not real-world causal effects.</w:t>
      </w:r>
    </w:p>
    <w:p>
      <w:pPr>
        <w:pStyle w:val="ListBullet"/>
      </w:pPr>
      <w:r>
        <w:t>The first graph-memory implementation aggregates only labeled-to-labeled AddrAddr relationships and a compact subset of transformed behavioral dimensions.</w:t>
      </w:r>
    </w:p>
    <w:p>
      <w:pPr>
        <w:pStyle w:val="ListBullet"/>
      </w:pPr>
      <w:r>
        <w:t>Historical interventions remove a neighbor's contribution to the target's relational memory but do not simulate how the entire blockchain ecosystem would evolve if that relationship had never existed.</w:t>
      </w:r>
    </w:p>
    <w:p>
      <w:pPr>
        <w:pStyle w:val="ListBullet"/>
      </w:pPr>
      <w:r>
        <w:t>Threshold-based F1 depends on validation threshold selection; ranking metrics and operating-point metrics should both be reported.</w:t>
      </w:r>
    </w:p>
    <w:p>
      <w:pPr>
        <w:pStyle w:val="ListBullet"/>
      </w:pPr>
      <w:r>
        <w:t>The current manuscript draft intentionally does not claim literature novelty until a formal related-work search is completed.</w:t>
      </w:r>
    </w:p>
    <w:p>
      <w:pPr>
        <w:pStyle w:val="Heading1"/>
      </w:pPr>
      <w:r>
        <w:t>7. Essential Experiments Before Submission</w:t>
      </w:r>
    </w:p>
    <w:p>
      <w:pPr>
        <w:pStyle w:val="ListNumber"/>
      </w:pPr>
      <w:r>
        <w:t>Run Full Graph-Memory and Strict Hub-Suppressed Graph Memory across at least five random seeds using the locked chronological protocol.</w:t>
      </w:r>
    </w:p>
    <w:p>
      <w:pPr>
        <w:pStyle w:val="ListNumber"/>
      </w:pPr>
      <w:r>
        <w:t>Compute paired uncertainty/significance for PR-AUC, ROC-AUC, and F1 across seeds; retain bootstrap confidence intervals for relationship effects.</w:t>
      </w:r>
    </w:p>
    <w:p>
      <w:pPr>
        <w:pStyle w:val="ListNumber"/>
      </w:pPr>
      <w:r>
        <w:t>Run a no-neighbor-memory ablation and a no-graph-structure ablation under the same final training budget.</w:t>
      </w:r>
    </w:p>
    <w:p>
      <w:pPr>
        <w:pStyle w:val="ListNumber"/>
      </w:pPr>
      <w:r>
        <w:t>Repeat the counterfactual analysis on the final selected model and report effect distributions, decision-flip rates, and concentration diagnostics.</w:t>
      </w:r>
    </w:p>
    <w:p>
      <w:pPr>
        <w:pStyle w:val="ListNumber"/>
      </w:pPr>
      <w:r>
        <w:t>Perform a formal literature search to position Temporal Fraud Memory and Historical Counterfactual Fraud Networks against temporal GNN, fraud explanation, and graph counterfactual work.</w:t>
      </w:r>
    </w:p>
    <w:p>
      <w:pPr>
        <w:pStyle w:val="Heading1"/>
      </w:pPr>
      <w:r>
        <w:t>8. Working Claim</w:t>
      </w:r>
    </w:p>
    <w:p>
      <w:r>
        <w:t>Graph-aware temporal memory improves fraud detection by combining an entity's evolving behavior with strictly prior relational context, while historical relationship interventions provide model-level counterfactual explanations that identify which connections increase or decrease the model's fraud assessment. These explanations persist under degree-based hub suppression, indicating that the observed effects are not solely artifacts of highly connected nodes.</w:t>
      </w:r>
    </w:p>
    <w:p>
      <w:pPr>
        <w:pStyle w:val="Heading1"/>
      </w:pPr>
      <w:r>
        <w:t>9. Related Work and References</w:t>
      </w:r>
    </w:p>
    <w:p>
      <w:r>
        <w:t>To be completed after a formal literature review. No claim that the method is the first of its kind should be made until this search is complete.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