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Step 3: Bare-Metal Vector Database Containerization</w:t>
      </w:r>
    </w:p>
    <w:p>
      <w:pPr>
        <w:spacing w:after="300"/>
      </w:pPr>
      <w:r>
        <w:rPr>
          <w:i/>
          <w:iCs/>
          <w:color w:val="666666"/>
        </w:rPr>
        <w:t xml:space="preserve">12-Step RAG/Agent Capstone — Implementation Walkthrough</w:t>
      </w:r>
    </w:p>
    <w:p>
      <w:pPr>
        <w:pStyle w:val="Heading2"/>
      </w:pPr>
      <w:r>
        <w:t xml:space="preserve">Concept</w:t>
      </w:r>
    </w:p>
    <w:p>
      <w:pPr>
        <w:spacing w:after="200"/>
      </w:pPr>
      <w:r>
        <w:t xml:space="preserve">Qdrant is run via docker-compose with an explicit collection schema: HNSW index (m=16, ef_construct=200), COSINE distance, and a keyword payload index on `source` so filtered search ('only inside handbook.pdf') stays inside the index rather than post-filtering results.</w:t>
      </w:r>
    </w:p>
    <w:p>
      <w:pPr>
        <w:pStyle w:val="Heading2"/>
      </w:pPr>
      <w:r>
        <w:t xml:space="preserve">What was built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HNSW in one paragraph: a layered proximity graph. Search enters at a sparse top layer, greedily walks toward the query, and descends layers, so query cost grows roughly with log(N) instead of N; `ef` trades recall for speed.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Collections are named with the embedding dimension baked in (e.g. docs_384), so switching embedding models can never silently corrupt an existing index.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`timed_search()` measures round-trip latency; against the in-memory demo the API layer round-trip is sub-millisecond, matching the goal of 'sub-millisecond similarity searches' at small scale.</w:t>
      </w:r>
    </w:p>
    <w:p>
      <w:pPr>
        <w:pStyle w:val="Heading2"/>
        <w:spacing w:before="200"/>
      </w:pPr>
      <w:r>
        <w:t xml:space="preserve">Key files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src/genai_platform/vectorstore/qdrant_store.py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docker-compose.yml</w:t>
      </w:r>
    </w:p>
    <w:p>
      <w:pPr>
        <w:pStyle w:val="Heading2"/>
        <w:spacing w:before="200"/>
      </w:pPr>
      <w:r>
        <w:t xml:space="preserve">Run this step</w:t>
      </w:r>
    </w:p>
    <w:p>
      <w:pPr>
        <w:pBdr>
          <w:top w:val="single" w:color="CCCCCC" w:sz="4"/>
          <w:bottom w:val="single" w:color="CCCCCC" w:sz="4"/>
        </w:pBd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docker compose --profile core up -d qdrant  &amp;&amp;  python steps/step03_qdrant_setup.py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2026-09-29T01:56:03.304Z</dcterms:created>
  <dcterms:modified xsi:type="dcterms:W3CDTF">2026-09-29T01:56:03.304Z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