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24"/>
        </w:rPr>
        <w:t>INTELLISURE</w:t>
      </w:r>
    </w:p>
    <w:p>
      <w:pPr>
        <w:jc w:val="center"/>
      </w:pPr>
      <w:r>
        <w:rPr>
          <w:b/>
          <w:sz w:val="56"/>
        </w:rPr>
        <w:t>Full Insurance Lifecycle</w:t>
        <w:br/>
        <w:t>Business Test Cases</w:t>
      </w:r>
    </w:p>
    <w:p>
      <w:pPr>
        <w:jc w:val="center"/>
      </w:pPr>
      <w:r>
        <w:rPr>
          <w:sz w:val="26"/>
        </w:rPr>
        <w:t>3 end-to-end business flows | Technical implementation intentionally excluded</w:t>
      </w:r>
    </w:p>
    <w:p>
      <w:pPr>
        <w:jc w:val="center"/>
      </w:pPr>
      <w:r>
        <w:rPr>
          <w:sz w:val="22"/>
        </w:rPr>
        <w:t>Business scope: Small-business commercial Property &amp; Casualty insurance</w:t>
      </w:r>
    </w:p>
    <w:p/>
    <w:tbl>
      <w:tblPr>
        <w:tblStyle w:val="TableGrid"/>
        <w:tblW w:type="auto" w:w="0"/>
        <w:jc w:val="center"/>
        <w:tblLook w:firstColumn="1" w:firstRow="1" w:lastColumn="0" w:lastRow="0" w:noHBand="0" w:noVBand="1" w:val="04A0"/>
      </w:tblPr>
      <w:tblGrid>
        <w:gridCol w:w="15264"/>
      </w:tblGrid>
      <w:tr>
        <w:tc>
          <w:tcPr>
            <w:tcW w:type="dxa" w:w="15264"/>
            <w:shd w:fill="EAF2F8"/>
          </w:tcPr>
          <w:p>
            <w:r/>
            <w:r>
              <w:rPr>
                <w:b/>
                <w:sz w:val="21"/>
              </w:rPr>
              <w:t>PURPOSE</w:t>
              <w:br/>
            </w:r>
            <w:r>
              <w:rPr>
                <w:sz w:val="18"/>
              </w:rPr>
              <w:t>Validate that IntelliSure behaves as an insurance lifecycle platform rather than a collection of CRUD screens. Each test case verifies a business state transition, authority boundary, evidence requirement, or operational outcome.</w:t>
            </w:r>
          </w:p>
        </w:tc>
      </w:tr>
    </w:tbl>
    <w:p>
      <w:pPr>
        <w:spacing w:after="0"/>
      </w:pPr>
    </w:p>
    <w:p>
      <w:pPr>
        <w:pStyle w:val="Heading1"/>
        <w:keepNext/>
      </w:pPr>
      <w:r>
        <w:t>1. Test Strategy</w:t>
      </w:r>
    </w:p>
    <w:p>
      <w:pPr>
        <w:pStyle w:val="ListBullet"/>
        <w:spacing w:after="20"/>
      </w:pPr>
      <w:r>
        <w:t>These tests use the business vocabulary and lifecycle defined in the IntelliSure Insurance Lifecycle Business Blueprint and Microservice Business Definitions.</w:t>
      </w:r>
    </w:p>
    <w:p>
      <w:pPr>
        <w:pStyle w:val="ListBullet"/>
        <w:spacing w:after="20"/>
      </w:pPr>
      <w:r>
        <w:t>The three flows are intentionally different: a clean new-business cycle, a mid-term-loss/recovery cycle, and an exception/referral/non-renewal cycle.</w:t>
      </w:r>
    </w:p>
    <w:p>
      <w:pPr>
        <w:pStyle w:val="ListBullet"/>
        <w:spacing w:after="20"/>
      </w:pPr>
      <w:r>
        <w:t>AI/Analytics is excluded from pass/fail dependency. Where analytics could exist, the human business authority remains the decision-maker.</w:t>
      </w:r>
    </w:p>
    <w:p>
      <w:pPr>
        <w:pStyle w:val="ListBullet"/>
        <w:spacing w:after="20"/>
      </w:pPr>
      <w:r>
        <w:t>A test passes only when the stated business outcome occurs and the responsible role remains the authorized owner of the decision.</w:t>
      </w:r>
    </w:p>
    <w:p>
      <w:pPr>
        <w:pStyle w:val="ListBullet"/>
        <w:spacing w:after="20"/>
      </w:pPr>
      <w:r>
        <w:t>Exact regulatory timing, cancellation rules, payment rails and product wording vary by jurisdiction and product; these are IntelliSure target business behaviors, not universal legal rules.</w:t>
      </w:r>
    </w:p>
    <w:p>
      <w:pPr>
        <w:pStyle w:val="Heading1"/>
        <w:keepNext/>
      </w:pPr>
      <w:r>
        <w:t>2. Lifecycle Model Under Test</w:t>
      </w:r>
    </w:p>
    <w:tbl>
      <w:tblPr>
        <w:tblStyle w:val="TableGrid"/>
        <w:tblW w:type="auto" w:w="0"/>
        <w:jc w:val="center"/>
        <w:tblLook w:firstColumn="1" w:firstRow="1" w:lastColumn="0" w:lastRow="0" w:noHBand="0" w:noVBand="1" w:val="04A0"/>
      </w:tblPr>
      <w:tblGrid>
        <w:gridCol w:w="5088"/>
        <w:gridCol w:w="5088"/>
        <w:gridCol w:w="5088"/>
      </w:tblGrid>
      <w:tr>
        <w:trPr>
          <w:tblHeader w:val="true"/>
        </w:trPr>
        <w:tc>
          <w:tcPr>
            <w:tcW w:type="dxa" w:w="1944"/>
            <w:vAlign w:val="top"/>
            <w:shd w:fill="17365D"/>
          </w:tcPr>
          <w:p>
            <w:pPr>
              <w:pStyle w:val="TableText"/>
            </w:pPr>
            <w:r>
              <w:rPr>
                <w:color w:val="FFFFFF"/>
              </w:rPr>
            </w:r>
            <w:r>
              <w:rPr>
                <w:b/>
                <w:color w:val="FFFFFF"/>
                <w:sz w:val="16"/>
              </w:rPr>
              <w:t>Stage</w:t>
            </w:r>
          </w:p>
        </w:tc>
        <w:tc>
          <w:tcPr>
            <w:tcW w:type="dxa" w:w="9936"/>
            <w:vAlign w:val="top"/>
            <w:shd w:fill="17365D"/>
          </w:tcPr>
          <w:p>
            <w:pPr>
              <w:pStyle w:val="TableText"/>
            </w:pPr>
            <w:r>
              <w:rPr>
                <w:color w:val="FFFFFF"/>
              </w:rPr>
            </w:r>
            <w:r>
              <w:rPr>
                <w:b/>
                <w:color w:val="FFFFFF"/>
                <w:sz w:val="16"/>
              </w:rPr>
              <w:t>Business meaning</w:t>
            </w:r>
          </w:p>
        </w:tc>
        <w:tc>
          <w:tcPr>
            <w:tcW w:type="dxa" w:w="4032"/>
            <w:vAlign w:val="top"/>
            <w:shd w:fill="17365D"/>
          </w:tcPr>
          <w:p>
            <w:pPr>
              <w:pStyle w:val="TableText"/>
            </w:pPr>
            <w:r>
              <w:rPr>
                <w:color w:val="FFFFFF"/>
              </w:rPr>
            </w:r>
            <w:r>
              <w:rPr>
                <w:b/>
                <w:color w:val="FFFFFF"/>
                <w:sz w:val="16"/>
              </w:rPr>
              <w:t>Primary owner</w:t>
            </w:r>
          </w:p>
        </w:tc>
      </w:tr>
      <w:tr>
        <w:tc>
          <w:tcPr>
            <w:tcW w:type="dxa" w:w="1944"/>
            <w:vAlign w:val="top"/>
          </w:tcPr>
          <w:p>
            <w:pPr>
              <w:pStyle w:val="TableText"/>
            </w:pPr>
            <w:r/>
            <w:r>
              <w:rPr>
                <w:b w:val="0"/>
                <w:sz w:val="16"/>
              </w:rPr>
              <w:t>0 Need / prospect</w:t>
            </w:r>
          </w:p>
        </w:tc>
        <w:tc>
          <w:tcPr>
            <w:tcW w:type="dxa" w:w="9936"/>
            <w:vAlign w:val="top"/>
          </w:tcPr>
          <w:p>
            <w:pPr>
              <w:pStyle w:val="TableText"/>
            </w:pPr>
            <w:r/>
            <w:r>
              <w:rPr>
                <w:b w:val="0"/>
                <w:sz w:val="16"/>
              </w:rPr>
              <w:t>Business recognizes an insurance need.</w:t>
            </w:r>
          </w:p>
        </w:tc>
        <w:tc>
          <w:tcPr>
            <w:tcW w:type="dxa" w:w="4032"/>
            <w:vAlign w:val="top"/>
          </w:tcPr>
          <w:p>
            <w:pPr>
              <w:pStyle w:val="TableText"/>
            </w:pPr>
            <w:r/>
            <w:r>
              <w:rPr>
                <w:b w:val="0"/>
                <w:sz w:val="16"/>
              </w:rPr>
              <w:t>Policyholder</w:t>
            </w:r>
          </w:p>
        </w:tc>
      </w:tr>
      <w:tr>
        <w:tc>
          <w:tcPr>
            <w:tcW w:type="dxa" w:w="1944"/>
            <w:vAlign w:val="top"/>
            <w:shd w:fill="F2F6FA"/>
          </w:tcPr>
          <w:p>
            <w:pPr>
              <w:pStyle w:val="TableText"/>
            </w:pPr>
            <w:r/>
            <w:r>
              <w:rPr>
                <w:b w:val="0"/>
                <w:sz w:val="16"/>
              </w:rPr>
              <w:t>1 Customer / business profile</w:t>
            </w:r>
          </w:p>
        </w:tc>
        <w:tc>
          <w:tcPr>
            <w:tcW w:type="dxa" w:w="9936"/>
            <w:vAlign w:val="top"/>
            <w:shd w:fill="F2F6FA"/>
          </w:tcPr>
          <w:p>
            <w:pPr>
              <w:pStyle w:val="TableText"/>
            </w:pPr>
            <w:r/>
            <w:r>
              <w:rPr>
                <w:b w:val="0"/>
                <w:sz w:val="16"/>
              </w:rPr>
              <w:t>Who is the party and what business does it represent?</w:t>
            </w:r>
          </w:p>
        </w:tc>
        <w:tc>
          <w:tcPr>
            <w:tcW w:type="dxa" w:w="4032"/>
            <w:vAlign w:val="top"/>
            <w:shd w:fill="F2F6FA"/>
          </w:tcPr>
          <w:p>
            <w:pPr>
              <w:pStyle w:val="TableText"/>
            </w:pPr>
            <w:r/>
            <w:r>
              <w:rPr>
                <w:b w:val="0"/>
                <w:sz w:val="16"/>
              </w:rPr>
              <w:t>Customer &amp; Party</w:t>
            </w:r>
          </w:p>
        </w:tc>
      </w:tr>
      <w:tr>
        <w:tc>
          <w:tcPr>
            <w:tcW w:type="dxa" w:w="1944"/>
            <w:vAlign w:val="top"/>
          </w:tcPr>
          <w:p>
            <w:pPr>
              <w:pStyle w:val="TableText"/>
            </w:pPr>
            <w:r/>
            <w:r>
              <w:rPr>
                <w:b w:val="0"/>
                <w:sz w:val="16"/>
              </w:rPr>
              <w:t>2 Coverage need / application</w:t>
            </w:r>
          </w:p>
        </w:tc>
        <w:tc>
          <w:tcPr>
            <w:tcW w:type="dxa" w:w="9936"/>
            <w:vAlign w:val="top"/>
          </w:tcPr>
          <w:p>
            <w:pPr>
              <w:pStyle w:val="TableText"/>
            </w:pPr>
            <w:r/>
            <w:r>
              <w:rPr>
                <w:b w:val="0"/>
                <w:sz w:val="16"/>
              </w:rPr>
              <w:t>Desired protection, effective date, limits, deductibles and insurance need are captured.</w:t>
            </w:r>
          </w:p>
        </w:tc>
        <w:tc>
          <w:tcPr>
            <w:tcW w:type="dxa" w:w="4032"/>
            <w:vAlign w:val="top"/>
          </w:tcPr>
          <w:p>
            <w:pPr>
              <w:pStyle w:val="TableText"/>
            </w:pPr>
            <w:r/>
            <w:r>
              <w:rPr>
                <w:b w:val="0"/>
                <w:sz w:val="16"/>
              </w:rPr>
              <w:t>Policyholder / Quote &amp; Policy</w:t>
            </w:r>
          </w:p>
        </w:tc>
      </w:tr>
      <w:tr>
        <w:tc>
          <w:tcPr>
            <w:tcW w:type="dxa" w:w="1944"/>
            <w:vAlign w:val="top"/>
            <w:shd w:fill="F2F6FA"/>
          </w:tcPr>
          <w:p>
            <w:pPr>
              <w:pStyle w:val="TableText"/>
            </w:pPr>
            <w:r/>
            <w:r>
              <w:rPr>
                <w:b w:val="0"/>
                <w:sz w:val="16"/>
              </w:rPr>
              <w:t>3 Submission / intake</w:t>
            </w:r>
          </w:p>
        </w:tc>
        <w:tc>
          <w:tcPr>
            <w:tcW w:type="dxa" w:w="9936"/>
            <w:vAlign w:val="top"/>
            <w:shd w:fill="F2F6FA"/>
          </w:tcPr>
          <w:p>
            <w:pPr>
              <w:pStyle w:val="TableText"/>
            </w:pPr>
            <w:r/>
            <w:r>
              <w:rPr>
                <w:b w:val="0"/>
                <w:sz w:val="16"/>
              </w:rPr>
              <w:t>Completed information is submitted to the insurer.</w:t>
            </w:r>
          </w:p>
        </w:tc>
        <w:tc>
          <w:tcPr>
            <w:tcW w:type="dxa" w:w="4032"/>
            <w:vAlign w:val="top"/>
            <w:shd w:fill="F2F6FA"/>
          </w:tcPr>
          <w:p>
            <w:pPr>
              <w:pStyle w:val="TableText"/>
            </w:pPr>
            <w:r/>
            <w:r>
              <w:rPr>
                <w:b w:val="0"/>
                <w:sz w:val="16"/>
              </w:rPr>
              <w:t>Quote &amp; Policy / Workflow</w:t>
            </w:r>
          </w:p>
        </w:tc>
      </w:tr>
      <w:tr>
        <w:tc>
          <w:tcPr>
            <w:tcW w:type="dxa" w:w="1944"/>
            <w:vAlign w:val="top"/>
          </w:tcPr>
          <w:p>
            <w:pPr>
              <w:pStyle w:val="TableText"/>
            </w:pPr>
            <w:r/>
            <w:r>
              <w:rPr>
                <w:b w:val="0"/>
                <w:sz w:val="16"/>
              </w:rPr>
              <w:t>4 Triage / appetite</w:t>
            </w:r>
          </w:p>
        </w:tc>
        <w:tc>
          <w:tcPr>
            <w:tcW w:type="dxa" w:w="9936"/>
            <w:vAlign w:val="top"/>
          </w:tcPr>
          <w:p>
            <w:pPr>
              <w:pStyle w:val="TableText"/>
            </w:pPr>
            <w:r/>
            <w:r>
              <w:rPr>
                <w:b w:val="0"/>
                <w:sz w:val="16"/>
              </w:rPr>
              <w:t>Completeness, eligibility, routing and appetite are checked.</w:t>
            </w:r>
          </w:p>
        </w:tc>
        <w:tc>
          <w:tcPr>
            <w:tcW w:type="dxa" w:w="4032"/>
            <w:vAlign w:val="top"/>
          </w:tcPr>
          <w:p>
            <w:pPr>
              <w:pStyle w:val="TableText"/>
            </w:pPr>
            <w:r/>
            <w:r>
              <w:rPr>
                <w:b w:val="0"/>
                <w:sz w:val="16"/>
              </w:rPr>
              <w:t>Workflow / Risk &amp; Underwriting</w:t>
            </w:r>
          </w:p>
        </w:tc>
      </w:tr>
      <w:tr>
        <w:tc>
          <w:tcPr>
            <w:tcW w:type="dxa" w:w="1944"/>
            <w:vAlign w:val="top"/>
            <w:shd w:fill="F2F6FA"/>
          </w:tcPr>
          <w:p>
            <w:pPr>
              <w:pStyle w:val="TableText"/>
            </w:pPr>
            <w:r/>
            <w:r>
              <w:rPr>
                <w:b w:val="0"/>
                <w:sz w:val="16"/>
              </w:rPr>
              <w:t>5 Underwriting / risk</w:t>
            </w:r>
          </w:p>
        </w:tc>
        <w:tc>
          <w:tcPr>
            <w:tcW w:type="dxa" w:w="9936"/>
            <w:vAlign w:val="top"/>
            <w:shd w:fill="F2F6FA"/>
          </w:tcPr>
          <w:p>
            <w:pPr>
              <w:pStyle w:val="TableText"/>
            </w:pPr>
            <w:r/>
            <w:r>
              <w:rPr>
                <w:b w:val="0"/>
                <w:sz w:val="16"/>
              </w:rPr>
              <w:t>Risk, hazards, controls, loss history and required conditions are evaluated.</w:t>
            </w:r>
          </w:p>
        </w:tc>
        <w:tc>
          <w:tcPr>
            <w:tcW w:type="dxa" w:w="4032"/>
            <w:vAlign w:val="top"/>
            <w:shd w:fill="F2F6FA"/>
          </w:tcPr>
          <w:p>
            <w:pPr>
              <w:pStyle w:val="TableText"/>
            </w:pPr>
            <w:r/>
            <w:r>
              <w:rPr>
                <w:b w:val="0"/>
                <w:sz w:val="16"/>
              </w:rPr>
              <w:t>Risk &amp; Underwriting</w:t>
            </w:r>
          </w:p>
        </w:tc>
      </w:tr>
      <w:tr>
        <w:tc>
          <w:tcPr>
            <w:tcW w:type="dxa" w:w="1944"/>
            <w:vAlign w:val="top"/>
          </w:tcPr>
          <w:p>
            <w:pPr>
              <w:pStyle w:val="TableText"/>
            </w:pPr>
            <w:r/>
            <w:r>
              <w:rPr>
                <w:b w:val="0"/>
                <w:sz w:val="16"/>
              </w:rPr>
              <w:t>6 Risk engineering</w:t>
            </w:r>
          </w:p>
        </w:tc>
        <w:tc>
          <w:tcPr>
            <w:tcW w:type="dxa" w:w="9936"/>
            <w:vAlign w:val="top"/>
          </w:tcPr>
          <w:p>
            <w:pPr>
              <w:pStyle w:val="TableText"/>
            </w:pPr>
            <w:r/>
            <w:r>
              <w:rPr>
                <w:b w:val="0"/>
                <w:sz w:val="16"/>
              </w:rPr>
              <w:t>Specialist inspection/findings/recommendations where warranted.</w:t>
            </w:r>
          </w:p>
        </w:tc>
        <w:tc>
          <w:tcPr>
            <w:tcW w:type="dxa" w:w="4032"/>
            <w:vAlign w:val="top"/>
          </w:tcPr>
          <w:p>
            <w:pPr>
              <w:pStyle w:val="TableText"/>
            </w:pPr>
            <w:r/>
            <w:r>
              <w:rPr>
                <w:b w:val="0"/>
                <w:sz w:val="16"/>
              </w:rPr>
              <w:t>Risk Engineer</w:t>
            </w:r>
          </w:p>
        </w:tc>
      </w:tr>
      <w:tr>
        <w:tc>
          <w:tcPr>
            <w:tcW w:type="dxa" w:w="1944"/>
            <w:vAlign w:val="top"/>
            <w:shd w:fill="F2F6FA"/>
          </w:tcPr>
          <w:p>
            <w:pPr>
              <w:pStyle w:val="TableText"/>
            </w:pPr>
            <w:r/>
            <w:r>
              <w:rPr>
                <w:b w:val="0"/>
                <w:sz w:val="16"/>
              </w:rPr>
              <w:t>7 Pricing / terms</w:t>
            </w:r>
          </w:p>
        </w:tc>
        <w:tc>
          <w:tcPr>
            <w:tcW w:type="dxa" w:w="9936"/>
            <w:vAlign w:val="top"/>
            <w:shd w:fill="F2F6FA"/>
          </w:tcPr>
          <w:p>
            <w:pPr>
              <w:pStyle w:val="TableText"/>
            </w:pPr>
            <w:r/>
            <w:r>
              <w:rPr>
                <w:b w:val="0"/>
                <w:sz w:val="16"/>
              </w:rPr>
              <w:t>Coverage structure, limits, deductibles, premium and conditions are determined.</w:t>
            </w:r>
          </w:p>
        </w:tc>
        <w:tc>
          <w:tcPr>
            <w:tcW w:type="dxa" w:w="4032"/>
            <w:vAlign w:val="top"/>
            <w:shd w:fill="F2F6FA"/>
          </w:tcPr>
          <w:p>
            <w:pPr>
              <w:pStyle w:val="TableText"/>
            </w:pPr>
            <w:r/>
            <w:r>
              <w:rPr>
                <w:b w:val="0"/>
                <w:sz w:val="16"/>
              </w:rPr>
              <w:t>Underwriter / Quote &amp; Policy</w:t>
            </w:r>
          </w:p>
        </w:tc>
      </w:tr>
      <w:tr>
        <w:tc>
          <w:tcPr>
            <w:tcW w:type="dxa" w:w="1944"/>
            <w:vAlign w:val="top"/>
          </w:tcPr>
          <w:p>
            <w:pPr>
              <w:pStyle w:val="TableText"/>
            </w:pPr>
            <w:r/>
            <w:r>
              <w:rPr>
                <w:b w:val="0"/>
                <w:sz w:val="16"/>
              </w:rPr>
              <w:t>8 Quote / terms offered</w:t>
            </w:r>
          </w:p>
        </w:tc>
        <w:tc>
          <w:tcPr>
            <w:tcW w:type="dxa" w:w="9936"/>
            <w:vAlign w:val="top"/>
          </w:tcPr>
          <w:p>
            <w:pPr>
              <w:pStyle w:val="TableText"/>
            </w:pPr>
            <w:r/>
            <w:r>
              <w:rPr>
                <w:b w:val="0"/>
                <w:sz w:val="16"/>
              </w:rPr>
              <w:t>Insurer provides proposed terms with validity/requirements.</w:t>
            </w:r>
          </w:p>
        </w:tc>
        <w:tc>
          <w:tcPr>
            <w:tcW w:type="dxa" w:w="4032"/>
            <w:vAlign w:val="top"/>
          </w:tcPr>
          <w:p>
            <w:pPr>
              <w:pStyle w:val="TableText"/>
            </w:pPr>
            <w:r/>
            <w:r>
              <w:rPr>
                <w:b w:val="0"/>
                <w:sz w:val="16"/>
              </w:rPr>
              <w:t>Quote &amp; Policy</w:t>
            </w:r>
          </w:p>
        </w:tc>
      </w:tr>
      <w:tr>
        <w:tc>
          <w:tcPr>
            <w:tcW w:type="dxa" w:w="1944"/>
            <w:vAlign w:val="top"/>
            <w:shd w:fill="F2F6FA"/>
          </w:tcPr>
          <w:p>
            <w:pPr>
              <w:pStyle w:val="TableText"/>
            </w:pPr>
            <w:r/>
            <w:r>
              <w:rPr>
                <w:b w:val="0"/>
                <w:sz w:val="16"/>
              </w:rPr>
              <w:t>9 Customer acceptance</w:t>
            </w:r>
          </w:p>
        </w:tc>
        <w:tc>
          <w:tcPr>
            <w:tcW w:type="dxa" w:w="9936"/>
            <w:vAlign w:val="top"/>
            <w:shd w:fill="F2F6FA"/>
          </w:tcPr>
          <w:p>
            <w:pPr>
              <w:pStyle w:val="TableText"/>
            </w:pPr>
            <w:r/>
            <w:r>
              <w:rPr>
                <w:b w:val="0"/>
                <w:sz w:val="16"/>
              </w:rPr>
              <w:t>Customer accepts, requests changes, declines or lets terms expire.</w:t>
            </w:r>
          </w:p>
        </w:tc>
        <w:tc>
          <w:tcPr>
            <w:tcW w:type="dxa" w:w="4032"/>
            <w:vAlign w:val="top"/>
            <w:shd w:fill="F2F6FA"/>
          </w:tcPr>
          <w:p>
            <w:pPr>
              <w:pStyle w:val="TableText"/>
            </w:pPr>
            <w:r/>
            <w:r>
              <w:rPr>
                <w:b w:val="0"/>
                <w:sz w:val="16"/>
              </w:rPr>
              <w:t>Policyholder</w:t>
            </w:r>
          </w:p>
        </w:tc>
      </w:tr>
      <w:tr>
        <w:tc>
          <w:tcPr>
            <w:tcW w:type="dxa" w:w="1944"/>
            <w:vAlign w:val="top"/>
          </w:tcPr>
          <w:p>
            <w:pPr>
              <w:pStyle w:val="TableText"/>
            </w:pPr>
            <w:r/>
            <w:r>
              <w:rPr>
                <w:b w:val="0"/>
                <w:sz w:val="16"/>
              </w:rPr>
              <w:t>10 Bind</w:t>
            </w:r>
          </w:p>
        </w:tc>
        <w:tc>
          <w:tcPr>
            <w:tcW w:type="dxa" w:w="9936"/>
            <w:vAlign w:val="top"/>
          </w:tcPr>
          <w:p>
            <w:pPr>
              <w:pStyle w:val="TableText"/>
            </w:pPr>
            <w:r/>
            <w:r>
              <w:rPr>
                <w:b w:val="0"/>
                <w:sz w:val="16"/>
              </w:rPr>
              <w:t>Authorized coverage is bound after required conditions.</w:t>
            </w:r>
          </w:p>
        </w:tc>
        <w:tc>
          <w:tcPr>
            <w:tcW w:type="dxa" w:w="4032"/>
            <w:vAlign w:val="top"/>
          </w:tcPr>
          <w:p>
            <w:pPr>
              <w:pStyle w:val="TableText"/>
            </w:pPr>
            <w:r/>
            <w:r>
              <w:rPr>
                <w:b w:val="0"/>
                <w:sz w:val="16"/>
              </w:rPr>
              <w:t>Authorized underwriting/business process</w:t>
            </w:r>
          </w:p>
        </w:tc>
      </w:tr>
      <w:tr>
        <w:tc>
          <w:tcPr>
            <w:tcW w:type="dxa" w:w="1944"/>
            <w:vAlign w:val="top"/>
            <w:shd w:fill="F2F6FA"/>
          </w:tcPr>
          <w:p>
            <w:pPr>
              <w:pStyle w:val="TableText"/>
            </w:pPr>
            <w:r/>
            <w:r>
              <w:rPr>
                <w:b w:val="0"/>
                <w:sz w:val="16"/>
              </w:rPr>
              <w:t>11 Issue / in-force</w:t>
            </w:r>
          </w:p>
        </w:tc>
        <w:tc>
          <w:tcPr>
            <w:tcW w:type="dxa" w:w="9936"/>
            <w:vAlign w:val="top"/>
            <w:shd w:fill="F2F6FA"/>
          </w:tcPr>
          <w:p>
            <w:pPr>
              <w:pStyle w:val="TableText"/>
            </w:pPr>
            <w:r/>
            <w:r>
              <w:rPr>
                <w:b w:val="0"/>
                <w:sz w:val="16"/>
              </w:rPr>
              <w:t>Formal policy documents are issued and coverage is active for its effective period.</w:t>
            </w:r>
          </w:p>
        </w:tc>
        <w:tc>
          <w:tcPr>
            <w:tcW w:type="dxa" w:w="4032"/>
            <w:vAlign w:val="top"/>
            <w:shd w:fill="F2F6FA"/>
          </w:tcPr>
          <w:p>
            <w:pPr>
              <w:pStyle w:val="TableText"/>
            </w:pPr>
            <w:r/>
            <w:r>
              <w:rPr>
                <w:b w:val="0"/>
                <w:sz w:val="16"/>
              </w:rPr>
              <w:t>Quote &amp; Policy / Document &amp; Audit</w:t>
            </w:r>
          </w:p>
        </w:tc>
      </w:tr>
      <w:tr>
        <w:tc>
          <w:tcPr>
            <w:tcW w:type="dxa" w:w="1944"/>
            <w:vAlign w:val="top"/>
          </w:tcPr>
          <w:p>
            <w:pPr>
              <w:pStyle w:val="TableText"/>
            </w:pPr>
            <w:r/>
            <w:r>
              <w:rPr>
                <w:b w:val="0"/>
                <w:sz w:val="16"/>
              </w:rPr>
              <w:t>12-13 Service / loss prevention</w:t>
            </w:r>
          </w:p>
        </w:tc>
        <w:tc>
          <w:tcPr>
            <w:tcW w:type="dxa" w:w="9936"/>
            <w:vAlign w:val="top"/>
          </w:tcPr>
          <w:p>
            <w:pPr>
              <w:pStyle w:val="TableText"/>
            </w:pPr>
            <w:r/>
            <w:r>
              <w:rPr>
                <w:b w:val="0"/>
                <w:sz w:val="16"/>
              </w:rPr>
              <w:t>Endorsements, exposure changes, audits and risk-improvement activities occur during term.</w:t>
            </w:r>
          </w:p>
        </w:tc>
        <w:tc>
          <w:tcPr>
            <w:tcW w:type="dxa" w:w="4032"/>
            <w:vAlign w:val="top"/>
          </w:tcPr>
          <w:p>
            <w:pPr>
              <w:pStyle w:val="TableText"/>
            </w:pPr>
            <w:r/>
            <w:r>
              <w:rPr>
                <w:b w:val="0"/>
                <w:sz w:val="16"/>
              </w:rPr>
              <w:t>Quote &amp; Policy / Risk &amp; Underwriting</w:t>
            </w:r>
          </w:p>
        </w:tc>
      </w:tr>
      <w:tr>
        <w:tc>
          <w:tcPr>
            <w:tcW w:type="dxa" w:w="1944"/>
            <w:vAlign w:val="top"/>
            <w:shd w:fill="F2F6FA"/>
          </w:tcPr>
          <w:p>
            <w:pPr>
              <w:pStyle w:val="TableText"/>
            </w:pPr>
            <w:r/>
            <w:r>
              <w:rPr>
                <w:b w:val="0"/>
                <w:sz w:val="16"/>
              </w:rPr>
              <w:t>14-19 Loss to closure</w:t>
            </w:r>
          </w:p>
        </w:tc>
        <w:tc>
          <w:tcPr>
            <w:tcW w:type="dxa" w:w="9936"/>
            <w:vAlign w:val="top"/>
            <w:shd w:fill="F2F6FA"/>
          </w:tcPr>
          <w:p>
            <w:pPr>
              <w:pStyle w:val="TableText"/>
            </w:pPr>
            <w:r/>
            <w:r>
              <w:rPr>
                <w:b w:val="0"/>
                <w:sz w:val="16"/>
              </w:rPr>
              <w:t>Loss → FNOL → investigation → coverage → reserve/assessment → settlement/payment → recovery → closure.</w:t>
            </w:r>
          </w:p>
        </w:tc>
        <w:tc>
          <w:tcPr>
            <w:tcW w:type="dxa" w:w="4032"/>
            <w:vAlign w:val="top"/>
            <w:shd w:fill="F2F6FA"/>
          </w:tcPr>
          <w:p>
            <w:pPr>
              <w:pStyle w:val="TableText"/>
            </w:pPr>
            <w:r/>
            <w:r>
              <w:rPr>
                <w:b w:val="0"/>
                <w:sz w:val="16"/>
              </w:rPr>
              <w:t>Claims / Recovery / Vendor</w:t>
            </w:r>
          </w:p>
        </w:tc>
      </w:tr>
      <w:tr>
        <w:tc>
          <w:tcPr>
            <w:tcW w:type="dxa" w:w="1944"/>
            <w:vAlign w:val="top"/>
          </w:tcPr>
          <w:p>
            <w:pPr>
              <w:pStyle w:val="TableText"/>
            </w:pPr>
            <w:r/>
            <w:r>
              <w:rPr>
                <w:b w:val="0"/>
                <w:sz w:val="16"/>
              </w:rPr>
              <w:t>20 Renewal / non-renewal</w:t>
            </w:r>
          </w:p>
        </w:tc>
        <w:tc>
          <w:tcPr>
            <w:tcW w:type="dxa" w:w="9936"/>
            <w:vAlign w:val="top"/>
          </w:tcPr>
          <w:p>
            <w:pPr>
              <w:pStyle w:val="TableText"/>
            </w:pPr>
            <w:r/>
            <w:r>
              <w:rPr>
                <w:b w:val="0"/>
                <w:sz w:val="16"/>
              </w:rPr>
              <w:t>Current exposure, claims and risk controls are reassessed for the next term.</w:t>
            </w:r>
          </w:p>
        </w:tc>
        <w:tc>
          <w:tcPr>
            <w:tcW w:type="dxa" w:w="4032"/>
            <w:vAlign w:val="top"/>
          </w:tcPr>
          <w:p>
            <w:pPr>
              <w:pStyle w:val="TableText"/>
            </w:pPr>
            <w:r/>
            <w:r>
              <w:rPr>
                <w:b w:val="0"/>
                <w:sz w:val="16"/>
              </w:rPr>
              <w:t>Risk &amp; Underwriting / Quote &amp; Policy</w:t>
            </w:r>
          </w:p>
        </w:tc>
      </w:tr>
    </w:tbl>
    <w:p>
      <w:pPr>
        <w:spacing w:after="40"/>
      </w:pPr>
    </w:p>
    <w:p>
      <w:pPr>
        <w:pStyle w:val="Heading1"/>
        <w:keepNext/>
      </w:pPr>
      <w:r>
        <w:t>3. Standard Test Data Profiles</w:t>
      </w:r>
    </w:p>
    <w:tbl>
      <w:tblPr>
        <w:tblStyle w:val="TableGrid"/>
        <w:tblW w:type="auto" w:w="0"/>
        <w:jc w:val="center"/>
        <w:tblLook w:firstColumn="1" w:firstRow="1" w:lastColumn="0" w:lastRow="0" w:noHBand="0" w:noVBand="1" w:val="04A0"/>
      </w:tblPr>
      <w:tblGrid>
        <w:gridCol w:w="3816"/>
        <w:gridCol w:w="3816"/>
        <w:gridCol w:w="3816"/>
        <w:gridCol w:w="3816"/>
      </w:tblGrid>
      <w:tr>
        <w:trPr>
          <w:tblHeader w:val="true"/>
        </w:trPr>
        <w:tc>
          <w:tcPr>
            <w:tcW w:type="dxa" w:w="2376"/>
            <w:vAlign w:val="top"/>
            <w:shd w:fill="17365D"/>
          </w:tcPr>
          <w:p>
            <w:pPr>
              <w:pStyle w:val="TableText"/>
            </w:pPr>
            <w:r>
              <w:rPr>
                <w:color w:val="FFFFFF"/>
              </w:rPr>
            </w:r>
            <w:r>
              <w:rPr>
                <w:b/>
                <w:color w:val="FFFFFF"/>
                <w:sz w:val="16"/>
              </w:rPr>
              <w:t>Profile</w:t>
            </w:r>
          </w:p>
        </w:tc>
        <w:tc>
          <w:tcPr>
            <w:tcW w:type="dxa" w:w="6048"/>
            <w:vAlign w:val="top"/>
            <w:shd w:fill="17365D"/>
          </w:tcPr>
          <w:p>
            <w:pPr>
              <w:pStyle w:val="TableText"/>
            </w:pPr>
            <w:r>
              <w:rPr>
                <w:color w:val="FFFFFF"/>
              </w:rPr>
            </w:r>
            <w:r>
              <w:rPr>
                <w:b/>
                <w:color w:val="FFFFFF"/>
                <w:sz w:val="16"/>
              </w:rPr>
              <w:t>Business facts</w:t>
            </w:r>
          </w:p>
        </w:tc>
        <w:tc>
          <w:tcPr>
            <w:tcW w:type="dxa" w:w="4896"/>
            <w:vAlign w:val="top"/>
            <w:shd w:fill="17365D"/>
          </w:tcPr>
          <w:p>
            <w:pPr>
              <w:pStyle w:val="TableText"/>
            </w:pPr>
            <w:r>
              <w:rPr>
                <w:color w:val="FFFFFF"/>
              </w:rPr>
            </w:r>
            <w:r>
              <w:rPr>
                <w:b/>
                <w:color w:val="FFFFFF"/>
                <w:sz w:val="16"/>
              </w:rPr>
              <w:t>Coverage need</w:t>
            </w:r>
          </w:p>
        </w:tc>
        <w:tc>
          <w:tcPr>
            <w:tcW w:type="dxa" w:w="3384"/>
            <w:vAlign w:val="top"/>
            <w:shd w:fill="17365D"/>
          </w:tcPr>
          <w:p>
            <w:pPr>
              <w:pStyle w:val="TableText"/>
            </w:pPr>
            <w:r>
              <w:rPr>
                <w:color w:val="FFFFFF"/>
              </w:rPr>
            </w:r>
            <w:r>
              <w:rPr>
                <w:b/>
                <w:color w:val="FFFFFF"/>
                <w:sz w:val="16"/>
              </w:rPr>
              <w:t>Expected path</w:t>
            </w:r>
          </w:p>
        </w:tc>
      </w:tr>
      <w:tr>
        <w:tc>
          <w:tcPr>
            <w:tcW w:type="dxa" w:w="2376"/>
            <w:vAlign w:val="top"/>
          </w:tcPr>
          <w:p>
            <w:pPr>
              <w:pStyle w:val="TableText"/>
            </w:pPr>
            <w:r/>
            <w:r>
              <w:rPr>
                <w:b w:val="0"/>
                <w:sz w:val="16"/>
              </w:rPr>
              <w:t>A - Low-complexity restaurant</w:t>
            </w:r>
          </w:p>
        </w:tc>
        <w:tc>
          <w:tcPr>
            <w:tcW w:type="dxa" w:w="6048"/>
            <w:vAlign w:val="top"/>
          </w:tcPr>
          <w:p>
            <w:pPr>
              <w:pStyle w:val="TableText"/>
            </w:pPr>
            <w:r/>
            <w:r>
              <w:rPr>
                <w:b w:val="0"/>
                <w:sz w:val="16"/>
              </w:rPr>
              <w:t>40-seat restaurant; stable operations; one location; complete information; no material loss history.</w:t>
            </w:r>
          </w:p>
        </w:tc>
        <w:tc>
          <w:tcPr>
            <w:tcW w:type="dxa" w:w="4896"/>
            <w:vAlign w:val="top"/>
          </w:tcPr>
          <w:p>
            <w:pPr>
              <w:pStyle w:val="TableText"/>
            </w:pPr>
            <w:r/>
            <w:r>
              <w:rPr>
                <w:b w:val="0"/>
                <w:sz w:val="16"/>
              </w:rPr>
              <w:t>Property/equipment, general liability, business income.</w:t>
            </w:r>
          </w:p>
        </w:tc>
        <w:tc>
          <w:tcPr>
            <w:tcW w:type="dxa" w:w="3384"/>
            <w:vAlign w:val="top"/>
          </w:tcPr>
          <w:p>
            <w:pPr>
              <w:pStyle w:val="TableText"/>
            </w:pPr>
            <w:r/>
            <w:r>
              <w:rPr>
                <w:b w:val="0"/>
                <w:sz w:val="16"/>
              </w:rPr>
              <w:t>Triage → Underwriting → Quote → Accept → Bind → Issue → Renewal</w:t>
            </w:r>
          </w:p>
        </w:tc>
      </w:tr>
      <w:tr>
        <w:tc>
          <w:tcPr>
            <w:tcW w:type="dxa" w:w="2376"/>
            <w:vAlign w:val="top"/>
            <w:shd w:fill="F2F6FA"/>
          </w:tcPr>
          <w:p>
            <w:pPr>
              <w:pStyle w:val="TableText"/>
            </w:pPr>
            <w:r/>
            <w:r>
              <w:rPr>
                <w:b w:val="0"/>
                <w:sz w:val="16"/>
              </w:rPr>
              <w:t>B - Restaurant with covered fire loss</w:t>
            </w:r>
          </w:p>
        </w:tc>
        <w:tc>
          <w:tcPr>
            <w:tcW w:type="dxa" w:w="6048"/>
            <w:vAlign w:val="top"/>
            <w:shd w:fill="F2F6FA"/>
          </w:tcPr>
          <w:p>
            <w:pPr>
              <w:pStyle w:val="TableText"/>
            </w:pPr>
            <w:r/>
            <w:r>
              <w:rPr>
                <w:b w:val="0"/>
                <w:sz w:val="16"/>
              </w:rPr>
              <w:t>Profile A plus fire loss during policy term; property/equipment damage; temporary closure.</w:t>
            </w:r>
          </w:p>
        </w:tc>
        <w:tc>
          <w:tcPr>
            <w:tcW w:type="dxa" w:w="4896"/>
            <w:vAlign w:val="top"/>
            <w:shd w:fill="F2F6FA"/>
          </w:tcPr>
          <w:p>
            <w:pPr>
              <w:pStyle w:val="TableText"/>
            </w:pPr>
            <w:r/>
            <w:r>
              <w:rPr>
                <w:b w:val="0"/>
                <w:sz w:val="16"/>
              </w:rPr>
              <w:t>Existing policy with applicable property/business-income coverage.</w:t>
            </w:r>
          </w:p>
        </w:tc>
        <w:tc>
          <w:tcPr>
            <w:tcW w:type="dxa" w:w="3384"/>
            <w:vAlign w:val="top"/>
            <w:shd w:fill="F2F6FA"/>
          </w:tcPr>
          <w:p>
            <w:pPr>
              <w:pStyle w:val="TableText"/>
            </w:pPr>
            <w:r/>
            <w:r>
              <w:rPr>
                <w:b w:val="0"/>
                <w:sz w:val="16"/>
              </w:rPr>
              <w:t>FNOL → Investigation → Assessment → Reserve → Vendor/Recovery → Settlement/Payment → Closure → Renewal</w:t>
            </w:r>
          </w:p>
        </w:tc>
      </w:tr>
      <w:tr>
        <w:tc>
          <w:tcPr>
            <w:tcW w:type="dxa" w:w="2376"/>
            <w:vAlign w:val="top"/>
          </w:tcPr>
          <w:p>
            <w:pPr>
              <w:pStyle w:val="TableText"/>
            </w:pPr>
            <w:r/>
            <w:r>
              <w:rPr>
                <w:b w:val="0"/>
                <w:sz w:val="16"/>
              </w:rPr>
              <w:t>C - Higher-complexity contractor</w:t>
            </w:r>
          </w:p>
        </w:tc>
        <w:tc>
          <w:tcPr>
            <w:tcW w:type="dxa" w:w="6048"/>
            <w:vAlign w:val="top"/>
          </w:tcPr>
          <w:p>
            <w:pPr>
              <w:pStyle w:val="TableText"/>
            </w:pPr>
            <w:r/>
            <w:r>
              <w:rPr>
                <w:b w:val="0"/>
                <w:sz w:val="16"/>
              </w:rPr>
              <w:t>Construction/contracting operations; material exposure; incomplete initial submission; specialist risk review required.</w:t>
            </w:r>
          </w:p>
        </w:tc>
        <w:tc>
          <w:tcPr>
            <w:tcW w:type="dxa" w:w="4896"/>
            <w:vAlign w:val="top"/>
          </w:tcPr>
          <w:p>
            <w:pPr>
              <w:pStyle w:val="TableText"/>
            </w:pPr>
            <w:r/>
            <w:r>
              <w:rPr>
                <w:b w:val="0"/>
                <w:sz w:val="16"/>
              </w:rPr>
              <w:t>Property/liability and requested operational coverage.</w:t>
            </w:r>
          </w:p>
        </w:tc>
        <w:tc>
          <w:tcPr>
            <w:tcW w:type="dxa" w:w="3384"/>
            <w:vAlign w:val="top"/>
          </w:tcPr>
          <w:p>
            <w:pPr>
              <w:pStyle w:val="TableText"/>
            </w:pPr>
            <w:r/>
            <w:r>
              <w:rPr>
                <w:b w:val="0"/>
                <w:sz w:val="16"/>
              </w:rPr>
              <w:t>Needs info → Referral → Risk Engineering → Conditional terms / decline depending on decision → Non-renewal branch if risk later becomes unacceptable</w:t>
            </w:r>
          </w:p>
        </w:tc>
      </w:tr>
    </w:tbl>
    <w:p>
      <w:pPr>
        <w:spacing w:after="40"/>
      </w:pPr>
    </w:p>
    <w:p>
      <w:r>
        <w:br w:type="page"/>
      </w:r>
    </w:p>
    <w:p>
      <w:pPr>
        <w:pStyle w:val="Heading1"/>
        <w:keepNext/>
      </w:pPr>
      <w:r>
        <w:t>FLOW 1 — Clean New-Business → In-Force → Renewal</w:t>
      </w:r>
    </w:p>
    <w:tbl>
      <w:tblPr>
        <w:tblStyle w:val="TableGrid"/>
        <w:tblW w:type="auto" w:w="0"/>
        <w:jc w:val="center"/>
        <w:tblLook w:firstColumn="1" w:firstRow="1" w:lastColumn="0" w:lastRow="0" w:noHBand="0" w:noVBand="1" w:val="04A0"/>
      </w:tblPr>
      <w:tblGrid>
        <w:gridCol w:w="15264"/>
      </w:tblGrid>
      <w:tr>
        <w:tc>
          <w:tcPr>
            <w:tcW w:type="dxa" w:w="15264"/>
            <w:shd w:fill="EAF2F8"/>
          </w:tcPr>
          <w:p>
            <w:r/>
            <w:r>
              <w:rPr>
                <w:b/>
                <w:sz w:val="21"/>
              </w:rPr>
              <w:t>BUSINESS OBJECTIVE</w:t>
              <w:br/>
            </w:r>
            <w:r>
              <w:rPr>
                <w:sz w:val="18"/>
              </w:rPr>
              <w:t>Demonstrate the complete happy-path lifecycle from a policyholder request through underwriting, quote, acceptance, bind, issue, servicing and renewal.</w:t>
            </w:r>
          </w:p>
        </w:tc>
      </w:tr>
    </w:tbl>
    <w:p>
      <w:pPr>
        <w:spacing w:after="0"/>
      </w:pPr>
    </w:p>
    <w:tbl>
      <w:tblPr>
        <w:tblStyle w:val="TableGrid"/>
        <w:tblW w:type="auto" w:w="0"/>
        <w:jc w:val="center"/>
        <w:tblLook w:firstColumn="1" w:firstRow="1" w:lastColumn="0" w:lastRow="0" w:noHBand="0" w:noVBand="1" w:val="04A0"/>
      </w:tblPr>
      <w:tblGrid>
        <w:gridCol w:w="7632"/>
        <w:gridCol w:w="7632"/>
      </w:tblGrid>
      <w:tr>
        <w:trPr>
          <w:tblHeader w:val="true"/>
        </w:trPr>
        <w:tc>
          <w:tcPr>
            <w:tcW w:type="dxa" w:w="2160"/>
            <w:vAlign w:val="top"/>
            <w:shd w:fill="17365D"/>
          </w:tcPr>
          <w:p>
            <w:pPr>
              <w:pStyle w:val="TableText"/>
            </w:pPr>
            <w:r>
              <w:rPr>
                <w:color w:val="FFFFFF"/>
              </w:rPr>
            </w:r>
            <w:r>
              <w:rPr>
                <w:b/>
                <w:color w:val="FFFFFF"/>
                <w:sz w:val="16"/>
              </w:rPr>
              <w:t>Item</w:t>
            </w:r>
          </w:p>
        </w:tc>
        <w:tc>
          <w:tcPr>
            <w:tcW w:type="dxa" w:w="13104"/>
            <w:vAlign w:val="top"/>
            <w:shd w:fill="17365D"/>
          </w:tcPr>
          <w:p>
            <w:pPr>
              <w:pStyle w:val="TableText"/>
            </w:pPr>
            <w:r>
              <w:rPr>
                <w:color w:val="FFFFFF"/>
              </w:rPr>
            </w:r>
            <w:r>
              <w:rPr>
                <w:b/>
                <w:color w:val="FFFFFF"/>
                <w:sz w:val="16"/>
              </w:rPr>
              <w:t>Definition</w:t>
            </w:r>
          </w:p>
        </w:tc>
      </w:tr>
      <w:tr>
        <w:tc>
          <w:tcPr>
            <w:tcW w:type="dxa" w:w="2160"/>
            <w:vAlign w:val="top"/>
          </w:tcPr>
          <w:p>
            <w:pPr>
              <w:pStyle w:val="TableText"/>
            </w:pPr>
            <w:r/>
            <w:r>
              <w:rPr>
                <w:b w:val="0"/>
                <w:sz w:val="16"/>
              </w:rPr>
              <w:t>Entry criteria</w:t>
            </w:r>
          </w:p>
        </w:tc>
        <w:tc>
          <w:tcPr>
            <w:tcW w:type="dxa" w:w="13104"/>
            <w:vAlign w:val="top"/>
          </w:tcPr>
          <w:p>
            <w:pPr>
              <w:pStyle w:val="TableText"/>
            </w:pPr>
            <w:r/>
            <w:r>
              <w:rPr>
                <w:b w:val="0"/>
                <w:sz w:val="16"/>
              </w:rPr>
              <w:t>Active policyholder + complete business profile + no prior policy required + complete submission data.</w:t>
            </w:r>
          </w:p>
        </w:tc>
      </w:tr>
      <w:tr>
        <w:tc>
          <w:tcPr>
            <w:tcW w:type="dxa" w:w="2160"/>
            <w:vAlign w:val="top"/>
            <w:shd w:fill="F2F6FA"/>
          </w:tcPr>
          <w:p>
            <w:pPr>
              <w:pStyle w:val="TableText"/>
            </w:pPr>
            <w:r/>
            <w:r>
              <w:rPr>
                <w:b w:val="0"/>
                <w:sz w:val="16"/>
              </w:rPr>
              <w:t>Exit criteria</w:t>
            </w:r>
          </w:p>
        </w:tc>
        <w:tc>
          <w:tcPr>
            <w:tcW w:type="dxa" w:w="13104"/>
            <w:vAlign w:val="top"/>
            <w:shd w:fill="F2F6FA"/>
          </w:tcPr>
          <w:p>
            <w:pPr>
              <w:pStyle w:val="TableText"/>
            </w:pPr>
            <w:r/>
            <w:r>
              <w:rPr>
                <w:b w:val="0"/>
                <w:sz w:val="16"/>
              </w:rPr>
              <w:t>An in-force policy has completed the term transaction and a renewal decision/path exists for the next term.</w:t>
            </w:r>
          </w:p>
        </w:tc>
      </w:tr>
      <w:tr>
        <w:tc>
          <w:tcPr>
            <w:tcW w:type="dxa" w:w="2160"/>
            <w:vAlign w:val="top"/>
          </w:tcPr>
          <w:p>
            <w:pPr>
              <w:pStyle w:val="TableText"/>
            </w:pPr>
            <w:r/>
            <w:r>
              <w:rPr>
                <w:b w:val="0"/>
                <w:sz w:val="16"/>
              </w:rPr>
              <w:t>Primary roles</w:t>
            </w:r>
          </w:p>
        </w:tc>
        <w:tc>
          <w:tcPr>
            <w:tcW w:type="dxa" w:w="13104"/>
            <w:vAlign w:val="top"/>
          </w:tcPr>
          <w:p>
            <w:pPr>
              <w:pStyle w:val="TableText"/>
            </w:pPr>
            <w:r/>
            <w:r>
              <w:rPr>
                <w:b w:val="0"/>
                <w:sz w:val="16"/>
              </w:rPr>
              <w:t>Policyholder; Underwriter; Risk Engineer; Claims Adjuster/Manager; Vendor Manager; Service Provider/Contractor; System Administrator as applicable</w:t>
            </w:r>
          </w:p>
        </w:tc>
      </w:tr>
      <w:tr>
        <w:tc>
          <w:tcPr>
            <w:tcW w:type="dxa" w:w="2160"/>
            <w:vAlign w:val="top"/>
            <w:shd w:fill="F2F6FA"/>
          </w:tcPr>
          <w:p>
            <w:pPr>
              <w:pStyle w:val="TableText"/>
            </w:pPr>
            <w:r/>
            <w:r>
              <w:rPr>
                <w:b w:val="0"/>
                <w:sz w:val="16"/>
              </w:rPr>
              <w:t>Services traversed</w:t>
            </w:r>
          </w:p>
        </w:tc>
        <w:tc>
          <w:tcPr>
            <w:tcW w:type="dxa" w:w="13104"/>
            <w:vAlign w:val="top"/>
            <w:shd w:fill="F2F6FA"/>
          </w:tcPr>
          <w:p>
            <w:pPr>
              <w:pStyle w:val="TableText"/>
            </w:pPr>
            <w:r/>
            <w:r>
              <w:rPr>
                <w:b w:val="0"/>
                <w:sz w:val="16"/>
              </w:rPr>
              <w:t>Customer &amp; Party; Quote &amp; Policy; Risk &amp; Underwriting; Claims; Vendor &amp; Partner; Recovery &amp; Business Continuity; Workflow &amp; Notification; Document &amp; Audit; Analytics optional and non-authoritative</w:t>
            </w:r>
          </w:p>
        </w:tc>
      </w:tr>
    </w:tbl>
    <w:p>
      <w:pPr>
        <w:spacing w:after="40"/>
      </w:pPr>
    </w:p>
    <w:p>
      <w:pPr>
        <w:pStyle w:val="Heading2"/>
        <w:keepNext/>
      </w:pPr>
      <w:r>
        <w:t>Business Flow</w:t>
      </w:r>
    </w:p>
    <w:tbl>
      <w:tblPr>
        <w:tblStyle w:val="TableGrid"/>
        <w:tblW w:type="auto" w:w="0"/>
        <w:jc w:val="center"/>
        <w:tblLook w:firstColumn="1" w:firstRow="1" w:lastColumn="0" w:lastRow="0" w:noHBand="0" w:noVBand="1" w:val="04A0"/>
      </w:tblPr>
      <w:tblGrid>
        <w:gridCol w:w="3816"/>
        <w:gridCol w:w="3816"/>
        <w:gridCol w:w="3816"/>
        <w:gridCol w:w="3816"/>
      </w:tblGrid>
      <w:tr>
        <w:trPr>
          <w:tblHeader w:val="true"/>
        </w:trPr>
        <w:tc>
          <w:tcPr>
            <w:tcW w:type="dxa" w:w="792"/>
            <w:vAlign w:val="top"/>
            <w:shd w:fill="17365D"/>
          </w:tcPr>
          <w:p>
            <w:pPr>
              <w:pStyle w:val="TableText"/>
            </w:pPr>
            <w:r>
              <w:rPr>
                <w:color w:val="FFFFFF"/>
              </w:rPr>
            </w:r>
            <w:r>
              <w:rPr>
                <w:b/>
                <w:color w:val="FFFFFF"/>
                <w:sz w:val="16"/>
              </w:rPr>
              <w:t>Step</w:t>
            </w:r>
          </w:p>
        </w:tc>
        <w:tc>
          <w:tcPr>
            <w:tcW w:type="dxa" w:w="6336"/>
            <w:vAlign w:val="top"/>
            <w:shd w:fill="17365D"/>
          </w:tcPr>
          <w:p>
            <w:pPr>
              <w:pStyle w:val="TableText"/>
            </w:pPr>
            <w:r>
              <w:rPr>
                <w:color w:val="FFFFFF"/>
              </w:rPr>
            </w:r>
            <w:r>
              <w:rPr>
                <w:b/>
                <w:color w:val="FFFFFF"/>
                <w:sz w:val="16"/>
              </w:rPr>
              <w:t>Business event / action</w:t>
            </w:r>
          </w:p>
        </w:tc>
        <w:tc>
          <w:tcPr>
            <w:tcW w:type="dxa" w:w="6480"/>
            <w:vAlign w:val="top"/>
            <w:shd w:fill="17365D"/>
          </w:tcPr>
          <w:p>
            <w:pPr>
              <w:pStyle w:val="TableText"/>
            </w:pPr>
            <w:r>
              <w:rPr>
                <w:color w:val="FFFFFF"/>
              </w:rPr>
            </w:r>
            <w:r>
              <w:rPr>
                <w:b/>
                <w:color w:val="FFFFFF"/>
                <w:sz w:val="16"/>
              </w:rPr>
              <w:t>Expected state / outcome</w:t>
            </w:r>
          </w:p>
        </w:tc>
        <w:tc>
          <w:tcPr>
            <w:tcW w:type="dxa" w:w="1872"/>
            <w:vAlign w:val="top"/>
            <w:shd w:fill="17365D"/>
          </w:tcPr>
          <w:p>
            <w:pPr>
              <w:pStyle w:val="TableText"/>
            </w:pPr>
            <w:r>
              <w:rPr>
                <w:color w:val="FFFFFF"/>
              </w:rPr>
            </w:r>
            <w:r>
              <w:rPr>
                <w:b/>
                <w:color w:val="FFFFFF"/>
                <w:sz w:val="16"/>
              </w:rPr>
              <w:t>Primary owner</w:t>
            </w:r>
          </w:p>
        </w:tc>
      </w:tr>
      <w:tr>
        <w:tc>
          <w:tcPr>
            <w:tcW w:type="dxa" w:w="792"/>
            <w:vAlign w:val="top"/>
          </w:tcPr>
          <w:p>
            <w:pPr>
              <w:pStyle w:val="TableText"/>
            </w:pPr>
            <w:r/>
            <w:r>
              <w:rPr>
                <w:b w:val="0"/>
                <w:sz w:val="16"/>
              </w:rPr>
              <w:t>1</w:t>
            </w:r>
          </w:p>
        </w:tc>
        <w:tc>
          <w:tcPr>
            <w:tcW w:type="dxa" w:w="6336"/>
            <w:vAlign w:val="top"/>
          </w:tcPr>
          <w:p>
            <w:pPr>
              <w:pStyle w:val="TableText"/>
            </w:pPr>
            <w:r/>
            <w:r>
              <w:rPr>
                <w:b w:val="0"/>
                <w:sz w:val="16"/>
              </w:rPr>
              <w:t>Register + business profile</w:t>
            </w:r>
          </w:p>
        </w:tc>
        <w:tc>
          <w:tcPr>
            <w:tcW w:type="dxa" w:w="6480"/>
            <w:vAlign w:val="top"/>
          </w:tcPr>
          <w:p>
            <w:pPr>
              <w:pStyle w:val="TableText"/>
            </w:pPr>
            <w:r/>
            <w:r>
              <w:rPr>
                <w:b w:val="0"/>
                <w:sz w:val="16"/>
              </w:rPr>
              <w:t>ACTIVE policyholder with a canonical customer/business profile.</w:t>
            </w:r>
          </w:p>
        </w:tc>
        <w:tc>
          <w:tcPr>
            <w:tcW w:type="dxa" w:w="1872"/>
            <w:vAlign w:val="top"/>
          </w:tcPr>
          <w:p>
            <w:pPr>
              <w:pStyle w:val="TableText"/>
            </w:pPr>
            <w:r/>
            <w:r>
              <w:rPr>
                <w:b w:val="0"/>
                <w:sz w:val="16"/>
              </w:rPr>
              <w:t>Customer &amp; Party</w:t>
            </w:r>
          </w:p>
        </w:tc>
      </w:tr>
      <w:tr>
        <w:tc>
          <w:tcPr>
            <w:tcW w:type="dxa" w:w="792"/>
            <w:vAlign w:val="top"/>
            <w:shd w:fill="F2F6FA"/>
          </w:tcPr>
          <w:p>
            <w:pPr>
              <w:pStyle w:val="TableText"/>
            </w:pPr>
            <w:r/>
            <w:r>
              <w:rPr>
                <w:b w:val="0"/>
                <w:sz w:val="16"/>
              </w:rPr>
              <w:t>2</w:t>
            </w:r>
          </w:p>
        </w:tc>
        <w:tc>
          <w:tcPr>
            <w:tcW w:type="dxa" w:w="6336"/>
            <w:vAlign w:val="top"/>
            <w:shd w:fill="F2F6FA"/>
          </w:tcPr>
          <w:p>
            <w:pPr>
              <w:pStyle w:val="TableText"/>
            </w:pPr>
            <w:r/>
            <w:r>
              <w:rPr>
                <w:b w:val="0"/>
                <w:sz w:val="16"/>
              </w:rPr>
              <w:t>Start draft insurance request</w:t>
            </w:r>
          </w:p>
        </w:tc>
        <w:tc>
          <w:tcPr>
            <w:tcW w:type="dxa" w:w="6480"/>
            <w:vAlign w:val="top"/>
            <w:shd w:fill="F2F6FA"/>
          </w:tcPr>
          <w:p>
            <w:pPr>
              <w:pStyle w:val="TableText"/>
            </w:pPr>
            <w:r/>
            <w:r>
              <w:rPr>
                <w:b w:val="0"/>
                <w:sz w:val="16"/>
              </w:rPr>
              <w:t>DRAFT submission contains insurance need, business facts and requested coverages.</w:t>
            </w:r>
          </w:p>
        </w:tc>
        <w:tc>
          <w:tcPr>
            <w:tcW w:type="dxa" w:w="1872"/>
            <w:vAlign w:val="top"/>
            <w:shd w:fill="F2F6FA"/>
          </w:tcPr>
          <w:p>
            <w:pPr>
              <w:pStyle w:val="TableText"/>
            </w:pPr>
            <w:r/>
            <w:r>
              <w:rPr>
                <w:b w:val="0"/>
                <w:sz w:val="16"/>
              </w:rPr>
              <w:t>Policyholder</w:t>
            </w:r>
          </w:p>
        </w:tc>
      </w:tr>
      <w:tr>
        <w:tc>
          <w:tcPr>
            <w:tcW w:type="dxa" w:w="792"/>
            <w:vAlign w:val="top"/>
          </w:tcPr>
          <w:p>
            <w:pPr>
              <w:pStyle w:val="TableText"/>
            </w:pPr>
            <w:r/>
            <w:r>
              <w:rPr>
                <w:b w:val="0"/>
                <w:sz w:val="16"/>
              </w:rPr>
              <w:t>3</w:t>
            </w:r>
          </w:p>
        </w:tc>
        <w:tc>
          <w:tcPr>
            <w:tcW w:type="dxa" w:w="6336"/>
            <w:vAlign w:val="top"/>
          </w:tcPr>
          <w:p>
            <w:pPr>
              <w:pStyle w:val="TableText"/>
            </w:pPr>
            <w:r/>
            <w:r>
              <w:rPr>
                <w:b w:val="0"/>
                <w:sz w:val="16"/>
              </w:rPr>
              <w:t>Complete + submit</w:t>
            </w:r>
          </w:p>
        </w:tc>
        <w:tc>
          <w:tcPr>
            <w:tcW w:type="dxa" w:w="6480"/>
            <w:vAlign w:val="top"/>
          </w:tcPr>
          <w:p>
            <w:pPr>
              <w:pStyle w:val="TableText"/>
            </w:pPr>
            <w:r/>
            <w:r>
              <w:rPr>
                <w:b w:val="0"/>
                <w:sz w:val="16"/>
              </w:rPr>
              <w:t>Submission is SUBMITTED and becomes eligible for intake/triage.</w:t>
            </w:r>
          </w:p>
        </w:tc>
        <w:tc>
          <w:tcPr>
            <w:tcW w:type="dxa" w:w="1872"/>
            <w:vAlign w:val="top"/>
          </w:tcPr>
          <w:p>
            <w:pPr>
              <w:pStyle w:val="TableText"/>
            </w:pPr>
            <w:r/>
            <w:r>
              <w:rPr>
                <w:b w:val="0"/>
                <w:sz w:val="16"/>
              </w:rPr>
              <w:t>Policyholder / Workflow</w:t>
            </w:r>
          </w:p>
        </w:tc>
      </w:tr>
      <w:tr>
        <w:tc>
          <w:tcPr>
            <w:tcW w:type="dxa" w:w="792"/>
            <w:vAlign w:val="top"/>
            <w:shd w:fill="F2F6FA"/>
          </w:tcPr>
          <w:p>
            <w:pPr>
              <w:pStyle w:val="TableText"/>
            </w:pPr>
            <w:r/>
            <w:r>
              <w:rPr>
                <w:b w:val="0"/>
                <w:sz w:val="16"/>
              </w:rPr>
              <w:t>4</w:t>
            </w:r>
          </w:p>
        </w:tc>
        <w:tc>
          <w:tcPr>
            <w:tcW w:type="dxa" w:w="6336"/>
            <w:vAlign w:val="top"/>
            <w:shd w:fill="F2F6FA"/>
          </w:tcPr>
          <w:p>
            <w:pPr>
              <w:pStyle w:val="TableText"/>
            </w:pPr>
            <w:r/>
            <w:r>
              <w:rPr>
                <w:b w:val="0"/>
                <w:sz w:val="16"/>
              </w:rPr>
              <w:t>Triage</w:t>
            </w:r>
          </w:p>
        </w:tc>
        <w:tc>
          <w:tcPr>
            <w:tcW w:type="dxa" w:w="6480"/>
            <w:vAlign w:val="top"/>
            <w:shd w:fill="F2F6FA"/>
          </w:tcPr>
          <w:p>
            <w:pPr>
              <w:pStyle w:val="TableText"/>
            </w:pPr>
            <w:r/>
            <w:r>
              <w:rPr>
                <w:b w:val="0"/>
                <w:sz w:val="16"/>
              </w:rPr>
              <w:t>Completeness/appetite checks pass; underwriting work is created.</w:t>
            </w:r>
          </w:p>
        </w:tc>
        <w:tc>
          <w:tcPr>
            <w:tcW w:type="dxa" w:w="1872"/>
            <w:vAlign w:val="top"/>
            <w:shd w:fill="F2F6FA"/>
          </w:tcPr>
          <w:p>
            <w:pPr>
              <w:pStyle w:val="TableText"/>
            </w:pPr>
            <w:r/>
            <w:r>
              <w:rPr>
                <w:b w:val="0"/>
                <w:sz w:val="16"/>
              </w:rPr>
              <w:t>Workflow / Risk &amp; Underwriting</w:t>
            </w:r>
          </w:p>
        </w:tc>
      </w:tr>
      <w:tr>
        <w:tc>
          <w:tcPr>
            <w:tcW w:type="dxa" w:w="792"/>
            <w:vAlign w:val="top"/>
          </w:tcPr>
          <w:p>
            <w:pPr>
              <w:pStyle w:val="TableText"/>
            </w:pPr>
            <w:r/>
            <w:r>
              <w:rPr>
                <w:b w:val="0"/>
                <w:sz w:val="16"/>
              </w:rPr>
              <w:t>5</w:t>
            </w:r>
          </w:p>
        </w:tc>
        <w:tc>
          <w:tcPr>
            <w:tcW w:type="dxa" w:w="6336"/>
            <w:vAlign w:val="top"/>
          </w:tcPr>
          <w:p>
            <w:pPr>
              <w:pStyle w:val="TableText"/>
            </w:pPr>
            <w:r/>
            <w:r>
              <w:rPr>
                <w:b w:val="0"/>
                <w:sz w:val="16"/>
              </w:rPr>
              <w:t>Underwriter assignment</w:t>
            </w:r>
          </w:p>
        </w:tc>
        <w:tc>
          <w:tcPr>
            <w:tcW w:type="dxa" w:w="6480"/>
            <w:vAlign w:val="top"/>
          </w:tcPr>
          <w:p>
            <w:pPr>
              <w:pStyle w:val="TableText"/>
            </w:pPr>
            <w:r/>
            <w:r>
              <w:rPr>
                <w:b w:val="0"/>
                <w:sz w:val="16"/>
              </w:rPr>
              <w:t>Eligible underwriter receives a task based on configured work rules; assignment is recorded.</w:t>
            </w:r>
          </w:p>
        </w:tc>
        <w:tc>
          <w:tcPr>
            <w:tcW w:type="dxa" w:w="1872"/>
            <w:vAlign w:val="top"/>
          </w:tcPr>
          <w:p>
            <w:pPr>
              <w:pStyle w:val="TableText"/>
            </w:pPr>
            <w:r/>
            <w:r>
              <w:rPr>
                <w:b w:val="0"/>
                <w:sz w:val="16"/>
              </w:rPr>
              <w:t>Workflow</w:t>
            </w:r>
          </w:p>
        </w:tc>
      </w:tr>
      <w:tr>
        <w:tc>
          <w:tcPr>
            <w:tcW w:type="dxa" w:w="792"/>
            <w:vAlign w:val="top"/>
            <w:shd w:fill="F2F6FA"/>
          </w:tcPr>
          <w:p>
            <w:pPr>
              <w:pStyle w:val="TableText"/>
            </w:pPr>
            <w:r/>
            <w:r>
              <w:rPr>
                <w:b w:val="0"/>
                <w:sz w:val="16"/>
              </w:rPr>
              <w:t>6</w:t>
            </w:r>
          </w:p>
        </w:tc>
        <w:tc>
          <w:tcPr>
            <w:tcW w:type="dxa" w:w="6336"/>
            <w:vAlign w:val="top"/>
            <w:shd w:fill="F2F6FA"/>
          </w:tcPr>
          <w:p>
            <w:pPr>
              <w:pStyle w:val="TableText"/>
            </w:pPr>
            <w:r/>
            <w:r>
              <w:rPr>
                <w:b w:val="0"/>
                <w:sz w:val="16"/>
              </w:rPr>
              <w:t>Risk assessment</w:t>
            </w:r>
          </w:p>
        </w:tc>
        <w:tc>
          <w:tcPr>
            <w:tcW w:type="dxa" w:w="6480"/>
            <w:vAlign w:val="top"/>
            <w:shd w:fill="F2F6FA"/>
          </w:tcPr>
          <w:p>
            <w:pPr>
              <w:pStyle w:val="TableText"/>
            </w:pPr>
            <w:r/>
            <w:r>
              <w:rPr>
                <w:b w:val="0"/>
                <w:sz w:val="16"/>
              </w:rPr>
              <w:t>Risk facts, hazards, controls, loss history and evidence are evaluated.</w:t>
            </w:r>
          </w:p>
        </w:tc>
        <w:tc>
          <w:tcPr>
            <w:tcW w:type="dxa" w:w="1872"/>
            <w:vAlign w:val="top"/>
            <w:shd w:fill="F2F6FA"/>
          </w:tcPr>
          <w:p>
            <w:pPr>
              <w:pStyle w:val="TableText"/>
            </w:pPr>
            <w:r/>
            <w:r>
              <w:rPr>
                <w:b w:val="0"/>
                <w:sz w:val="16"/>
              </w:rPr>
              <w:t>Risk &amp; Underwriting</w:t>
            </w:r>
          </w:p>
        </w:tc>
      </w:tr>
      <w:tr>
        <w:tc>
          <w:tcPr>
            <w:tcW w:type="dxa" w:w="792"/>
            <w:vAlign w:val="top"/>
          </w:tcPr>
          <w:p>
            <w:pPr>
              <w:pStyle w:val="TableText"/>
            </w:pPr>
            <w:r/>
            <w:r>
              <w:rPr>
                <w:b w:val="0"/>
                <w:sz w:val="16"/>
              </w:rPr>
              <w:t>7</w:t>
            </w:r>
          </w:p>
        </w:tc>
        <w:tc>
          <w:tcPr>
            <w:tcW w:type="dxa" w:w="6336"/>
            <w:vAlign w:val="top"/>
          </w:tcPr>
          <w:p>
            <w:pPr>
              <w:pStyle w:val="TableText"/>
            </w:pPr>
            <w:r/>
            <w:r>
              <w:rPr>
                <w:b w:val="0"/>
                <w:sz w:val="16"/>
              </w:rPr>
              <w:t>Offer terms</w:t>
            </w:r>
          </w:p>
        </w:tc>
        <w:tc>
          <w:tcPr>
            <w:tcW w:type="dxa" w:w="6480"/>
            <w:vAlign w:val="top"/>
          </w:tcPr>
          <w:p>
            <w:pPr>
              <w:pStyle w:val="TableText"/>
            </w:pPr>
            <w:r/>
            <w:r>
              <w:rPr>
                <w:b w:val="0"/>
                <w:sz w:val="16"/>
              </w:rPr>
              <w:t>QUOTE contains insurer terms, limits, deductibles, premium, validity and any subjectivities.</w:t>
            </w:r>
          </w:p>
        </w:tc>
        <w:tc>
          <w:tcPr>
            <w:tcW w:type="dxa" w:w="1872"/>
            <w:vAlign w:val="top"/>
          </w:tcPr>
          <w:p>
            <w:pPr>
              <w:pStyle w:val="TableText"/>
            </w:pPr>
            <w:r/>
            <w:r>
              <w:rPr>
                <w:b w:val="0"/>
                <w:sz w:val="16"/>
              </w:rPr>
              <w:t>Underwriter / Quote &amp; Policy</w:t>
            </w:r>
          </w:p>
        </w:tc>
      </w:tr>
      <w:tr>
        <w:tc>
          <w:tcPr>
            <w:tcW w:type="dxa" w:w="792"/>
            <w:vAlign w:val="top"/>
            <w:shd w:fill="F2F6FA"/>
          </w:tcPr>
          <w:p>
            <w:pPr>
              <w:pStyle w:val="TableText"/>
            </w:pPr>
            <w:r/>
            <w:r>
              <w:rPr>
                <w:b w:val="0"/>
                <w:sz w:val="16"/>
              </w:rPr>
              <w:t>8</w:t>
            </w:r>
          </w:p>
        </w:tc>
        <w:tc>
          <w:tcPr>
            <w:tcW w:type="dxa" w:w="6336"/>
            <w:vAlign w:val="top"/>
            <w:shd w:fill="F2F6FA"/>
          </w:tcPr>
          <w:p>
            <w:pPr>
              <w:pStyle w:val="TableText"/>
            </w:pPr>
            <w:r/>
            <w:r>
              <w:rPr>
                <w:b w:val="0"/>
                <w:sz w:val="16"/>
              </w:rPr>
              <w:t>Customer accepts</w:t>
            </w:r>
          </w:p>
        </w:tc>
        <w:tc>
          <w:tcPr>
            <w:tcW w:type="dxa" w:w="6480"/>
            <w:vAlign w:val="top"/>
            <w:shd w:fill="F2F6FA"/>
          </w:tcPr>
          <w:p>
            <w:pPr>
              <w:pStyle w:val="TableText"/>
            </w:pPr>
            <w:r/>
            <w:r>
              <w:rPr>
                <w:b w:val="0"/>
                <w:sz w:val="16"/>
              </w:rPr>
              <w:t>Customer accepts the offered terms while quote is valid.</w:t>
            </w:r>
          </w:p>
        </w:tc>
        <w:tc>
          <w:tcPr>
            <w:tcW w:type="dxa" w:w="1872"/>
            <w:vAlign w:val="top"/>
            <w:shd w:fill="F2F6FA"/>
          </w:tcPr>
          <w:p>
            <w:pPr>
              <w:pStyle w:val="TableText"/>
            </w:pPr>
            <w:r/>
            <w:r>
              <w:rPr>
                <w:b w:val="0"/>
                <w:sz w:val="16"/>
              </w:rPr>
              <w:t>Policyholder</w:t>
            </w:r>
          </w:p>
        </w:tc>
      </w:tr>
      <w:tr>
        <w:tc>
          <w:tcPr>
            <w:tcW w:type="dxa" w:w="792"/>
            <w:vAlign w:val="top"/>
          </w:tcPr>
          <w:p>
            <w:pPr>
              <w:pStyle w:val="TableText"/>
            </w:pPr>
            <w:r/>
            <w:r>
              <w:rPr>
                <w:b w:val="0"/>
                <w:sz w:val="16"/>
              </w:rPr>
              <w:t>9</w:t>
            </w:r>
          </w:p>
        </w:tc>
        <w:tc>
          <w:tcPr>
            <w:tcW w:type="dxa" w:w="6336"/>
            <w:vAlign w:val="top"/>
          </w:tcPr>
          <w:p>
            <w:pPr>
              <w:pStyle w:val="TableText"/>
            </w:pPr>
            <w:r/>
            <w:r>
              <w:rPr>
                <w:b w:val="0"/>
                <w:sz w:val="16"/>
              </w:rPr>
              <w:t>Bind + issue</w:t>
            </w:r>
          </w:p>
        </w:tc>
        <w:tc>
          <w:tcPr>
            <w:tcW w:type="dxa" w:w="6480"/>
            <w:vAlign w:val="top"/>
          </w:tcPr>
          <w:p>
            <w:pPr>
              <w:pStyle w:val="TableText"/>
            </w:pPr>
            <w:r/>
            <w:r>
              <w:rPr>
                <w:b w:val="0"/>
                <w:sz w:val="16"/>
              </w:rPr>
              <w:t>Coverage is BOUND, then formal policy is issued/IN_FORCE for the effective period.</w:t>
            </w:r>
          </w:p>
        </w:tc>
        <w:tc>
          <w:tcPr>
            <w:tcW w:type="dxa" w:w="1872"/>
            <w:vAlign w:val="top"/>
          </w:tcPr>
          <w:p>
            <w:pPr>
              <w:pStyle w:val="TableText"/>
            </w:pPr>
            <w:r/>
            <w:r>
              <w:rPr>
                <w:b w:val="0"/>
                <w:sz w:val="16"/>
              </w:rPr>
              <w:t>Authorized insurer process / Quote &amp; Policy</w:t>
            </w:r>
          </w:p>
        </w:tc>
      </w:tr>
      <w:tr>
        <w:tc>
          <w:tcPr>
            <w:tcW w:type="dxa" w:w="792"/>
            <w:vAlign w:val="top"/>
            <w:shd w:fill="F2F6FA"/>
          </w:tcPr>
          <w:p>
            <w:pPr>
              <w:pStyle w:val="TableText"/>
            </w:pPr>
            <w:r/>
            <w:r>
              <w:rPr>
                <w:b w:val="0"/>
                <w:sz w:val="16"/>
              </w:rPr>
              <w:t>10</w:t>
            </w:r>
          </w:p>
        </w:tc>
        <w:tc>
          <w:tcPr>
            <w:tcW w:type="dxa" w:w="6336"/>
            <w:vAlign w:val="top"/>
            <w:shd w:fill="F2F6FA"/>
          </w:tcPr>
          <w:p>
            <w:pPr>
              <w:pStyle w:val="TableText"/>
            </w:pPr>
            <w:r/>
            <w:r>
              <w:rPr>
                <w:b w:val="0"/>
                <w:sz w:val="16"/>
              </w:rPr>
              <w:t>In-force service</w:t>
            </w:r>
          </w:p>
        </w:tc>
        <w:tc>
          <w:tcPr>
            <w:tcW w:type="dxa" w:w="6480"/>
            <w:vAlign w:val="top"/>
            <w:shd w:fill="F2F6FA"/>
          </w:tcPr>
          <w:p>
            <w:pPr>
              <w:pStyle w:val="TableText"/>
            </w:pPr>
            <w:r/>
            <w:r>
              <w:rPr>
                <w:b w:val="0"/>
                <w:sz w:val="16"/>
              </w:rPr>
              <w:t>Policy remains authoritative; ordinary servicing can occur without rewriting history.</w:t>
            </w:r>
          </w:p>
        </w:tc>
        <w:tc>
          <w:tcPr>
            <w:tcW w:type="dxa" w:w="1872"/>
            <w:vAlign w:val="top"/>
            <w:shd w:fill="F2F6FA"/>
          </w:tcPr>
          <w:p>
            <w:pPr>
              <w:pStyle w:val="TableText"/>
            </w:pPr>
            <w:r/>
            <w:r>
              <w:rPr>
                <w:b w:val="0"/>
                <w:sz w:val="16"/>
              </w:rPr>
              <w:t>Quote &amp; Policy</w:t>
            </w:r>
          </w:p>
        </w:tc>
      </w:tr>
      <w:tr>
        <w:tc>
          <w:tcPr>
            <w:tcW w:type="dxa" w:w="792"/>
            <w:vAlign w:val="top"/>
          </w:tcPr>
          <w:p>
            <w:pPr>
              <w:pStyle w:val="TableText"/>
            </w:pPr>
            <w:r/>
            <w:r>
              <w:rPr>
                <w:b w:val="0"/>
                <w:sz w:val="16"/>
              </w:rPr>
              <w:t>11</w:t>
            </w:r>
          </w:p>
        </w:tc>
        <w:tc>
          <w:tcPr>
            <w:tcW w:type="dxa" w:w="6336"/>
            <w:vAlign w:val="top"/>
          </w:tcPr>
          <w:p>
            <w:pPr>
              <w:pStyle w:val="TableText"/>
            </w:pPr>
            <w:r/>
            <w:r>
              <w:rPr>
                <w:b w:val="0"/>
                <w:sz w:val="16"/>
              </w:rPr>
              <w:t>Renewal</w:t>
            </w:r>
          </w:p>
        </w:tc>
        <w:tc>
          <w:tcPr>
            <w:tcW w:type="dxa" w:w="6480"/>
            <w:vAlign w:val="top"/>
          </w:tcPr>
          <w:p>
            <w:pPr>
              <w:pStyle w:val="TableText"/>
            </w:pPr>
            <w:r/>
            <w:r>
              <w:rPr>
                <w:b w:val="0"/>
                <w:sz w:val="16"/>
              </w:rPr>
              <w:t>Current exposures, loss experience and changes are evaluated for next term.</w:t>
            </w:r>
          </w:p>
        </w:tc>
        <w:tc>
          <w:tcPr>
            <w:tcW w:type="dxa" w:w="1872"/>
            <w:vAlign w:val="top"/>
          </w:tcPr>
          <w:p>
            <w:pPr>
              <w:pStyle w:val="TableText"/>
            </w:pPr>
            <w:r/>
            <w:r>
              <w:rPr>
                <w:b w:val="0"/>
                <w:sz w:val="16"/>
              </w:rPr>
              <w:t>Underwriter / Quote &amp; Policy</w:t>
            </w:r>
          </w:p>
        </w:tc>
      </w:tr>
    </w:tbl>
    <w:p>
      <w:pPr>
        <w:spacing w:after="40"/>
      </w:pPr>
    </w:p>
    <w:p>
      <w:pPr>
        <w:pStyle w:val="Heading2"/>
        <w:keepNext/>
      </w:pPr>
      <w:r>
        <w:t>Test Cases</w:t>
      </w:r>
    </w:p>
    <w:tbl>
      <w:tblPr>
        <w:tblStyle w:val="TableGrid"/>
        <w:tblW w:type="auto" w:w="0"/>
        <w:jc w:val="center"/>
        <w:tblLook w:firstColumn="1" w:firstRow="1" w:lastColumn="0" w:lastRow="0" w:noHBand="0" w:noVBand="1" w:val="04A0"/>
      </w:tblPr>
      <w:tblGrid>
        <w:gridCol w:w="2544"/>
        <w:gridCol w:w="2544"/>
        <w:gridCol w:w="2544"/>
        <w:gridCol w:w="2544"/>
        <w:gridCol w:w="2544"/>
        <w:gridCol w:w="2544"/>
      </w:tblGrid>
      <w:tr>
        <w:trPr>
          <w:tblHeader w:val="true"/>
        </w:trPr>
        <w:tc>
          <w:tcPr>
            <w:tcW w:type="dxa" w:w="936"/>
            <w:vAlign w:val="top"/>
            <w:shd w:fill="17365D"/>
          </w:tcPr>
          <w:p>
            <w:pPr>
              <w:pStyle w:val="TableText"/>
            </w:pPr>
            <w:r>
              <w:rPr>
                <w:color w:val="FFFFFF"/>
              </w:rPr>
            </w:r>
            <w:r>
              <w:rPr>
                <w:b/>
                <w:color w:val="FFFFFF"/>
                <w:sz w:val="16"/>
              </w:rPr>
              <w:t>TC ID</w:t>
            </w:r>
          </w:p>
        </w:tc>
        <w:tc>
          <w:tcPr>
            <w:tcW w:type="dxa" w:w="1944"/>
            <w:vAlign w:val="top"/>
            <w:shd w:fill="17365D"/>
          </w:tcPr>
          <w:p>
            <w:pPr>
              <w:pStyle w:val="TableText"/>
            </w:pPr>
            <w:r>
              <w:rPr>
                <w:color w:val="FFFFFF"/>
              </w:rPr>
            </w:r>
            <w:r>
              <w:rPr>
                <w:b/>
                <w:color w:val="FFFFFF"/>
                <w:sz w:val="16"/>
              </w:rPr>
              <w:t>Lifecycle stage</w:t>
            </w:r>
          </w:p>
        </w:tc>
        <w:tc>
          <w:tcPr>
            <w:tcW w:type="dxa" w:w="2232"/>
            <w:vAlign w:val="top"/>
            <w:shd w:fill="17365D"/>
          </w:tcPr>
          <w:p>
            <w:pPr>
              <w:pStyle w:val="TableText"/>
            </w:pPr>
            <w:r>
              <w:rPr>
                <w:color w:val="FFFFFF"/>
              </w:rPr>
            </w:r>
            <w:r>
              <w:rPr>
                <w:b/>
                <w:color w:val="FFFFFF"/>
                <w:sz w:val="16"/>
              </w:rPr>
              <w:t>Role</w:t>
            </w:r>
          </w:p>
        </w:tc>
        <w:tc>
          <w:tcPr>
            <w:tcW w:type="dxa" w:w="5976"/>
            <w:vAlign w:val="top"/>
            <w:shd w:fill="17365D"/>
          </w:tcPr>
          <w:p>
            <w:pPr>
              <w:pStyle w:val="TableText"/>
            </w:pPr>
            <w:r>
              <w:rPr>
                <w:color w:val="FFFFFF"/>
              </w:rPr>
            </w:r>
            <w:r>
              <w:rPr>
                <w:b/>
                <w:color w:val="FFFFFF"/>
                <w:sz w:val="16"/>
              </w:rPr>
              <w:t>Business test / action</w:t>
            </w:r>
          </w:p>
        </w:tc>
        <w:tc>
          <w:tcPr>
            <w:tcW w:type="dxa" w:w="5760"/>
            <w:vAlign w:val="top"/>
            <w:shd w:fill="17365D"/>
          </w:tcPr>
          <w:p>
            <w:pPr>
              <w:pStyle w:val="TableText"/>
            </w:pPr>
            <w:r>
              <w:rPr>
                <w:color w:val="FFFFFF"/>
              </w:rPr>
            </w:r>
            <w:r>
              <w:rPr>
                <w:b/>
                <w:color w:val="FFFFFF"/>
                <w:sz w:val="16"/>
              </w:rPr>
              <w:t>Expected business outcome</w:t>
            </w:r>
          </w:p>
        </w:tc>
        <w:tc>
          <w:tcPr>
            <w:tcW w:type="dxa" w:w="936"/>
            <w:vAlign w:val="top"/>
            <w:shd w:fill="17365D"/>
          </w:tcPr>
          <w:p>
            <w:pPr>
              <w:pStyle w:val="TableText"/>
            </w:pPr>
            <w:r>
              <w:rPr>
                <w:color w:val="FFFFFF"/>
              </w:rPr>
            </w:r>
            <w:r>
              <w:rPr>
                <w:b/>
                <w:color w:val="FFFFFF"/>
                <w:sz w:val="16"/>
              </w:rPr>
              <w:t>Priority</w:t>
            </w:r>
          </w:p>
        </w:tc>
      </w:tr>
      <w:tr>
        <w:tc>
          <w:tcPr>
            <w:tcW w:type="dxa" w:w="936"/>
            <w:vAlign w:val="top"/>
          </w:tcPr>
          <w:p>
            <w:pPr>
              <w:pStyle w:val="TableText"/>
            </w:pPr>
            <w:r/>
            <w:r>
              <w:rPr>
                <w:b w:val="0"/>
                <w:sz w:val="16"/>
              </w:rPr>
              <w:t>F1-T01</w:t>
            </w:r>
          </w:p>
        </w:tc>
        <w:tc>
          <w:tcPr>
            <w:tcW w:type="dxa" w:w="1944"/>
            <w:vAlign w:val="top"/>
          </w:tcPr>
          <w:p>
            <w:pPr>
              <w:pStyle w:val="TableText"/>
            </w:pPr>
            <w:r/>
            <w:r>
              <w:rPr>
                <w:b w:val="0"/>
                <w:sz w:val="16"/>
              </w:rPr>
              <w:t>Registration</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Create a new policyholder account and complete the small-business profile.</w:t>
            </w:r>
          </w:p>
        </w:tc>
        <w:tc>
          <w:tcPr>
            <w:tcW w:type="dxa" w:w="5760"/>
            <w:vAlign w:val="top"/>
          </w:tcPr>
          <w:p>
            <w:pPr>
              <w:pStyle w:val="TableText"/>
            </w:pPr>
            <w:r/>
            <w:r>
              <w:rPr>
                <w:b w:val="0"/>
                <w:sz w:val="16"/>
              </w:rPr>
              <w:t>Account becomes ACTIVE and the business has a canonical customer/party identity used downstream.</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F1-T02</w:t>
            </w:r>
          </w:p>
        </w:tc>
        <w:tc>
          <w:tcPr>
            <w:tcW w:type="dxa" w:w="1944"/>
            <w:vAlign w:val="top"/>
            <w:shd w:fill="F2F6FA"/>
          </w:tcPr>
          <w:p>
            <w:pPr>
              <w:pStyle w:val="TableText"/>
            </w:pPr>
            <w:r/>
            <w:r>
              <w:rPr>
                <w:b w:val="0"/>
                <w:sz w:val="16"/>
              </w:rPr>
              <w:t>Authorization</w:t>
            </w:r>
          </w:p>
        </w:tc>
        <w:tc>
          <w:tcPr>
            <w:tcW w:type="dxa" w:w="2232"/>
            <w:vAlign w:val="top"/>
            <w:shd w:fill="F2F6FA"/>
          </w:tcPr>
          <w:p>
            <w:pPr>
              <w:pStyle w:val="TableText"/>
            </w:pPr>
            <w:r/>
            <w:r>
              <w:rPr>
                <w:b w:val="0"/>
                <w:sz w:val="16"/>
              </w:rPr>
              <w:t>Customer &amp; Party / Admin</w:t>
            </w:r>
          </w:p>
        </w:tc>
        <w:tc>
          <w:tcPr>
            <w:tcW w:type="dxa" w:w="5976"/>
            <w:vAlign w:val="top"/>
            <w:shd w:fill="F2F6FA"/>
          </w:tcPr>
          <w:p>
            <w:pPr>
              <w:pStyle w:val="TableText"/>
            </w:pPr>
            <w:r/>
            <w:r>
              <w:rPr>
                <w:b w:val="0"/>
                <w:sz w:val="16"/>
              </w:rPr>
              <w:t>Attempt employee-role self-registration instead of administrator creation.</w:t>
            </w:r>
          </w:p>
        </w:tc>
        <w:tc>
          <w:tcPr>
            <w:tcW w:type="dxa" w:w="5760"/>
            <w:vAlign w:val="top"/>
            <w:shd w:fill="F2F6FA"/>
          </w:tcPr>
          <w:p>
            <w:pPr>
              <w:pStyle w:val="TableText"/>
            </w:pPr>
            <w:r/>
            <w:r>
              <w:rPr>
                <w:b w:val="0"/>
                <w:sz w:val="16"/>
              </w:rPr>
              <w:t>Employee role creation is rejected; internal roles are created/activated through the authorized administrative path.</w:t>
            </w:r>
          </w:p>
        </w:tc>
        <w:tc>
          <w:tcPr>
            <w:tcW w:type="dxa" w:w="936"/>
            <w:vAlign w:val="top"/>
            <w:shd w:fill="F2F6FA"/>
          </w:tcPr>
          <w:p>
            <w:pPr>
              <w:pStyle w:val="TableText"/>
            </w:pPr>
            <w:r/>
            <w:r>
              <w:rPr>
                <w:b w:val="0"/>
                <w:sz w:val="16"/>
              </w:rPr>
              <w:t>High</w:t>
            </w:r>
          </w:p>
        </w:tc>
      </w:tr>
      <w:tr>
        <w:tc>
          <w:tcPr>
            <w:tcW w:type="dxa" w:w="936"/>
            <w:vAlign w:val="top"/>
          </w:tcPr>
          <w:p>
            <w:pPr>
              <w:pStyle w:val="TableText"/>
            </w:pPr>
            <w:r/>
            <w:r>
              <w:rPr>
                <w:b w:val="0"/>
                <w:sz w:val="16"/>
              </w:rPr>
              <w:t>F1-T03</w:t>
            </w:r>
          </w:p>
        </w:tc>
        <w:tc>
          <w:tcPr>
            <w:tcW w:type="dxa" w:w="1944"/>
            <w:vAlign w:val="top"/>
          </w:tcPr>
          <w:p>
            <w:pPr>
              <w:pStyle w:val="TableText"/>
            </w:pPr>
            <w:r/>
            <w:r>
              <w:rPr>
                <w:b w:val="0"/>
                <w:sz w:val="16"/>
              </w:rPr>
              <w:t>Draft request</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Create a quote request with business facts, desired coverage and insurance-need narrative.</w:t>
            </w:r>
          </w:p>
        </w:tc>
        <w:tc>
          <w:tcPr>
            <w:tcW w:type="dxa" w:w="5760"/>
            <w:vAlign w:val="top"/>
          </w:tcPr>
          <w:p>
            <w:pPr>
              <w:pStyle w:val="TableText"/>
            </w:pPr>
            <w:r/>
            <w:r>
              <w:rPr>
                <w:b w:val="0"/>
                <w:sz w:val="16"/>
              </w:rPr>
              <w:t>A DRAFT request exists and remains editable.</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F1-T04</w:t>
            </w:r>
          </w:p>
        </w:tc>
        <w:tc>
          <w:tcPr>
            <w:tcW w:type="dxa" w:w="1944"/>
            <w:vAlign w:val="top"/>
            <w:shd w:fill="F2F6FA"/>
          </w:tcPr>
          <w:p>
            <w:pPr>
              <w:pStyle w:val="TableText"/>
            </w:pPr>
            <w:r/>
            <w:r>
              <w:rPr>
                <w:b w:val="0"/>
                <w:sz w:val="16"/>
              </w:rPr>
              <w:t>Draft validation</w:t>
            </w:r>
          </w:p>
        </w:tc>
        <w:tc>
          <w:tcPr>
            <w:tcW w:type="dxa" w:w="2232"/>
            <w:vAlign w:val="top"/>
            <w:shd w:fill="F2F6FA"/>
          </w:tcPr>
          <w:p>
            <w:pPr>
              <w:pStyle w:val="TableText"/>
            </w:pPr>
            <w:r/>
            <w:r>
              <w:rPr>
                <w:b w:val="0"/>
                <w:sz w:val="16"/>
              </w:rPr>
              <w:t>Policyholder</w:t>
            </w:r>
          </w:p>
        </w:tc>
        <w:tc>
          <w:tcPr>
            <w:tcW w:type="dxa" w:w="5976"/>
            <w:vAlign w:val="top"/>
            <w:shd w:fill="F2F6FA"/>
          </w:tcPr>
          <w:p>
            <w:pPr>
              <w:pStyle w:val="TableText"/>
            </w:pPr>
            <w:r/>
            <w:r>
              <w:rPr>
                <w:b w:val="0"/>
                <w:sz w:val="16"/>
              </w:rPr>
              <w:t>Submit with missing required business/exposure information.</w:t>
            </w:r>
          </w:p>
        </w:tc>
        <w:tc>
          <w:tcPr>
            <w:tcW w:type="dxa" w:w="5760"/>
            <w:vAlign w:val="top"/>
            <w:shd w:fill="F2F6FA"/>
          </w:tcPr>
          <w:p>
            <w:pPr>
              <w:pStyle w:val="TableText"/>
            </w:pPr>
            <w:r/>
            <w:r>
              <w:rPr>
                <w:b w:val="0"/>
                <w:sz w:val="16"/>
              </w:rPr>
              <w:t>Submission is not accepted as complete; missing information is identified rather than silently routed for underwriting.</w:t>
            </w:r>
          </w:p>
        </w:tc>
        <w:tc>
          <w:tcPr>
            <w:tcW w:type="dxa" w:w="936"/>
            <w:vAlign w:val="top"/>
            <w:shd w:fill="F2F6FA"/>
          </w:tcPr>
          <w:p>
            <w:pPr>
              <w:pStyle w:val="TableText"/>
            </w:pPr>
            <w:r/>
            <w:r>
              <w:rPr>
                <w:b w:val="0"/>
                <w:sz w:val="16"/>
              </w:rPr>
              <w:t>High</w:t>
            </w:r>
          </w:p>
        </w:tc>
      </w:tr>
      <w:tr>
        <w:tc>
          <w:tcPr>
            <w:tcW w:type="dxa" w:w="936"/>
            <w:vAlign w:val="top"/>
          </w:tcPr>
          <w:p>
            <w:pPr>
              <w:pStyle w:val="TableText"/>
            </w:pPr>
            <w:r/>
            <w:r>
              <w:rPr>
                <w:b w:val="0"/>
                <w:sz w:val="16"/>
              </w:rPr>
              <w:t>F1-T05</w:t>
            </w:r>
          </w:p>
        </w:tc>
        <w:tc>
          <w:tcPr>
            <w:tcW w:type="dxa" w:w="1944"/>
            <w:vAlign w:val="top"/>
          </w:tcPr>
          <w:p>
            <w:pPr>
              <w:pStyle w:val="TableText"/>
            </w:pPr>
            <w:r/>
            <w:r>
              <w:rPr>
                <w:b w:val="0"/>
                <w:sz w:val="16"/>
              </w:rPr>
              <w:t>Submission</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Submit a complete request.</w:t>
            </w:r>
          </w:p>
        </w:tc>
        <w:tc>
          <w:tcPr>
            <w:tcW w:type="dxa" w:w="5760"/>
            <w:vAlign w:val="top"/>
          </w:tcPr>
          <w:p>
            <w:pPr>
              <w:pStyle w:val="TableText"/>
            </w:pPr>
            <w:r/>
            <w:r>
              <w:rPr>
                <w:b w:val="0"/>
                <w:sz w:val="16"/>
              </w:rPr>
              <w:t>Quote/submission moves to SUBMITTED; workflow starts intake processing.</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F1-T06</w:t>
            </w:r>
          </w:p>
        </w:tc>
        <w:tc>
          <w:tcPr>
            <w:tcW w:type="dxa" w:w="1944"/>
            <w:vAlign w:val="top"/>
            <w:shd w:fill="F2F6FA"/>
          </w:tcPr>
          <w:p>
            <w:pPr>
              <w:pStyle w:val="TableText"/>
            </w:pPr>
            <w:r/>
            <w:r>
              <w:rPr>
                <w:b w:val="0"/>
                <w:sz w:val="16"/>
              </w:rPr>
              <w:t>Triage</w:t>
            </w:r>
          </w:p>
        </w:tc>
        <w:tc>
          <w:tcPr>
            <w:tcW w:type="dxa" w:w="2232"/>
            <w:vAlign w:val="top"/>
            <w:shd w:fill="F2F6FA"/>
          </w:tcPr>
          <w:p>
            <w:pPr>
              <w:pStyle w:val="TableText"/>
            </w:pPr>
            <w:r/>
            <w:r>
              <w:rPr>
                <w:b w:val="0"/>
                <w:sz w:val="16"/>
              </w:rPr>
              <w:t>Workflow / Underwriting</w:t>
            </w:r>
          </w:p>
        </w:tc>
        <w:tc>
          <w:tcPr>
            <w:tcW w:type="dxa" w:w="5976"/>
            <w:vAlign w:val="top"/>
            <w:shd w:fill="F2F6FA"/>
          </w:tcPr>
          <w:p>
            <w:pPr>
              <w:pStyle w:val="TableText"/>
            </w:pPr>
            <w:r/>
            <w:r>
              <w:rPr>
                <w:b w:val="0"/>
                <w:sz w:val="16"/>
              </w:rPr>
              <w:t>Run completeness, eligibility and appetite screening on the clean restaurant profile.</w:t>
            </w:r>
          </w:p>
        </w:tc>
        <w:tc>
          <w:tcPr>
            <w:tcW w:type="dxa" w:w="5760"/>
            <w:vAlign w:val="top"/>
            <w:shd w:fill="F2F6FA"/>
          </w:tcPr>
          <w:p>
            <w:pPr>
              <w:pStyle w:val="TableText"/>
            </w:pPr>
            <w:r/>
            <w:r>
              <w:rPr>
                <w:b w:val="0"/>
                <w:sz w:val="16"/>
              </w:rPr>
              <w:t>Submission clears triage and is eligible for underwriting review.</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F1-T07</w:t>
            </w:r>
          </w:p>
        </w:tc>
        <w:tc>
          <w:tcPr>
            <w:tcW w:type="dxa" w:w="1944"/>
            <w:vAlign w:val="top"/>
          </w:tcPr>
          <w:p>
            <w:pPr>
              <w:pStyle w:val="TableText"/>
            </w:pPr>
            <w:r/>
            <w:r>
              <w:rPr>
                <w:b w:val="0"/>
                <w:sz w:val="16"/>
              </w:rPr>
              <w:t>Assignment</w:t>
            </w:r>
          </w:p>
        </w:tc>
        <w:tc>
          <w:tcPr>
            <w:tcW w:type="dxa" w:w="2232"/>
            <w:vAlign w:val="top"/>
          </w:tcPr>
          <w:p>
            <w:pPr>
              <w:pStyle w:val="TableText"/>
            </w:pPr>
            <w:r/>
            <w:r>
              <w:rPr>
                <w:b w:val="0"/>
                <w:sz w:val="16"/>
              </w:rPr>
              <w:t>Workflow</w:t>
            </w:r>
          </w:p>
        </w:tc>
        <w:tc>
          <w:tcPr>
            <w:tcW w:type="dxa" w:w="5976"/>
            <w:vAlign w:val="top"/>
          </w:tcPr>
          <w:p>
            <w:pPr>
              <w:pStyle w:val="TableText"/>
            </w:pPr>
            <w:r/>
            <w:r>
              <w:rPr>
                <w:b w:val="0"/>
                <w:sz w:val="16"/>
              </w:rPr>
              <w:t>Create underwriting work for the submitted case.</w:t>
            </w:r>
          </w:p>
        </w:tc>
        <w:tc>
          <w:tcPr>
            <w:tcW w:type="dxa" w:w="5760"/>
            <w:vAlign w:val="top"/>
          </w:tcPr>
          <w:p>
            <w:pPr>
              <w:pStyle w:val="TableText"/>
            </w:pPr>
            <w:r/>
            <w:r>
              <w:rPr>
                <w:b w:val="0"/>
                <w:sz w:val="16"/>
              </w:rPr>
              <w:t>Exactly one current accountable underwriting task is created for the appropriate underwriter; assignment history is traceable.</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F1-T08</w:t>
            </w:r>
          </w:p>
        </w:tc>
        <w:tc>
          <w:tcPr>
            <w:tcW w:type="dxa" w:w="1944"/>
            <w:vAlign w:val="top"/>
            <w:shd w:fill="F2F6FA"/>
          </w:tcPr>
          <w:p>
            <w:pPr>
              <w:pStyle w:val="TableText"/>
            </w:pPr>
            <w:r/>
            <w:r>
              <w:rPr>
                <w:b w:val="0"/>
                <w:sz w:val="16"/>
              </w:rPr>
              <w:t>Risk assessment</w:t>
            </w:r>
          </w:p>
        </w:tc>
        <w:tc>
          <w:tcPr>
            <w:tcW w:type="dxa" w:w="2232"/>
            <w:vAlign w:val="top"/>
            <w:shd w:fill="F2F6FA"/>
          </w:tcPr>
          <w:p>
            <w:pPr>
              <w:pStyle w:val="TableText"/>
            </w:pPr>
            <w:r/>
            <w:r>
              <w:rPr>
                <w:b w:val="0"/>
                <w:sz w:val="16"/>
              </w:rPr>
              <w:t>Underwriter / Risk Engineer</w:t>
            </w:r>
          </w:p>
        </w:tc>
        <w:tc>
          <w:tcPr>
            <w:tcW w:type="dxa" w:w="5976"/>
            <w:vAlign w:val="top"/>
            <w:shd w:fill="F2F6FA"/>
          </w:tcPr>
          <w:p>
            <w:pPr>
              <w:pStyle w:val="TableText"/>
            </w:pPr>
            <w:r/>
            <w:r>
              <w:rPr>
                <w:b w:val="0"/>
                <w:sz w:val="16"/>
              </w:rPr>
              <w:t>Review operations, location, fire protection, equipment, controls, loss history and supporting documents.</w:t>
            </w:r>
          </w:p>
        </w:tc>
        <w:tc>
          <w:tcPr>
            <w:tcW w:type="dxa" w:w="5760"/>
            <w:vAlign w:val="top"/>
            <w:shd w:fill="F2F6FA"/>
          </w:tcPr>
          <w:p>
            <w:pPr>
              <w:pStyle w:val="TableText"/>
            </w:pPr>
            <w:r/>
            <w:r>
              <w:rPr>
                <w:b w:val="0"/>
                <w:sz w:val="16"/>
              </w:rPr>
              <w:t>Risk assessment contains findings and recommendations; risk evidence is separate from the policy contract.</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F1-T09</w:t>
            </w:r>
          </w:p>
        </w:tc>
        <w:tc>
          <w:tcPr>
            <w:tcW w:type="dxa" w:w="1944"/>
            <w:vAlign w:val="top"/>
          </w:tcPr>
          <w:p>
            <w:pPr>
              <w:pStyle w:val="TableText"/>
            </w:pPr>
            <w:r/>
            <w:r>
              <w:rPr>
                <w:b w:val="0"/>
                <w:sz w:val="16"/>
              </w:rPr>
              <w:t>Subjectivity</w:t>
            </w:r>
          </w:p>
        </w:tc>
        <w:tc>
          <w:tcPr>
            <w:tcW w:type="dxa" w:w="2232"/>
            <w:vAlign w:val="top"/>
          </w:tcPr>
          <w:p>
            <w:pPr>
              <w:pStyle w:val="TableText"/>
            </w:pPr>
            <w:r/>
            <w:r>
              <w:rPr>
                <w:b w:val="0"/>
                <w:sz w:val="16"/>
              </w:rPr>
              <w:t>Underwriter</w:t>
            </w:r>
          </w:p>
        </w:tc>
        <w:tc>
          <w:tcPr>
            <w:tcW w:type="dxa" w:w="5976"/>
            <w:vAlign w:val="top"/>
          </w:tcPr>
          <w:p>
            <w:pPr>
              <w:pStyle w:val="TableText"/>
            </w:pPr>
            <w:r/>
            <w:r>
              <w:rPr>
                <w:b w:val="0"/>
                <w:sz w:val="16"/>
              </w:rPr>
              <w:t>Identify a required condition before binding, e.g., install/verify a control.</w:t>
            </w:r>
          </w:p>
        </w:tc>
        <w:tc>
          <w:tcPr>
            <w:tcW w:type="dxa" w:w="5760"/>
            <w:vAlign w:val="top"/>
          </w:tcPr>
          <w:p>
            <w:pPr>
              <w:pStyle w:val="TableText"/>
            </w:pPr>
            <w:r/>
            <w:r>
              <w:rPr>
                <w:b w:val="0"/>
                <w:sz w:val="16"/>
              </w:rPr>
              <w:t>A subjectivity is recorded with an accountable task and is not silently treated as satisfied.</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F1-T10</w:t>
            </w:r>
          </w:p>
        </w:tc>
        <w:tc>
          <w:tcPr>
            <w:tcW w:type="dxa" w:w="1944"/>
            <w:vAlign w:val="top"/>
            <w:shd w:fill="F2F6FA"/>
          </w:tcPr>
          <w:p>
            <w:pPr>
              <w:pStyle w:val="TableText"/>
            </w:pPr>
            <w:r/>
            <w:r>
              <w:rPr>
                <w:b w:val="0"/>
                <w:sz w:val="16"/>
              </w:rPr>
              <w:t>Pricing / terms</w:t>
            </w:r>
          </w:p>
        </w:tc>
        <w:tc>
          <w:tcPr>
            <w:tcW w:type="dxa" w:w="2232"/>
            <w:vAlign w:val="top"/>
            <w:shd w:fill="F2F6FA"/>
          </w:tcPr>
          <w:p>
            <w:pPr>
              <w:pStyle w:val="TableText"/>
            </w:pPr>
            <w:r/>
            <w:r>
              <w:rPr>
                <w:b w:val="0"/>
                <w:sz w:val="16"/>
              </w:rPr>
              <w:t>Underwriter</w:t>
            </w:r>
          </w:p>
        </w:tc>
        <w:tc>
          <w:tcPr>
            <w:tcW w:type="dxa" w:w="5976"/>
            <w:vAlign w:val="top"/>
            <w:shd w:fill="F2F6FA"/>
          </w:tcPr>
          <w:p>
            <w:pPr>
              <w:pStyle w:val="TableText"/>
            </w:pPr>
            <w:r/>
            <w:r>
              <w:rPr>
                <w:b w:val="0"/>
                <w:sz w:val="16"/>
              </w:rPr>
              <w:t>Set acceptable coverage structure, limits, deductibles, premium and quote validity.</w:t>
            </w:r>
          </w:p>
        </w:tc>
        <w:tc>
          <w:tcPr>
            <w:tcW w:type="dxa" w:w="5760"/>
            <w:vAlign w:val="top"/>
            <w:shd w:fill="F2F6FA"/>
          </w:tcPr>
          <w:p>
            <w:pPr>
              <w:pStyle w:val="TableText"/>
            </w:pPr>
            <w:r/>
            <w:r>
              <w:rPr>
                <w:b w:val="0"/>
                <w:sz w:val="16"/>
              </w:rPr>
              <w:t>A QUOTED offer contains explicit proposed terms and expiry; fixed-demo premium logic is not treated as authoritative business pricing.</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F1-T11</w:t>
            </w:r>
          </w:p>
        </w:tc>
        <w:tc>
          <w:tcPr>
            <w:tcW w:type="dxa" w:w="1944"/>
            <w:vAlign w:val="top"/>
          </w:tcPr>
          <w:p>
            <w:pPr>
              <w:pStyle w:val="TableText"/>
            </w:pPr>
            <w:r/>
            <w:r>
              <w:rPr>
                <w:b w:val="0"/>
                <w:sz w:val="16"/>
              </w:rPr>
              <w:t>Quote presentation</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Open the quoted offer before expiry.</w:t>
            </w:r>
          </w:p>
        </w:tc>
        <w:tc>
          <w:tcPr>
            <w:tcW w:type="dxa" w:w="5760"/>
            <w:vAlign w:val="top"/>
          </w:tcPr>
          <w:p>
            <w:pPr>
              <w:pStyle w:val="TableText"/>
            </w:pPr>
            <w:r/>
            <w:r>
              <w:rPr>
                <w:b w:val="0"/>
                <w:sz w:val="16"/>
              </w:rPr>
              <w:t>Customer can see the proposed terms and any outstanding requirements.</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F1-T12</w:t>
            </w:r>
          </w:p>
        </w:tc>
        <w:tc>
          <w:tcPr>
            <w:tcW w:type="dxa" w:w="1944"/>
            <w:vAlign w:val="top"/>
            <w:shd w:fill="F2F6FA"/>
          </w:tcPr>
          <w:p>
            <w:pPr>
              <w:pStyle w:val="TableText"/>
            </w:pPr>
            <w:r/>
            <w:r>
              <w:rPr>
                <w:b w:val="0"/>
                <w:sz w:val="16"/>
              </w:rPr>
              <w:t>Customer rejection</w:t>
            </w:r>
          </w:p>
        </w:tc>
        <w:tc>
          <w:tcPr>
            <w:tcW w:type="dxa" w:w="2232"/>
            <w:vAlign w:val="top"/>
            <w:shd w:fill="F2F6FA"/>
          </w:tcPr>
          <w:p>
            <w:pPr>
              <w:pStyle w:val="TableText"/>
            </w:pPr>
            <w:r/>
            <w:r>
              <w:rPr>
                <w:b w:val="0"/>
                <w:sz w:val="16"/>
              </w:rPr>
              <w:t>Policyholder</w:t>
            </w:r>
          </w:p>
        </w:tc>
        <w:tc>
          <w:tcPr>
            <w:tcW w:type="dxa" w:w="5976"/>
            <w:vAlign w:val="top"/>
            <w:shd w:fill="F2F6FA"/>
          </w:tcPr>
          <w:p>
            <w:pPr>
              <w:pStyle w:val="TableText"/>
            </w:pPr>
            <w:r/>
            <w:r>
              <w:rPr>
                <w:b w:val="0"/>
                <w:sz w:val="16"/>
              </w:rPr>
              <w:t>Decline the quoted terms.</w:t>
            </w:r>
          </w:p>
        </w:tc>
        <w:tc>
          <w:tcPr>
            <w:tcW w:type="dxa" w:w="5760"/>
            <w:vAlign w:val="top"/>
            <w:shd w:fill="F2F6FA"/>
          </w:tcPr>
          <w:p>
            <w:pPr>
              <w:pStyle w:val="TableText"/>
            </w:pPr>
            <w:r/>
            <w:r>
              <w:rPr>
                <w:b w:val="0"/>
                <w:sz w:val="16"/>
              </w:rPr>
              <w:t>Quote records a controlled decline/withdrawal outcome; it cannot proceed to bind.</w:t>
            </w:r>
          </w:p>
        </w:tc>
        <w:tc>
          <w:tcPr>
            <w:tcW w:type="dxa" w:w="936"/>
            <w:vAlign w:val="top"/>
            <w:shd w:fill="F2F6FA"/>
          </w:tcPr>
          <w:p>
            <w:pPr>
              <w:pStyle w:val="TableText"/>
            </w:pPr>
            <w:r/>
            <w:r>
              <w:rPr>
                <w:b w:val="0"/>
                <w:sz w:val="16"/>
              </w:rPr>
              <w:t>High</w:t>
            </w:r>
          </w:p>
        </w:tc>
      </w:tr>
      <w:tr>
        <w:tc>
          <w:tcPr>
            <w:tcW w:type="dxa" w:w="936"/>
            <w:vAlign w:val="top"/>
          </w:tcPr>
          <w:p>
            <w:pPr>
              <w:pStyle w:val="TableText"/>
            </w:pPr>
            <w:r/>
            <w:r>
              <w:rPr>
                <w:b w:val="0"/>
                <w:sz w:val="16"/>
              </w:rPr>
              <w:t>F1-T13</w:t>
            </w:r>
          </w:p>
        </w:tc>
        <w:tc>
          <w:tcPr>
            <w:tcW w:type="dxa" w:w="1944"/>
            <w:vAlign w:val="top"/>
          </w:tcPr>
          <w:p>
            <w:pPr>
              <w:pStyle w:val="TableText"/>
            </w:pPr>
            <w:r/>
            <w:r>
              <w:rPr>
                <w:b w:val="0"/>
                <w:sz w:val="16"/>
              </w:rPr>
              <w:t>Quote expiry</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Allow quote validity to end without acceptance.</w:t>
            </w:r>
          </w:p>
        </w:tc>
        <w:tc>
          <w:tcPr>
            <w:tcW w:type="dxa" w:w="5760"/>
            <w:vAlign w:val="top"/>
          </w:tcPr>
          <w:p>
            <w:pPr>
              <w:pStyle w:val="TableText"/>
            </w:pPr>
            <w:r/>
            <w:r>
              <w:rPr>
                <w:b w:val="0"/>
                <w:sz w:val="16"/>
              </w:rPr>
              <w:t>Quote becomes EXPIRED and cannot be bound under the expired offer.</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F1-T14</w:t>
            </w:r>
          </w:p>
        </w:tc>
        <w:tc>
          <w:tcPr>
            <w:tcW w:type="dxa" w:w="1944"/>
            <w:vAlign w:val="top"/>
            <w:shd w:fill="F2F6FA"/>
          </w:tcPr>
          <w:p>
            <w:pPr>
              <w:pStyle w:val="TableText"/>
            </w:pPr>
            <w:r/>
            <w:r>
              <w:rPr>
                <w:b w:val="0"/>
                <w:sz w:val="16"/>
              </w:rPr>
              <w:t>Acceptance</w:t>
            </w:r>
          </w:p>
        </w:tc>
        <w:tc>
          <w:tcPr>
            <w:tcW w:type="dxa" w:w="2232"/>
            <w:vAlign w:val="top"/>
            <w:shd w:fill="F2F6FA"/>
          </w:tcPr>
          <w:p>
            <w:pPr>
              <w:pStyle w:val="TableText"/>
            </w:pPr>
            <w:r/>
            <w:r>
              <w:rPr>
                <w:b w:val="0"/>
                <w:sz w:val="16"/>
              </w:rPr>
              <w:t>Policyholder</w:t>
            </w:r>
          </w:p>
        </w:tc>
        <w:tc>
          <w:tcPr>
            <w:tcW w:type="dxa" w:w="5976"/>
            <w:vAlign w:val="top"/>
            <w:shd w:fill="F2F6FA"/>
          </w:tcPr>
          <w:p>
            <w:pPr>
              <w:pStyle w:val="TableText"/>
            </w:pPr>
            <w:r/>
            <w:r>
              <w:rPr>
                <w:b w:val="0"/>
                <w:sz w:val="16"/>
              </w:rPr>
              <w:t>Accept a valid quote with all required subjectivities satisfied.</w:t>
            </w:r>
          </w:p>
        </w:tc>
        <w:tc>
          <w:tcPr>
            <w:tcW w:type="dxa" w:w="5760"/>
            <w:vAlign w:val="top"/>
            <w:shd w:fill="F2F6FA"/>
          </w:tcPr>
          <w:p>
            <w:pPr>
              <w:pStyle w:val="TableText"/>
            </w:pPr>
            <w:r/>
            <w:r>
              <w:rPr>
                <w:b w:val="0"/>
                <w:sz w:val="16"/>
              </w:rPr>
              <w:t>Customer acceptance is recorded and the transaction becomes bind-ready.</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F1-T15</w:t>
            </w:r>
          </w:p>
        </w:tc>
        <w:tc>
          <w:tcPr>
            <w:tcW w:type="dxa" w:w="1944"/>
            <w:vAlign w:val="top"/>
          </w:tcPr>
          <w:p>
            <w:pPr>
              <w:pStyle w:val="TableText"/>
            </w:pPr>
            <w:r/>
            <w:r>
              <w:rPr>
                <w:b w:val="0"/>
                <w:sz w:val="16"/>
              </w:rPr>
              <w:t>Bind control</w:t>
            </w:r>
          </w:p>
        </w:tc>
        <w:tc>
          <w:tcPr>
            <w:tcW w:type="dxa" w:w="2232"/>
            <w:vAlign w:val="top"/>
          </w:tcPr>
          <w:p>
            <w:pPr>
              <w:pStyle w:val="TableText"/>
            </w:pPr>
            <w:r/>
            <w:r>
              <w:rPr>
                <w:b w:val="0"/>
                <w:sz w:val="16"/>
              </w:rPr>
              <w:t>Authorized insurer process</w:t>
            </w:r>
          </w:p>
        </w:tc>
        <w:tc>
          <w:tcPr>
            <w:tcW w:type="dxa" w:w="5976"/>
            <w:vAlign w:val="top"/>
          </w:tcPr>
          <w:p>
            <w:pPr>
              <w:pStyle w:val="TableText"/>
            </w:pPr>
            <w:r/>
            <w:r>
              <w:rPr>
                <w:b w:val="0"/>
                <w:sz w:val="16"/>
              </w:rPr>
              <w:t>Attempt to bind while a mandatory subjectivity is outstanding.</w:t>
            </w:r>
          </w:p>
        </w:tc>
        <w:tc>
          <w:tcPr>
            <w:tcW w:type="dxa" w:w="5760"/>
            <w:vAlign w:val="top"/>
          </w:tcPr>
          <w:p>
            <w:pPr>
              <w:pStyle w:val="TableText"/>
            </w:pPr>
            <w:r/>
            <w:r>
              <w:rPr>
                <w:b w:val="0"/>
                <w:sz w:val="16"/>
              </w:rPr>
              <w:t>Bind is blocked until the required condition is satisfied or formally dispositioned according to configured authority.</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F1-T16</w:t>
            </w:r>
          </w:p>
        </w:tc>
        <w:tc>
          <w:tcPr>
            <w:tcW w:type="dxa" w:w="1944"/>
            <w:vAlign w:val="top"/>
            <w:shd w:fill="F2F6FA"/>
          </w:tcPr>
          <w:p>
            <w:pPr>
              <w:pStyle w:val="TableText"/>
            </w:pPr>
            <w:r/>
            <w:r>
              <w:rPr>
                <w:b w:val="0"/>
                <w:sz w:val="16"/>
              </w:rPr>
              <w:t>Bind</w:t>
            </w:r>
          </w:p>
        </w:tc>
        <w:tc>
          <w:tcPr>
            <w:tcW w:type="dxa" w:w="2232"/>
            <w:vAlign w:val="top"/>
            <w:shd w:fill="F2F6FA"/>
          </w:tcPr>
          <w:p>
            <w:pPr>
              <w:pStyle w:val="TableText"/>
            </w:pPr>
            <w:r/>
            <w:r>
              <w:rPr>
                <w:b w:val="0"/>
                <w:sz w:val="16"/>
              </w:rPr>
              <w:t>Authorized insurer process</w:t>
            </w:r>
          </w:p>
        </w:tc>
        <w:tc>
          <w:tcPr>
            <w:tcW w:type="dxa" w:w="5976"/>
            <w:vAlign w:val="top"/>
            <w:shd w:fill="F2F6FA"/>
          </w:tcPr>
          <w:p>
            <w:pPr>
              <w:pStyle w:val="TableText"/>
            </w:pPr>
            <w:r/>
            <w:r>
              <w:rPr>
                <w:b w:val="0"/>
                <w:sz w:val="16"/>
              </w:rPr>
              <w:t>Bind the accepted, condition-satisfied transaction.</w:t>
            </w:r>
          </w:p>
        </w:tc>
        <w:tc>
          <w:tcPr>
            <w:tcW w:type="dxa" w:w="5760"/>
            <w:vAlign w:val="top"/>
            <w:shd w:fill="F2F6FA"/>
          </w:tcPr>
          <w:p>
            <w:pPr>
              <w:pStyle w:val="TableText"/>
            </w:pPr>
            <w:r/>
            <w:r>
              <w:rPr>
                <w:b w:val="0"/>
                <w:sz w:val="16"/>
              </w:rPr>
              <w:t>Policy reaches BOUND with the contractual terms captured; bind is distinct from issuance.</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F1-T17</w:t>
            </w:r>
          </w:p>
        </w:tc>
        <w:tc>
          <w:tcPr>
            <w:tcW w:type="dxa" w:w="1944"/>
            <w:vAlign w:val="top"/>
          </w:tcPr>
          <w:p>
            <w:pPr>
              <w:pStyle w:val="TableText"/>
            </w:pPr>
            <w:r/>
            <w:r>
              <w:rPr>
                <w:b w:val="0"/>
                <w:sz w:val="16"/>
              </w:rPr>
              <w:t>Issue</w:t>
            </w:r>
          </w:p>
        </w:tc>
        <w:tc>
          <w:tcPr>
            <w:tcW w:type="dxa" w:w="2232"/>
            <w:vAlign w:val="top"/>
          </w:tcPr>
          <w:p>
            <w:pPr>
              <w:pStyle w:val="TableText"/>
            </w:pPr>
            <w:r/>
            <w:r>
              <w:rPr>
                <w:b w:val="0"/>
                <w:sz w:val="16"/>
              </w:rPr>
              <w:t>Quote &amp; Policy / Document</w:t>
            </w:r>
          </w:p>
        </w:tc>
        <w:tc>
          <w:tcPr>
            <w:tcW w:type="dxa" w:w="5976"/>
            <w:vAlign w:val="top"/>
          </w:tcPr>
          <w:p>
            <w:pPr>
              <w:pStyle w:val="TableText"/>
            </w:pPr>
            <w:r/>
            <w:r>
              <w:rPr>
                <w:b w:val="0"/>
                <w:sz w:val="16"/>
              </w:rPr>
              <w:t>Issue formal policy documents for the bound transaction.</w:t>
            </w:r>
          </w:p>
        </w:tc>
        <w:tc>
          <w:tcPr>
            <w:tcW w:type="dxa" w:w="5760"/>
            <w:vAlign w:val="top"/>
          </w:tcPr>
          <w:p>
            <w:pPr>
              <w:pStyle w:val="TableText"/>
            </w:pPr>
            <w:r/>
            <w:r>
              <w:rPr>
                <w:b w:val="0"/>
                <w:sz w:val="16"/>
              </w:rPr>
              <w:t>Policy becomes the authoritative in-force contract with policy number, effective dates, coverages, limits, deductibles and premium; issue evidence is retained.</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F1-T18</w:t>
            </w:r>
          </w:p>
        </w:tc>
        <w:tc>
          <w:tcPr>
            <w:tcW w:type="dxa" w:w="1944"/>
            <w:vAlign w:val="top"/>
            <w:shd w:fill="F2F6FA"/>
          </w:tcPr>
          <w:p>
            <w:pPr>
              <w:pStyle w:val="TableText"/>
            </w:pPr>
            <w:r/>
            <w:r>
              <w:rPr>
                <w:b w:val="0"/>
                <w:sz w:val="16"/>
              </w:rPr>
              <w:t>Policy servicing</w:t>
            </w:r>
          </w:p>
        </w:tc>
        <w:tc>
          <w:tcPr>
            <w:tcW w:type="dxa" w:w="2232"/>
            <w:vAlign w:val="top"/>
            <w:shd w:fill="F2F6FA"/>
          </w:tcPr>
          <w:p>
            <w:pPr>
              <w:pStyle w:val="TableText"/>
            </w:pPr>
            <w:r/>
            <w:r>
              <w:rPr>
                <w:b w:val="0"/>
                <w:sz w:val="16"/>
              </w:rPr>
              <w:t>Policyholder / Quote &amp; Policy</w:t>
            </w:r>
          </w:p>
        </w:tc>
        <w:tc>
          <w:tcPr>
            <w:tcW w:type="dxa" w:w="5976"/>
            <w:vAlign w:val="top"/>
            <w:shd w:fill="F2F6FA"/>
          </w:tcPr>
          <w:p>
            <w:pPr>
              <w:pStyle w:val="TableText"/>
            </w:pPr>
            <w:r/>
            <w:r>
              <w:rPr>
                <w:b w:val="0"/>
                <w:sz w:val="16"/>
              </w:rPr>
              <w:t>Request a non-material policy update during the term.</w:t>
            </w:r>
          </w:p>
        </w:tc>
        <w:tc>
          <w:tcPr>
            <w:tcW w:type="dxa" w:w="5760"/>
            <w:vAlign w:val="top"/>
            <w:shd w:fill="F2F6FA"/>
          </w:tcPr>
          <w:p>
            <w:pPr>
              <w:pStyle w:val="TableText"/>
            </w:pPr>
            <w:r/>
            <w:r>
              <w:rPr>
                <w:b w:val="0"/>
                <w:sz w:val="16"/>
              </w:rPr>
              <w:t>A controlled servicing transaction/endorsement is created; original policy history remains preserved.</w:t>
            </w:r>
          </w:p>
        </w:tc>
        <w:tc>
          <w:tcPr>
            <w:tcW w:type="dxa" w:w="936"/>
            <w:vAlign w:val="top"/>
            <w:shd w:fill="F2F6FA"/>
          </w:tcPr>
          <w:p>
            <w:pPr>
              <w:pStyle w:val="TableText"/>
            </w:pPr>
            <w:r/>
            <w:r>
              <w:rPr>
                <w:b w:val="0"/>
                <w:sz w:val="16"/>
              </w:rPr>
              <w:t>High</w:t>
            </w:r>
          </w:p>
        </w:tc>
      </w:tr>
      <w:tr>
        <w:tc>
          <w:tcPr>
            <w:tcW w:type="dxa" w:w="936"/>
            <w:vAlign w:val="top"/>
          </w:tcPr>
          <w:p>
            <w:pPr>
              <w:pStyle w:val="TableText"/>
            </w:pPr>
            <w:r/>
            <w:r>
              <w:rPr>
                <w:b w:val="0"/>
                <w:sz w:val="16"/>
              </w:rPr>
              <w:t>F1-T19</w:t>
            </w:r>
          </w:p>
        </w:tc>
        <w:tc>
          <w:tcPr>
            <w:tcW w:type="dxa" w:w="1944"/>
            <w:vAlign w:val="top"/>
          </w:tcPr>
          <w:p>
            <w:pPr>
              <w:pStyle w:val="TableText"/>
            </w:pPr>
            <w:r/>
            <w:r>
              <w:rPr>
                <w:b w:val="0"/>
                <w:sz w:val="16"/>
              </w:rPr>
              <w:t>Material change referral</w:t>
            </w:r>
          </w:p>
        </w:tc>
        <w:tc>
          <w:tcPr>
            <w:tcW w:type="dxa" w:w="2232"/>
            <w:vAlign w:val="top"/>
          </w:tcPr>
          <w:p>
            <w:pPr>
              <w:pStyle w:val="TableText"/>
            </w:pPr>
            <w:r/>
            <w:r>
              <w:rPr>
                <w:b w:val="0"/>
                <w:sz w:val="16"/>
              </w:rPr>
              <w:t>Policyholder / Underwriter</w:t>
            </w:r>
          </w:p>
        </w:tc>
        <w:tc>
          <w:tcPr>
            <w:tcW w:type="dxa" w:w="5976"/>
            <w:vAlign w:val="top"/>
          </w:tcPr>
          <w:p>
            <w:pPr>
              <w:pStyle w:val="TableText"/>
            </w:pPr>
            <w:r/>
            <w:r>
              <w:rPr>
                <w:b w:val="0"/>
                <w:sz w:val="16"/>
              </w:rPr>
              <w:t>Request a material exposure change, such as adding a second location.</w:t>
            </w:r>
          </w:p>
        </w:tc>
        <w:tc>
          <w:tcPr>
            <w:tcW w:type="dxa" w:w="5760"/>
            <w:vAlign w:val="top"/>
          </w:tcPr>
          <w:p>
            <w:pPr>
              <w:pStyle w:val="TableText"/>
            </w:pPr>
            <w:r/>
            <w:r>
              <w:rPr>
                <w:b w:val="0"/>
                <w:sz w:val="16"/>
              </w:rPr>
              <w:t>Change is treated as a policy transaction and can trigger underwriting/risk review rather than silently changing the existing contract.</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F1-T20</w:t>
            </w:r>
          </w:p>
        </w:tc>
        <w:tc>
          <w:tcPr>
            <w:tcW w:type="dxa" w:w="1944"/>
            <w:vAlign w:val="top"/>
            <w:shd w:fill="F2F6FA"/>
          </w:tcPr>
          <w:p>
            <w:pPr>
              <w:pStyle w:val="TableText"/>
            </w:pPr>
            <w:r/>
            <w:r>
              <w:rPr>
                <w:b w:val="0"/>
                <w:sz w:val="16"/>
              </w:rPr>
              <w:t>Renewal</w:t>
            </w:r>
          </w:p>
        </w:tc>
        <w:tc>
          <w:tcPr>
            <w:tcW w:type="dxa" w:w="2232"/>
            <w:vAlign w:val="top"/>
            <w:shd w:fill="F2F6FA"/>
          </w:tcPr>
          <w:p>
            <w:pPr>
              <w:pStyle w:val="TableText"/>
            </w:pPr>
            <w:r/>
            <w:r>
              <w:rPr>
                <w:b w:val="0"/>
                <w:sz w:val="16"/>
              </w:rPr>
              <w:t>Underwriter / Policyholder</w:t>
            </w:r>
          </w:p>
        </w:tc>
        <w:tc>
          <w:tcPr>
            <w:tcW w:type="dxa" w:w="5976"/>
            <w:vAlign w:val="top"/>
            <w:shd w:fill="F2F6FA"/>
          </w:tcPr>
          <w:p>
            <w:pPr>
              <w:pStyle w:val="TableText"/>
            </w:pPr>
            <w:r/>
            <w:r>
              <w:rPr>
                <w:b w:val="0"/>
                <w:sz w:val="16"/>
              </w:rPr>
              <w:t>Start renewal using current exposure and any term claims/changes.</w:t>
            </w:r>
          </w:p>
        </w:tc>
        <w:tc>
          <w:tcPr>
            <w:tcW w:type="dxa" w:w="5760"/>
            <w:vAlign w:val="top"/>
            <w:shd w:fill="F2F6FA"/>
          </w:tcPr>
          <w:p>
            <w:pPr>
              <w:pStyle w:val="TableText"/>
            </w:pPr>
            <w:r/>
            <w:r>
              <w:rPr>
                <w:b w:val="0"/>
                <w:sz w:val="16"/>
              </w:rPr>
              <w:t>Renewal is a distinct transaction with current information; outcome can be renewed, changed, referred or non-renewed.</w:t>
            </w:r>
          </w:p>
        </w:tc>
        <w:tc>
          <w:tcPr>
            <w:tcW w:type="dxa" w:w="936"/>
            <w:vAlign w:val="top"/>
            <w:shd w:fill="F2F6FA"/>
          </w:tcPr>
          <w:p>
            <w:pPr>
              <w:pStyle w:val="TableText"/>
            </w:pPr>
            <w:r/>
            <w:r>
              <w:rPr>
                <w:b w:val="0"/>
                <w:sz w:val="16"/>
              </w:rPr>
              <w:t>Critical</w:t>
            </w:r>
          </w:p>
        </w:tc>
      </w:tr>
    </w:tbl>
    <w:p>
      <w:pPr>
        <w:spacing w:after="40"/>
      </w:pPr>
    </w:p>
    <w:p>
      <w:pPr>
        <w:pStyle w:val="Heading1"/>
        <w:keepNext/>
      </w:pPr>
      <w:r>
        <w:t>FLOW 2 — In-Force Policy → Loss → Claim → Recovery → Settlement → Renewal</w:t>
      </w:r>
    </w:p>
    <w:tbl>
      <w:tblPr>
        <w:tblStyle w:val="TableGrid"/>
        <w:tblW w:type="auto" w:w="0"/>
        <w:jc w:val="center"/>
        <w:tblLook w:firstColumn="1" w:firstRow="1" w:lastColumn="0" w:lastRow="0" w:noHBand="0" w:noVBand="1" w:val="04A0"/>
      </w:tblPr>
      <w:tblGrid>
        <w:gridCol w:w="15264"/>
      </w:tblGrid>
      <w:tr>
        <w:tc>
          <w:tcPr>
            <w:tcW w:type="dxa" w:w="15264"/>
            <w:shd w:fill="EAF2F8"/>
          </w:tcPr>
          <w:p>
            <w:r/>
            <w:r>
              <w:rPr>
                <w:b/>
                <w:sz w:val="21"/>
              </w:rPr>
              <w:t>BUSINESS OBJECTIVE</w:t>
              <w:br/>
            </w:r>
            <w:r>
              <w:rPr>
                <w:sz w:val="18"/>
              </w:rPr>
              <w:t>Demonstrate the full post-loss lifecycle, including FNOL, coverage, investigation, reserve, vendor work, business recovery, settlement/payment, recovery and renewal.</w:t>
            </w:r>
          </w:p>
        </w:tc>
      </w:tr>
    </w:tbl>
    <w:p>
      <w:pPr>
        <w:spacing w:after="0"/>
      </w:pPr>
    </w:p>
    <w:tbl>
      <w:tblPr>
        <w:tblStyle w:val="TableGrid"/>
        <w:tblW w:type="auto" w:w="0"/>
        <w:jc w:val="center"/>
        <w:tblLook w:firstColumn="1" w:firstRow="1" w:lastColumn="0" w:lastRow="0" w:noHBand="0" w:noVBand="1" w:val="04A0"/>
      </w:tblPr>
      <w:tblGrid>
        <w:gridCol w:w="7632"/>
        <w:gridCol w:w="7632"/>
      </w:tblGrid>
      <w:tr>
        <w:trPr>
          <w:tblHeader w:val="true"/>
        </w:trPr>
        <w:tc>
          <w:tcPr>
            <w:tcW w:type="dxa" w:w="2160"/>
            <w:vAlign w:val="top"/>
            <w:shd w:fill="17365D"/>
          </w:tcPr>
          <w:p>
            <w:pPr>
              <w:pStyle w:val="TableText"/>
            </w:pPr>
            <w:r>
              <w:rPr>
                <w:color w:val="FFFFFF"/>
              </w:rPr>
            </w:r>
            <w:r>
              <w:rPr>
                <w:b/>
                <w:color w:val="FFFFFF"/>
                <w:sz w:val="16"/>
              </w:rPr>
              <w:t>Item</w:t>
            </w:r>
          </w:p>
        </w:tc>
        <w:tc>
          <w:tcPr>
            <w:tcW w:type="dxa" w:w="13104"/>
            <w:vAlign w:val="top"/>
            <w:shd w:fill="17365D"/>
          </w:tcPr>
          <w:p>
            <w:pPr>
              <w:pStyle w:val="TableText"/>
            </w:pPr>
            <w:r>
              <w:rPr>
                <w:color w:val="FFFFFF"/>
              </w:rPr>
            </w:r>
            <w:r>
              <w:rPr>
                <w:b/>
                <w:color w:val="FFFFFF"/>
                <w:sz w:val="16"/>
              </w:rPr>
              <w:t>Definition</w:t>
            </w:r>
          </w:p>
        </w:tc>
      </w:tr>
      <w:tr>
        <w:tc>
          <w:tcPr>
            <w:tcW w:type="dxa" w:w="2160"/>
            <w:vAlign w:val="top"/>
          </w:tcPr>
          <w:p>
            <w:pPr>
              <w:pStyle w:val="TableText"/>
            </w:pPr>
            <w:r/>
            <w:r>
              <w:rPr>
                <w:b w:val="0"/>
                <w:sz w:val="16"/>
              </w:rPr>
              <w:t>Entry criteria</w:t>
            </w:r>
          </w:p>
        </w:tc>
        <w:tc>
          <w:tcPr>
            <w:tcW w:type="dxa" w:w="13104"/>
            <w:vAlign w:val="top"/>
          </w:tcPr>
          <w:p>
            <w:pPr>
              <w:pStyle w:val="TableText"/>
            </w:pPr>
            <w:r/>
            <w:r>
              <w:rPr>
                <w:b w:val="0"/>
                <w:sz w:val="16"/>
              </w:rPr>
              <w:t>An active policy exists with a loss occurring during the policy period; the loss has potential covered impact.</w:t>
            </w:r>
          </w:p>
        </w:tc>
      </w:tr>
      <w:tr>
        <w:tc>
          <w:tcPr>
            <w:tcW w:type="dxa" w:w="2160"/>
            <w:vAlign w:val="top"/>
            <w:shd w:fill="F2F6FA"/>
          </w:tcPr>
          <w:p>
            <w:pPr>
              <w:pStyle w:val="TableText"/>
            </w:pPr>
            <w:r/>
            <w:r>
              <w:rPr>
                <w:b w:val="0"/>
                <w:sz w:val="16"/>
              </w:rPr>
              <w:t>Exit criteria</w:t>
            </w:r>
          </w:p>
        </w:tc>
        <w:tc>
          <w:tcPr>
            <w:tcW w:type="dxa" w:w="13104"/>
            <w:vAlign w:val="top"/>
            <w:shd w:fill="F2F6FA"/>
          </w:tcPr>
          <w:p>
            <w:pPr>
              <w:pStyle w:val="TableText"/>
            </w:pPr>
            <w:r/>
            <w:r>
              <w:rPr>
                <w:b w:val="0"/>
                <w:sz w:val="16"/>
              </w:rPr>
              <w:t>Claim is properly closed after required claim actions; recovery work is complete or governed; renewal evaluates the updated risk.</w:t>
            </w:r>
          </w:p>
        </w:tc>
      </w:tr>
      <w:tr>
        <w:tc>
          <w:tcPr>
            <w:tcW w:type="dxa" w:w="2160"/>
            <w:vAlign w:val="top"/>
          </w:tcPr>
          <w:p>
            <w:pPr>
              <w:pStyle w:val="TableText"/>
            </w:pPr>
            <w:r/>
            <w:r>
              <w:rPr>
                <w:b w:val="0"/>
                <w:sz w:val="16"/>
              </w:rPr>
              <w:t>Primary roles</w:t>
            </w:r>
          </w:p>
        </w:tc>
        <w:tc>
          <w:tcPr>
            <w:tcW w:type="dxa" w:w="13104"/>
            <w:vAlign w:val="top"/>
          </w:tcPr>
          <w:p>
            <w:pPr>
              <w:pStyle w:val="TableText"/>
            </w:pPr>
            <w:r/>
            <w:r>
              <w:rPr>
                <w:b w:val="0"/>
                <w:sz w:val="16"/>
              </w:rPr>
              <w:t>Policyholder; Underwriter; Risk Engineer; Claims Adjuster/Manager; Vendor Manager; Service Provider/Contractor; System Administrator as applicable</w:t>
            </w:r>
          </w:p>
        </w:tc>
      </w:tr>
      <w:tr>
        <w:tc>
          <w:tcPr>
            <w:tcW w:type="dxa" w:w="2160"/>
            <w:vAlign w:val="top"/>
            <w:shd w:fill="F2F6FA"/>
          </w:tcPr>
          <w:p>
            <w:pPr>
              <w:pStyle w:val="TableText"/>
            </w:pPr>
            <w:r/>
            <w:r>
              <w:rPr>
                <w:b w:val="0"/>
                <w:sz w:val="16"/>
              </w:rPr>
              <w:t>Services traversed</w:t>
            </w:r>
          </w:p>
        </w:tc>
        <w:tc>
          <w:tcPr>
            <w:tcW w:type="dxa" w:w="13104"/>
            <w:vAlign w:val="top"/>
            <w:shd w:fill="F2F6FA"/>
          </w:tcPr>
          <w:p>
            <w:pPr>
              <w:pStyle w:val="TableText"/>
            </w:pPr>
            <w:r/>
            <w:r>
              <w:rPr>
                <w:b w:val="0"/>
                <w:sz w:val="16"/>
              </w:rPr>
              <w:t>Customer &amp; Party; Quote &amp; Policy; Risk &amp; Underwriting; Claims; Vendor &amp; Partner; Recovery &amp; Business Continuity; Workflow &amp; Notification; Document &amp; Audit; Analytics optional and non-authoritative</w:t>
            </w:r>
          </w:p>
        </w:tc>
      </w:tr>
    </w:tbl>
    <w:p>
      <w:pPr>
        <w:spacing w:after="40"/>
      </w:pPr>
    </w:p>
    <w:p>
      <w:pPr>
        <w:pStyle w:val="Heading2"/>
        <w:keepNext/>
      </w:pPr>
      <w:r>
        <w:t>Business Flow</w:t>
      </w:r>
    </w:p>
    <w:tbl>
      <w:tblPr>
        <w:tblStyle w:val="TableGrid"/>
        <w:tblW w:type="auto" w:w="0"/>
        <w:jc w:val="center"/>
        <w:tblLook w:firstColumn="1" w:firstRow="1" w:lastColumn="0" w:lastRow="0" w:noHBand="0" w:noVBand="1" w:val="04A0"/>
      </w:tblPr>
      <w:tblGrid>
        <w:gridCol w:w="3816"/>
        <w:gridCol w:w="3816"/>
        <w:gridCol w:w="3816"/>
        <w:gridCol w:w="3816"/>
      </w:tblGrid>
      <w:tr>
        <w:trPr>
          <w:tblHeader w:val="true"/>
        </w:trPr>
        <w:tc>
          <w:tcPr>
            <w:tcW w:type="dxa" w:w="792"/>
            <w:vAlign w:val="top"/>
            <w:shd w:fill="17365D"/>
          </w:tcPr>
          <w:p>
            <w:pPr>
              <w:pStyle w:val="TableText"/>
            </w:pPr>
            <w:r>
              <w:rPr>
                <w:color w:val="FFFFFF"/>
              </w:rPr>
            </w:r>
            <w:r>
              <w:rPr>
                <w:b/>
                <w:color w:val="FFFFFF"/>
                <w:sz w:val="16"/>
              </w:rPr>
              <w:t>Step</w:t>
            </w:r>
          </w:p>
        </w:tc>
        <w:tc>
          <w:tcPr>
            <w:tcW w:type="dxa" w:w="6336"/>
            <w:vAlign w:val="top"/>
            <w:shd w:fill="17365D"/>
          </w:tcPr>
          <w:p>
            <w:pPr>
              <w:pStyle w:val="TableText"/>
            </w:pPr>
            <w:r>
              <w:rPr>
                <w:color w:val="FFFFFF"/>
              </w:rPr>
            </w:r>
            <w:r>
              <w:rPr>
                <w:b/>
                <w:color w:val="FFFFFF"/>
                <w:sz w:val="16"/>
              </w:rPr>
              <w:t>Business event / action</w:t>
            </w:r>
          </w:p>
        </w:tc>
        <w:tc>
          <w:tcPr>
            <w:tcW w:type="dxa" w:w="6480"/>
            <w:vAlign w:val="top"/>
            <w:shd w:fill="17365D"/>
          </w:tcPr>
          <w:p>
            <w:pPr>
              <w:pStyle w:val="TableText"/>
            </w:pPr>
            <w:r>
              <w:rPr>
                <w:color w:val="FFFFFF"/>
              </w:rPr>
            </w:r>
            <w:r>
              <w:rPr>
                <w:b/>
                <w:color w:val="FFFFFF"/>
                <w:sz w:val="16"/>
              </w:rPr>
              <w:t>Expected state / outcome</w:t>
            </w:r>
          </w:p>
        </w:tc>
        <w:tc>
          <w:tcPr>
            <w:tcW w:type="dxa" w:w="1872"/>
            <w:vAlign w:val="top"/>
            <w:shd w:fill="17365D"/>
          </w:tcPr>
          <w:p>
            <w:pPr>
              <w:pStyle w:val="TableText"/>
            </w:pPr>
            <w:r>
              <w:rPr>
                <w:color w:val="FFFFFF"/>
              </w:rPr>
            </w:r>
            <w:r>
              <w:rPr>
                <w:b/>
                <w:color w:val="FFFFFF"/>
                <w:sz w:val="16"/>
              </w:rPr>
              <w:t>Primary owner</w:t>
            </w:r>
          </w:p>
        </w:tc>
      </w:tr>
      <w:tr>
        <w:tc>
          <w:tcPr>
            <w:tcW w:type="dxa" w:w="792"/>
            <w:vAlign w:val="top"/>
          </w:tcPr>
          <w:p>
            <w:pPr>
              <w:pStyle w:val="TableText"/>
            </w:pPr>
            <w:r/>
            <w:r>
              <w:rPr>
                <w:b w:val="0"/>
                <w:sz w:val="16"/>
              </w:rPr>
              <w:t>1</w:t>
            </w:r>
          </w:p>
        </w:tc>
        <w:tc>
          <w:tcPr>
            <w:tcW w:type="dxa" w:w="6336"/>
            <w:vAlign w:val="top"/>
          </w:tcPr>
          <w:p>
            <w:pPr>
              <w:pStyle w:val="TableText"/>
            </w:pPr>
            <w:r/>
            <w:r>
              <w:rPr>
                <w:b w:val="0"/>
                <w:sz w:val="16"/>
              </w:rPr>
              <w:t>Policy already in force</w:t>
            </w:r>
          </w:p>
        </w:tc>
        <w:tc>
          <w:tcPr>
            <w:tcW w:type="dxa" w:w="6480"/>
            <w:vAlign w:val="top"/>
          </w:tcPr>
          <w:p>
            <w:pPr>
              <w:pStyle w:val="TableText"/>
            </w:pPr>
            <w:r/>
            <w:r>
              <w:rPr>
                <w:b w:val="0"/>
                <w:sz w:val="16"/>
              </w:rPr>
              <w:t>A valid policy exists with relevant property/business-income coverage.</w:t>
            </w:r>
          </w:p>
        </w:tc>
        <w:tc>
          <w:tcPr>
            <w:tcW w:type="dxa" w:w="1872"/>
            <w:vAlign w:val="top"/>
          </w:tcPr>
          <w:p>
            <w:pPr>
              <w:pStyle w:val="TableText"/>
            </w:pPr>
            <w:r/>
            <w:r>
              <w:rPr>
                <w:b w:val="0"/>
                <w:sz w:val="16"/>
              </w:rPr>
              <w:t>Quote &amp; Policy</w:t>
            </w:r>
          </w:p>
        </w:tc>
      </w:tr>
      <w:tr>
        <w:tc>
          <w:tcPr>
            <w:tcW w:type="dxa" w:w="792"/>
            <w:vAlign w:val="top"/>
            <w:shd w:fill="F2F6FA"/>
          </w:tcPr>
          <w:p>
            <w:pPr>
              <w:pStyle w:val="TableText"/>
            </w:pPr>
            <w:r/>
            <w:r>
              <w:rPr>
                <w:b w:val="0"/>
                <w:sz w:val="16"/>
              </w:rPr>
              <w:t>2</w:t>
            </w:r>
          </w:p>
        </w:tc>
        <w:tc>
          <w:tcPr>
            <w:tcW w:type="dxa" w:w="6336"/>
            <w:vAlign w:val="top"/>
            <w:shd w:fill="F2F6FA"/>
          </w:tcPr>
          <w:p>
            <w:pPr>
              <w:pStyle w:val="TableText"/>
            </w:pPr>
            <w:r/>
            <w:r>
              <w:rPr>
                <w:b w:val="0"/>
                <w:sz w:val="16"/>
              </w:rPr>
              <w:t>Loss occurs</w:t>
            </w:r>
          </w:p>
        </w:tc>
        <w:tc>
          <w:tcPr>
            <w:tcW w:type="dxa" w:w="6480"/>
            <w:vAlign w:val="top"/>
            <w:shd w:fill="F2F6FA"/>
          </w:tcPr>
          <w:p>
            <w:pPr>
              <w:pStyle w:val="TableText"/>
            </w:pPr>
            <w:r/>
            <w:r>
              <w:rPr>
                <w:b w:val="0"/>
                <w:sz w:val="16"/>
              </w:rPr>
              <w:t>Real-world loss event affects insured operations/property.</w:t>
            </w:r>
          </w:p>
        </w:tc>
        <w:tc>
          <w:tcPr>
            <w:tcW w:type="dxa" w:w="1872"/>
            <w:vAlign w:val="top"/>
            <w:shd w:fill="F2F6FA"/>
          </w:tcPr>
          <w:p>
            <w:pPr>
              <w:pStyle w:val="TableText"/>
            </w:pPr>
            <w:r/>
            <w:r>
              <w:rPr>
                <w:b w:val="0"/>
                <w:sz w:val="16"/>
              </w:rPr>
              <w:t>Policyholder</w:t>
            </w:r>
          </w:p>
        </w:tc>
      </w:tr>
      <w:tr>
        <w:tc>
          <w:tcPr>
            <w:tcW w:type="dxa" w:w="792"/>
            <w:vAlign w:val="top"/>
          </w:tcPr>
          <w:p>
            <w:pPr>
              <w:pStyle w:val="TableText"/>
            </w:pPr>
            <w:r/>
            <w:r>
              <w:rPr>
                <w:b w:val="0"/>
                <w:sz w:val="16"/>
              </w:rPr>
              <w:t>3</w:t>
            </w:r>
          </w:p>
        </w:tc>
        <w:tc>
          <w:tcPr>
            <w:tcW w:type="dxa" w:w="6336"/>
            <w:vAlign w:val="top"/>
          </w:tcPr>
          <w:p>
            <w:pPr>
              <w:pStyle w:val="TableText"/>
            </w:pPr>
            <w:r/>
            <w:r>
              <w:rPr>
                <w:b w:val="0"/>
                <w:sz w:val="16"/>
              </w:rPr>
              <w:t>FNOL</w:t>
            </w:r>
          </w:p>
        </w:tc>
        <w:tc>
          <w:tcPr>
            <w:tcW w:type="dxa" w:w="6480"/>
            <w:vAlign w:val="top"/>
          </w:tcPr>
          <w:p>
            <w:pPr>
              <w:pStyle w:val="TableText"/>
            </w:pPr>
            <w:r/>
            <w:r>
              <w:rPr>
                <w:b w:val="0"/>
                <w:sz w:val="16"/>
              </w:rPr>
              <w:t>Loss date, location, narrative, estimate, immediate actions and evidence are captured.</w:t>
            </w:r>
          </w:p>
        </w:tc>
        <w:tc>
          <w:tcPr>
            <w:tcW w:type="dxa" w:w="1872"/>
            <w:vAlign w:val="top"/>
          </w:tcPr>
          <w:p>
            <w:pPr>
              <w:pStyle w:val="TableText"/>
            </w:pPr>
            <w:r/>
            <w:r>
              <w:rPr>
                <w:b w:val="0"/>
                <w:sz w:val="16"/>
              </w:rPr>
              <w:t>Claims</w:t>
            </w:r>
          </w:p>
        </w:tc>
      </w:tr>
      <w:tr>
        <w:tc>
          <w:tcPr>
            <w:tcW w:type="dxa" w:w="792"/>
            <w:vAlign w:val="top"/>
            <w:shd w:fill="F2F6FA"/>
          </w:tcPr>
          <w:p>
            <w:pPr>
              <w:pStyle w:val="TableText"/>
            </w:pPr>
            <w:r/>
            <w:r>
              <w:rPr>
                <w:b w:val="0"/>
                <w:sz w:val="16"/>
              </w:rPr>
              <w:t>4</w:t>
            </w:r>
          </w:p>
        </w:tc>
        <w:tc>
          <w:tcPr>
            <w:tcW w:type="dxa" w:w="6336"/>
            <w:vAlign w:val="top"/>
            <w:shd w:fill="F2F6FA"/>
          </w:tcPr>
          <w:p>
            <w:pPr>
              <w:pStyle w:val="TableText"/>
            </w:pPr>
            <w:r/>
            <w:r>
              <w:rPr>
                <w:b w:val="0"/>
                <w:sz w:val="16"/>
              </w:rPr>
              <w:t>Coverage verification</w:t>
            </w:r>
          </w:p>
        </w:tc>
        <w:tc>
          <w:tcPr>
            <w:tcW w:type="dxa" w:w="6480"/>
            <w:vAlign w:val="top"/>
            <w:shd w:fill="F2F6FA"/>
          </w:tcPr>
          <w:p>
            <w:pPr>
              <w:pStyle w:val="TableText"/>
            </w:pPr>
            <w:r/>
            <w:r>
              <w:rPr>
                <w:b w:val="0"/>
                <w:sz w:val="16"/>
              </w:rPr>
              <w:t>Policy is checked for in-force status and applicable coverage/terms.</w:t>
            </w:r>
          </w:p>
        </w:tc>
        <w:tc>
          <w:tcPr>
            <w:tcW w:type="dxa" w:w="1872"/>
            <w:vAlign w:val="top"/>
            <w:shd w:fill="F2F6FA"/>
          </w:tcPr>
          <w:p>
            <w:pPr>
              <w:pStyle w:val="TableText"/>
            </w:pPr>
            <w:r/>
            <w:r>
              <w:rPr>
                <w:b w:val="0"/>
                <w:sz w:val="16"/>
              </w:rPr>
              <w:t>Claims</w:t>
            </w:r>
          </w:p>
        </w:tc>
      </w:tr>
      <w:tr>
        <w:tc>
          <w:tcPr>
            <w:tcW w:type="dxa" w:w="792"/>
            <w:vAlign w:val="top"/>
          </w:tcPr>
          <w:p>
            <w:pPr>
              <w:pStyle w:val="TableText"/>
            </w:pPr>
            <w:r/>
            <w:r>
              <w:rPr>
                <w:b w:val="0"/>
                <w:sz w:val="16"/>
              </w:rPr>
              <w:t>5</w:t>
            </w:r>
          </w:p>
        </w:tc>
        <w:tc>
          <w:tcPr>
            <w:tcW w:type="dxa" w:w="6336"/>
            <w:vAlign w:val="top"/>
          </w:tcPr>
          <w:p>
            <w:pPr>
              <w:pStyle w:val="TableText"/>
            </w:pPr>
            <w:r/>
            <w:r>
              <w:rPr>
                <w:b w:val="0"/>
                <w:sz w:val="16"/>
              </w:rPr>
              <w:t>Investigation</w:t>
            </w:r>
          </w:p>
        </w:tc>
        <w:tc>
          <w:tcPr>
            <w:tcW w:type="dxa" w:w="6480"/>
            <w:vAlign w:val="top"/>
          </w:tcPr>
          <w:p>
            <w:pPr>
              <w:pStyle w:val="TableText"/>
            </w:pPr>
            <w:r/>
            <w:r>
              <w:rPr>
                <w:b w:val="0"/>
                <w:sz w:val="16"/>
              </w:rPr>
              <w:t>Cause, damage, liability, evidence and recovery opportunities are investigated.</w:t>
            </w:r>
          </w:p>
        </w:tc>
        <w:tc>
          <w:tcPr>
            <w:tcW w:type="dxa" w:w="1872"/>
            <w:vAlign w:val="top"/>
          </w:tcPr>
          <w:p>
            <w:pPr>
              <w:pStyle w:val="TableText"/>
            </w:pPr>
            <w:r/>
            <w:r>
              <w:rPr>
                <w:b w:val="0"/>
                <w:sz w:val="16"/>
              </w:rPr>
              <w:t>Claims Adjuster</w:t>
            </w:r>
          </w:p>
        </w:tc>
      </w:tr>
      <w:tr>
        <w:tc>
          <w:tcPr>
            <w:tcW w:type="dxa" w:w="792"/>
            <w:vAlign w:val="top"/>
            <w:shd w:fill="F2F6FA"/>
          </w:tcPr>
          <w:p>
            <w:pPr>
              <w:pStyle w:val="TableText"/>
            </w:pPr>
            <w:r/>
            <w:r>
              <w:rPr>
                <w:b w:val="0"/>
                <w:sz w:val="16"/>
              </w:rPr>
              <w:t>6</w:t>
            </w:r>
          </w:p>
        </w:tc>
        <w:tc>
          <w:tcPr>
            <w:tcW w:type="dxa" w:w="6336"/>
            <w:vAlign w:val="top"/>
            <w:shd w:fill="F2F6FA"/>
          </w:tcPr>
          <w:p>
            <w:pPr>
              <w:pStyle w:val="TableText"/>
            </w:pPr>
            <w:r/>
            <w:r>
              <w:rPr>
                <w:b w:val="0"/>
                <w:sz w:val="16"/>
              </w:rPr>
              <w:t>Reserve + assessment</w:t>
            </w:r>
          </w:p>
        </w:tc>
        <w:tc>
          <w:tcPr>
            <w:tcW w:type="dxa" w:w="6480"/>
            <w:vAlign w:val="top"/>
            <w:shd w:fill="F2F6FA"/>
          </w:tcPr>
          <w:p>
            <w:pPr>
              <w:pStyle w:val="TableText"/>
            </w:pPr>
            <w:r/>
            <w:r>
              <w:rPr>
                <w:b w:val="0"/>
                <w:sz w:val="16"/>
              </w:rPr>
              <w:t>Total loss, covered loss and expected payment are distinguished; reserve evolves.</w:t>
            </w:r>
          </w:p>
        </w:tc>
        <w:tc>
          <w:tcPr>
            <w:tcW w:type="dxa" w:w="1872"/>
            <w:vAlign w:val="top"/>
            <w:shd w:fill="F2F6FA"/>
          </w:tcPr>
          <w:p>
            <w:pPr>
              <w:pStyle w:val="TableText"/>
            </w:pPr>
            <w:r/>
            <w:r>
              <w:rPr>
                <w:b w:val="0"/>
                <w:sz w:val="16"/>
              </w:rPr>
              <w:t>Claims</w:t>
            </w:r>
          </w:p>
        </w:tc>
      </w:tr>
      <w:tr>
        <w:tc>
          <w:tcPr>
            <w:tcW w:type="dxa" w:w="792"/>
            <w:vAlign w:val="top"/>
          </w:tcPr>
          <w:p>
            <w:pPr>
              <w:pStyle w:val="TableText"/>
            </w:pPr>
            <w:r/>
            <w:r>
              <w:rPr>
                <w:b w:val="0"/>
                <w:sz w:val="16"/>
              </w:rPr>
              <w:t>7</w:t>
            </w:r>
          </w:p>
        </w:tc>
        <w:tc>
          <w:tcPr>
            <w:tcW w:type="dxa" w:w="6336"/>
            <w:vAlign w:val="top"/>
          </w:tcPr>
          <w:p>
            <w:pPr>
              <w:pStyle w:val="TableText"/>
            </w:pPr>
            <w:r/>
            <w:r>
              <w:rPr>
                <w:b w:val="0"/>
                <w:sz w:val="16"/>
              </w:rPr>
              <w:t>Repair/vendor</w:t>
            </w:r>
          </w:p>
        </w:tc>
        <w:tc>
          <w:tcPr>
            <w:tcW w:type="dxa" w:w="6480"/>
            <w:vAlign w:val="top"/>
          </w:tcPr>
          <w:p>
            <w:pPr>
              <w:pStyle w:val="TableText"/>
            </w:pPr>
            <w:r/>
            <w:r>
              <w:rPr>
                <w:b w:val="0"/>
                <w:sz w:val="16"/>
              </w:rPr>
              <w:t>Eligible service provider is matched and assigned where required.</w:t>
            </w:r>
          </w:p>
        </w:tc>
        <w:tc>
          <w:tcPr>
            <w:tcW w:type="dxa" w:w="1872"/>
            <w:vAlign w:val="top"/>
          </w:tcPr>
          <w:p>
            <w:pPr>
              <w:pStyle w:val="TableText"/>
            </w:pPr>
            <w:r/>
            <w:r>
              <w:rPr>
                <w:b w:val="0"/>
                <w:sz w:val="16"/>
              </w:rPr>
              <w:t>Vendor &amp; Partner / Workflow</w:t>
            </w:r>
          </w:p>
        </w:tc>
      </w:tr>
      <w:tr>
        <w:tc>
          <w:tcPr>
            <w:tcW w:type="dxa" w:w="792"/>
            <w:vAlign w:val="top"/>
            <w:shd w:fill="F2F6FA"/>
          </w:tcPr>
          <w:p>
            <w:pPr>
              <w:pStyle w:val="TableText"/>
            </w:pPr>
            <w:r/>
            <w:r>
              <w:rPr>
                <w:b w:val="0"/>
                <w:sz w:val="16"/>
              </w:rPr>
              <w:t>8</w:t>
            </w:r>
          </w:p>
        </w:tc>
        <w:tc>
          <w:tcPr>
            <w:tcW w:type="dxa" w:w="6336"/>
            <w:vAlign w:val="top"/>
            <w:shd w:fill="F2F6FA"/>
          </w:tcPr>
          <w:p>
            <w:pPr>
              <w:pStyle w:val="TableText"/>
            </w:pPr>
            <w:r/>
            <w:r>
              <w:rPr>
                <w:b w:val="0"/>
                <w:sz w:val="16"/>
              </w:rPr>
              <w:t>Business recovery</w:t>
            </w:r>
          </w:p>
        </w:tc>
        <w:tc>
          <w:tcPr>
            <w:tcW w:type="dxa" w:w="6480"/>
            <w:vAlign w:val="top"/>
            <w:shd w:fill="F2F6FA"/>
          </w:tcPr>
          <w:p>
            <w:pPr>
              <w:pStyle w:val="TableText"/>
            </w:pPr>
            <w:r/>
            <w:r>
              <w:rPr>
                <w:b w:val="0"/>
                <w:sz w:val="16"/>
              </w:rPr>
              <w:t>Continuity actions, repair milestones and reopening plan are tracked.</w:t>
            </w:r>
          </w:p>
        </w:tc>
        <w:tc>
          <w:tcPr>
            <w:tcW w:type="dxa" w:w="1872"/>
            <w:vAlign w:val="top"/>
            <w:shd w:fill="F2F6FA"/>
          </w:tcPr>
          <w:p>
            <w:pPr>
              <w:pStyle w:val="TableText"/>
            </w:pPr>
            <w:r/>
            <w:r>
              <w:rPr>
                <w:b w:val="0"/>
                <w:sz w:val="16"/>
              </w:rPr>
              <w:t>Recovery &amp; Business Continuity</w:t>
            </w:r>
          </w:p>
        </w:tc>
      </w:tr>
      <w:tr>
        <w:tc>
          <w:tcPr>
            <w:tcW w:type="dxa" w:w="792"/>
            <w:vAlign w:val="top"/>
          </w:tcPr>
          <w:p>
            <w:pPr>
              <w:pStyle w:val="TableText"/>
            </w:pPr>
            <w:r/>
            <w:r>
              <w:rPr>
                <w:b w:val="0"/>
                <w:sz w:val="16"/>
              </w:rPr>
              <w:t>9</w:t>
            </w:r>
          </w:p>
        </w:tc>
        <w:tc>
          <w:tcPr>
            <w:tcW w:type="dxa" w:w="6336"/>
            <w:vAlign w:val="top"/>
          </w:tcPr>
          <w:p>
            <w:pPr>
              <w:pStyle w:val="TableText"/>
            </w:pPr>
            <w:r/>
            <w:r>
              <w:rPr>
                <w:b w:val="0"/>
                <w:sz w:val="16"/>
              </w:rPr>
              <w:t>Settlement + payment</w:t>
            </w:r>
          </w:p>
        </w:tc>
        <w:tc>
          <w:tcPr>
            <w:tcW w:type="dxa" w:w="6480"/>
            <w:vAlign w:val="top"/>
          </w:tcPr>
          <w:p>
            <w:pPr>
              <w:pStyle w:val="TableText"/>
            </w:pPr>
            <w:r/>
            <w:r>
              <w:rPr>
                <w:b w:val="0"/>
                <w:sz w:val="16"/>
              </w:rPr>
              <w:t>Authorized settlement is determined; payment is separately tracked.</w:t>
            </w:r>
          </w:p>
        </w:tc>
        <w:tc>
          <w:tcPr>
            <w:tcW w:type="dxa" w:w="1872"/>
            <w:vAlign w:val="top"/>
          </w:tcPr>
          <w:p>
            <w:pPr>
              <w:pStyle w:val="TableText"/>
            </w:pPr>
            <w:r/>
            <w:r>
              <w:rPr>
                <w:b w:val="0"/>
                <w:sz w:val="16"/>
              </w:rPr>
              <w:t>Claims Manager / Claims</w:t>
            </w:r>
          </w:p>
        </w:tc>
      </w:tr>
      <w:tr>
        <w:tc>
          <w:tcPr>
            <w:tcW w:type="dxa" w:w="792"/>
            <w:vAlign w:val="top"/>
            <w:shd w:fill="F2F6FA"/>
          </w:tcPr>
          <w:p>
            <w:pPr>
              <w:pStyle w:val="TableText"/>
            </w:pPr>
            <w:r/>
            <w:r>
              <w:rPr>
                <w:b w:val="0"/>
                <w:sz w:val="16"/>
              </w:rPr>
              <w:t>10</w:t>
            </w:r>
          </w:p>
        </w:tc>
        <w:tc>
          <w:tcPr>
            <w:tcW w:type="dxa" w:w="6336"/>
            <w:vAlign w:val="top"/>
            <w:shd w:fill="F2F6FA"/>
          </w:tcPr>
          <w:p>
            <w:pPr>
              <w:pStyle w:val="TableText"/>
            </w:pPr>
            <w:r/>
            <w:r>
              <w:rPr>
                <w:b w:val="0"/>
                <w:sz w:val="16"/>
              </w:rPr>
              <w:t>Salvage/subrogation</w:t>
            </w:r>
          </w:p>
        </w:tc>
        <w:tc>
          <w:tcPr>
            <w:tcW w:type="dxa" w:w="6480"/>
            <w:vAlign w:val="top"/>
            <w:shd w:fill="F2F6FA"/>
          </w:tcPr>
          <w:p>
            <w:pPr>
              <w:pStyle w:val="TableText"/>
            </w:pPr>
            <w:r/>
            <w:r>
              <w:rPr>
                <w:b w:val="0"/>
                <w:sz w:val="16"/>
              </w:rPr>
              <w:t>Potential recovery from damaged property or responsible third party is pursued where applicable.</w:t>
            </w:r>
          </w:p>
        </w:tc>
        <w:tc>
          <w:tcPr>
            <w:tcW w:type="dxa" w:w="1872"/>
            <w:vAlign w:val="top"/>
            <w:shd w:fill="F2F6FA"/>
          </w:tcPr>
          <w:p>
            <w:pPr>
              <w:pStyle w:val="TableText"/>
            </w:pPr>
            <w:r/>
            <w:r>
              <w:rPr>
                <w:b w:val="0"/>
                <w:sz w:val="16"/>
              </w:rPr>
              <w:t>Claims</w:t>
            </w:r>
          </w:p>
        </w:tc>
      </w:tr>
      <w:tr>
        <w:tc>
          <w:tcPr>
            <w:tcW w:type="dxa" w:w="792"/>
            <w:vAlign w:val="top"/>
          </w:tcPr>
          <w:p>
            <w:pPr>
              <w:pStyle w:val="TableText"/>
            </w:pPr>
            <w:r/>
            <w:r>
              <w:rPr>
                <w:b w:val="0"/>
                <w:sz w:val="16"/>
              </w:rPr>
              <w:t>11</w:t>
            </w:r>
          </w:p>
        </w:tc>
        <w:tc>
          <w:tcPr>
            <w:tcW w:type="dxa" w:w="6336"/>
            <w:vAlign w:val="top"/>
          </w:tcPr>
          <w:p>
            <w:pPr>
              <w:pStyle w:val="TableText"/>
            </w:pPr>
            <w:r/>
            <w:r>
              <w:rPr>
                <w:b w:val="0"/>
                <w:sz w:val="16"/>
              </w:rPr>
              <w:t>Closure + renewal</w:t>
            </w:r>
          </w:p>
        </w:tc>
        <w:tc>
          <w:tcPr>
            <w:tcW w:type="dxa" w:w="6480"/>
            <w:vAlign w:val="top"/>
          </w:tcPr>
          <w:p>
            <w:pPr>
              <w:pStyle w:val="TableText"/>
            </w:pPr>
            <w:r/>
            <w:r>
              <w:rPr>
                <w:b w:val="0"/>
                <w:sz w:val="16"/>
              </w:rPr>
              <w:t>Claim closes when required work/evidence is complete; renewal later uses updated loss/exposure history.</w:t>
            </w:r>
          </w:p>
        </w:tc>
        <w:tc>
          <w:tcPr>
            <w:tcW w:type="dxa" w:w="1872"/>
            <w:vAlign w:val="top"/>
          </w:tcPr>
          <w:p>
            <w:pPr>
              <w:pStyle w:val="TableText"/>
            </w:pPr>
            <w:r/>
            <w:r>
              <w:rPr>
                <w:b w:val="0"/>
                <w:sz w:val="16"/>
              </w:rPr>
              <w:t>Claims / Quote &amp; Policy / Underwriting</w:t>
            </w:r>
          </w:p>
        </w:tc>
      </w:tr>
    </w:tbl>
    <w:p>
      <w:pPr>
        <w:spacing w:after="40"/>
      </w:pPr>
    </w:p>
    <w:p>
      <w:pPr>
        <w:pStyle w:val="Heading2"/>
        <w:keepNext/>
      </w:pPr>
      <w:r>
        <w:t>Test Cases</w:t>
      </w:r>
    </w:p>
    <w:tbl>
      <w:tblPr>
        <w:tblStyle w:val="TableGrid"/>
        <w:tblW w:type="auto" w:w="0"/>
        <w:jc w:val="center"/>
        <w:tblLook w:firstColumn="1" w:firstRow="1" w:lastColumn="0" w:lastRow="0" w:noHBand="0" w:noVBand="1" w:val="04A0"/>
      </w:tblPr>
      <w:tblGrid>
        <w:gridCol w:w="2544"/>
        <w:gridCol w:w="2544"/>
        <w:gridCol w:w="2544"/>
        <w:gridCol w:w="2544"/>
        <w:gridCol w:w="2544"/>
        <w:gridCol w:w="2544"/>
      </w:tblGrid>
      <w:tr>
        <w:trPr>
          <w:tblHeader w:val="true"/>
        </w:trPr>
        <w:tc>
          <w:tcPr>
            <w:tcW w:type="dxa" w:w="936"/>
            <w:vAlign w:val="top"/>
            <w:shd w:fill="17365D"/>
          </w:tcPr>
          <w:p>
            <w:pPr>
              <w:pStyle w:val="TableText"/>
            </w:pPr>
            <w:r>
              <w:rPr>
                <w:color w:val="FFFFFF"/>
              </w:rPr>
            </w:r>
            <w:r>
              <w:rPr>
                <w:b/>
                <w:color w:val="FFFFFF"/>
                <w:sz w:val="16"/>
              </w:rPr>
              <w:t>TC ID</w:t>
            </w:r>
          </w:p>
        </w:tc>
        <w:tc>
          <w:tcPr>
            <w:tcW w:type="dxa" w:w="1944"/>
            <w:vAlign w:val="top"/>
            <w:shd w:fill="17365D"/>
          </w:tcPr>
          <w:p>
            <w:pPr>
              <w:pStyle w:val="TableText"/>
            </w:pPr>
            <w:r>
              <w:rPr>
                <w:color w:val="FFFFFF"/>
              </w:rPr>
            </w:r>
            <w:r>
              <w:rPr>
                <w:b/>
                <w:color w:val="FFFFFF"/>
                <w:sz w:val="16"/>
              </w:rPr>
              <w:t>Lifecycle stage</w:t>
            </w:r>
          </w:p>
        </w:tc>
        <w:tc>
          <w:tcPr>
            <w:tcW w:type="dxa" w:w="2232"/>
            <w:vAlign w:val="top"/>
            <w:shd w:fill="17365D"/>
          </w:tcPr>
          <w:p>
            <w:pPr>
              <w:pStyle w:val="TableText"/>
            </w:pPr>
            <w:r>
              <w:rPr>
                <w:color w:val="FFFFFF"/>
              </w:rPr>
            </w:r>
            <w:r>
              <w:rPr>
                <w:b/>
                <w:color w:val="FFFFFF"/>
                <w:sz w:val="16"/>
              </w:rPr>
              <w:t>Role</w:t>
            </w:r>
          </w:p>
        </w:tc>
        <w:tc>
          <w:tcPr>
            <w:tcW w:type="dxa" w:w="5976"/>
            <w:vAlign w:val="top"/>
            <w:shd w:fill="17365D"/>
          </w:tcPr>
          <w:p>
            <w:pPr>
              <w:pStyle w:val="TableText"/>
            </w:pPr>
            <w:r>
              <w:rPr>
                <w:color w:val="FFFFFF"/>
              </w:rPr>
            </w:r>
            <w:r>
              <w:rPr>
                <w:b/>
                <w:color w:val="FFFFFF"/>
                <w:sz w:val="16"/>
              </w:rPr>
              <w:t>Business test / action</w:t>
            </w:r>
          </w:p>
        </w:tc>
        <w:tc>
          <w:tcPr>
            <w:tcW w:type="dxa" w:w="5760"/>
            <w:vAlign w:val="top"/>
            <w:shd w:fill="17365D"/>
          </w:tcPr>
          <w:p>
            <w:pPr>
              <w:pStyle w:val="TableText"/>
            </w:pPr>
            <w:r>
              <w:rPr>
                <w:color w:val="FFFFFF"/>
              </w:rPr>
            </w:r>
            <w:r>
              <w:rPr>
                <w:b/>
                <w:color w:val="FFFFFF"/>
                <w:sz w:val="16"/>
              </w:rPr>
              <w:t>Expected business outcome</w:t>
            </w:r>
          </w:p>
        </w:tc>
        <w:tc>
          <w:tcPr>
            <w:tcW w:type="dxa" w:w="936"/>
            <w:vAlign w:val="top"/>
            <w:shd w:fill="17365D"/>
          </w:tcPr>
          <w:p>
            <w:pPr>
              <w:pStyle w:val="TableText"/>
            </w:pPr>
            <w:r>
              <w:rPr>
                <w:color w:val="FFFFFF"/>
              </w:rPr>
            </w:r>
            <w:r>
              <w:rPr>
                <w:b/>
                <w:color w:val="FFFFFF"/>
                <w:sz w:val="16"/>
              </w:rPr>
              <w:t>Priority</w:t>
            </w:r>
          </w:p>
        </w:tc>
      </w:tr>
      <w:tr>
        <w:tc>
          <w:tcPr>
            <w:tcW w:type="dxa" w:w="936"/>
            <w:vAlign w:val="top"/>
          </w:tcPr>
          <w:p>
            <w:pPr>
              <w:pStyle w:val="TableText"/>
            </w:pPr>
            <w:r/>
            <w:r>
              <w:rPr>
                <w:b w:val="0"/>
                <w:sz w:val="16"/>
              </w:rPr>
              <w:t>F2-T01</w:t>
            </w:r>
          </w:p>
        </w:tc>
        <w:tc>
          <w:tcPr>
            <w:tcW w:type="dxa" w:w="1944"/>
            <w:vAlign w:val="top"/>
          </w:tcPr>
          <w:p>
            <w:pPr>
              <w:pStyle w:val="TableText"/>
            </w:pPr>
            <w:r/>
            <w:r>
              <w:rPr>
                <w:b w:val="0"/>
                <w:sz w:val="16"/>
              </w:rPr>
              <w:t>Loss event</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Report a fire affecting insured property during the active policy period.</w:t>
            </w:r>
          </w:p>
        </w:tc>
        <w:tc>
          <w:tcPr>
            <w:tcW w:type="dxa" w:w="5760"/>
            <w:vAlign w:val="top"/>
          </w:tcPr>
          <w:p>
            <w:pPr>
              <w:pStyle w:val="TableText"/>
            </w:pPr>
            <w:r/>
            <w:r>
              <w:rPr>
                <w:b w:val="0"/>
                <w:sz w:val="16"/>
              </w:rPr>
              <w:t>Loss becomes a candidate claim event; customer receives immediate next-step guidance to protect property and preserve evidence.</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F2-T02</w:t>
            </w:r>
          </w:p>
        </w:tc>
        <w:tc>
          <w:tcPr>
            <w:tcW w:type="dxa" w:w="1944"/>
            <w:vAlign w:val="top"/>
            <w:shd w:fill="F2F6FA"/>
          </w:tcPr>
          <w:p>
            <w:pPr>
              <w:pStyle w:val="TableText"/>
            </w:pPr>
            <w:r/>
            <w:r>
              <w:rPr>
                <w:b w:val="0"/>
                <w:sz w:val="16"/>
              </w:rPr>
              <w:t>FNOL</w:t>
            </w:r>
          </w:p>
        </w:tc>
        <w:tc>
          <w:tcPr>
            <w:tcW w:type="dxa" w:w="2232"/>
            <w:vAlign w:val="top"/>
            <w:shd w:fill="F2F6FA"/>
          </w:tcPr>
          <w:p>
            <w:pPr>
              <w:pStyle w:val="TableText"/>
            </w:pPr>
            <w:r/>
            <w:r>
              <w:rPr>
                <w:b w:val="0"/>
                <w:sz w:val="16"/>
              </w:rPr>
              <w:t>Claims Adjuster</w:t>
            </w:r>
          </w:p>
        </w:tc>
        <w:tc>
          <w:tcPr>
            <w:tcW w:type="dxa" w:w="5976"/>
            <w:vAlign w:val="top"/>
            <w:shd w:fill="F2F6FA"/>
          </w:tcPr>
          <w:p>
            <w:pPr>
              <w:pStyle w:val="TableText"/>
            </w:pPr>
            <w:r/>
            <w:r>
              <w:rPr>
                <w:b w:val="0"/>
                <w:sz w:val="16"/>
              </w:rPr>
              <w:t>Open FNOL with loss date, location, policy, narrative, initial estimate and evidence.</w:t>
            </w:r>
          </w:p>
        </w:tc>
        <w:tc>
          <w:tcPr>
            <w:tcW w:type="dxa" w:w="5760"/>
            <w:vAlign w:val="top"/>
            <w:shd w:fill="F2F6FA"/>
          </w:tcPr>
          <w:p>
            <w:pPr>
              <w:pStyle w:val="TableText"/>
            </w:pPr>
            <w:r/>
            <w:r>
              <w:rPr>
                <w:b w:val="0"/>
                <w:sz w:val="16"/>
              </w:rPr>
              <w:t>A claim case is created with traceable FNOL information; FNOL is distinguishable from the ongoing claim lifecycle.</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F2-T03</w:t>
            </w:r>
          </w:p>
        </w:tc>
        <w:tc>
          <w:tcPr>
            <w:tcW w:type="dxa" w:w="1944"/>
            <w:vAlign w:val="top"/>
          </w:tcPr>
          <w:p>
            <w:pPr>
              <w:pStyle w:val="TableText"/>
            </w:pPr>
            <w:r/>
            <w:r>
              <w:rPr>
                <w:b w:val="0"/>
                <w:sz w:val="16"/>
              </w:rPr>
              <w:t>FNOL validation</w:t>
            </w:r>
          </w:p>
        </w:tc>
        <w:tc>
          <w:tcPr>
            <w:tcW w:type="dxa" w:w="2232"/>
            <w:vAlign w:val="top"/>
          </w:tcPr>
          <w:p>
            <w:pPr>
              <w:pStyle w:val="TableText"/>
            </w:pPr>
            <w:r/>
            <w:r>
              <w:rPr>
                <w:b w:val="0"/>
                <w:sz w:val="16"/>
              </w:rPr>
              <w:t>Claims</w:t>
            </w:r>
          </w:p>
        </w:tc>
        <w:tc>
          <w:tcPr>
            <w:tcW w:type="dxa" w:w="5976"/>
            <w:vAlign w:val="top"/>
          </w:tcPr>
          <w:p>
            <w:pPr>
              <w:pStyle w:val="TableText"/>
            </w:pPr>
            <w:r/>
            <w:r>
              <w:rPr>
                <w:b w:val="0"/>
                <w:sz w:val="16"/>
              </w:rPr>
              <w:t>Attempt to report a future-dated loss.</w:t>
            </w:r>
          </w:p>
        </w:tc>
        <w:tc>
          <w:tcPr>
            <w:tcW w:type="dxa" w:w="5760"/>
            <w:vAlign w:val="top"/>
          </w:tcPr>
          <w:p>
            <w:pPr>
              <w:pStyle w:val="TableText"/>
            </w:pPr>
            <w:r/>
            <w:r>
              <w:rPr>
                <w:b w:val="0"/>
                <w:sz w:val="16"/>
              </w:rPr>
              <w:t>FNOL is rejected or corrected because loss date must be plausible and not future-dated.</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F2-T04</w:t>
            </w:r>
          </w:p>
        </w:tc>
        <w:tc>
          <w:tcPr>
            <w:tcW w:type="dxa" w:w="1944"/>
            <w:vAlign w:val="top"/>
            <w:shd w:fill="F2F6FA"/>
          </w:tcPr>
          <w:p>
            <w:pPr>
              <w:pStyle w:val="TableText"/>
            </w:pPr>
            <w:r/>
            <w:r>
              <w:rPr>
                <w:b w:val="0"/>
                <w:sz w:val="16"/>
              </w:rPr>
              <w:t>Policy verification</w:t>
            </w:r>
          </w:p>
        </w:tc>
        <w:tc>
          <w:tcPr>
            <w:tcW w:type="dxa" w:w="2232"/>
            <w:vAlign w:val="top"/>
            <w:shd w:fill="F2F6FA"/>
          </w:tcPr>
          <w:p>
            <w:pPr>
              <w:pStyle w:val="TableText"/>
            </w:pPr>
            <w:r/>
            <w:r>
              <w:rPr>
                <w:b w:val="0"/>
                <w:sz w:val="16"/>
              </w:rPr>
              <w:t>Claims</w:t>
            </w:r>
          </w:p>
        </w:tc>
        <w:tc>
          <w:tcPr>
            <w:tcW w:type="dxa" w:w="5976"/>
            <w:vAlign w:val="top"/>
            <w:shd w:fill="F2F6FA"/>
          </w:tcPr>
          <w:p>
            <w:pPr>
              <w:pStyle w:val="TableText"/>
            </w:pPr>
            <w:r/>
            <w:r>
              <w:rPr>
                <w:b w:val="0"/>
                <w:sz w:val="16"/>
              </w:rPr>
              <w:t>Validate the policy was in force on the loss date and inspect relevant coverage.</w:t>
            </w:r>
          </w:p>
        </w:tc>
        <w:tc>
          <w:tcPr>
            <w:tcW w:type="dxa" w:w="5760"/>
            <w:vAlign w:val="top"/>
            <w:shd w:fill="F2F6FA"/>
          </w:tcPr>
          <w:p>
            <w:pPr>
              <w:pStyle w:val="TableText"/>
            </w:pPr>
            <w:r/>
            <w:r>
              <w:rPr>
                <w:b w:val="0"/>
                <w:sz w:val="16"/>
              </w:rPr>
              <w:t>Claims uses authoritative policy/coverage information from Quote &amp; Policy rather than maintaining a competing policy master.</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F2-T05</w:t>
            </w:r>
          </w:p>
        </w:tc>
        <w:tc>
          <w:tcPr>
            <w:tcW w:type="dxa" w:w="1944"/>
            <w:vAlign w:val="top"/>
          </w:tcPr>
          <w:p>
            <w:pPr>
              <w:pStyle w:val="TableText"/>
            </w:pPr>
            <w:r/>
            <w:r>
              <w:rPr>
                <w:b w:val="0"/>
                <w:sz w:val="16"/>
              </w:rPr>
              <w:t>Evidence request</w:t>
            </w:r>
          </w:p>
        </w:tc>
        <w:tc>
          <w:tcPr>
            <w:tcW w:type="dxa" w:w="2232"/>
            <w:vAlign w:val="top"/>
          </w:tcPr>
          <w:p>
            <w:pPr>
              <w:pStyle w:val="TableText"/>
            </w:pPr>
            <w:r/>
            <w:r>
              <w:rPr>
                <w:b w:val="0"/>
                <w:sz w:val="16"/>
              </w:rPr>
              <w:t>Claims</w:t>
            </w:r>
          </w:p>
        </w:tc>
        <w:tc>
          <w:tcPr>
            <w:tcW w:type="dxa" w:w="5976"/>
            <w:vAlign w:val="top"/>
          </w:tcPr>
          <w:p>
            <w:pPr>
              <w:pStyle w:val="TableText"/>
            </w:pPr>
            <w:r/>
            <w:r>
              <w:rPr>
                <w:b w:val="0"/>
                <w:sz w:val="16"/>
              </w:rPr>
              <w:t>Request photos, inventory, proof of loss, repair bids and relevant business records.</w:t>
            </w:r>
          </w:p>
        </w:tc>
        <w:tc>
          <w:tcPr>
            <w:tcW w:type="dxa" w:w="5760"/>
            <w:vAlign w:val="top"/>
          </w:tcPr>
          <w:p>
            <w:pPr>
              <w:pStyle w:val="TableText"/>
            </w:pPr>
            <w:r/>
            <w:r>
              <w:rPr>
                <w:b w:val="0"/>
                <w:sz w:val="16"/>
              </w:rPr>
              <w:t>Claim enters an evidence-driven handling path and outstanding documents are visible as work.</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F2-T06</w:t>
            </w:r>
          </w:p>
        </w:tc>
        <w:tc>
          <w:tcPr>
            <w:tcW w:type="dxa" w:w="1944"/>
            <w:vAlign w:val="top"/>
            <w:shd w:fill="F2F6FA"/>
          </w:tcPr>
          <w:p>
            <w:pPr>
              <w:pStyle w:val="TableText"/>
            </w:pPr>
            <w:r/>
            <w:r>
              <w:rPr>
                <w:b w:val="0"/>
                <w:sz w:val="16"/>
              </w:rPr>
              <w:t>Investigation</w:t>
            </w:r>
          </w:p>
        </w:tc>
        <w:tc>
          <w:tcPr>
            <w:tcW w:type="dxa" w:w="2232"/>
            <w:vAlign w:val="top"/>
            <w:shd w:fill="F2F6FA"/>
          </w:tcPr>
          <w:p>
            <w:pPr>
              <w:pStyle w:val="TableText"/>
            </w:pPr>
            <w:r/>
            <w:r>
              <w:rPr>
                <w:b w:val="0"/>
                <w:sz w:val="16"/>
              </w:rPr>
              <w:t>Claims Adjuster</w:t>
            </w:r>
          </w:p>
        </w:tc>
        <w:tc>
          <w:tcPr>
            <w:tcW w:type="dxa" w:w="5976"/>
            <w:vAlign w:val="top"/>
            <w:shd w:fill="F2F6FA"/>
          </w:tcPr>
          <w:p>
            <w:pPr>
              <w:pStyle w:val="TableText"/>
            </w:pPr>
            <w:r/>
            <w:r>
              <w:rPr>
                <w:b w:val="0"/>
                <w:sz w:val="16"/>
              </w:rPr>
              <w:t>Investigate cause, circumstances, ownership/interest, damage and potential third-party responsibility.</w:t>
            </w:r>
          </w:p>
        </w:tc>
        <w:tc>
          <w:tcPr>
            <w:tcW w:type="dxa" w:w="5760"/>
            <w:vAlign w:val="top"/>
            <w:shd w:fill="F2F6FA"/>
          </w:tcPr>
          <w:p>
            <w:pPr>
              <w:pStyle w:val="TableText"/>
            </w:pPr>
            <w:r/>
            <w:r>
              <w:rPr>
                <w:b w:val="0"/>
                <w:sz w:val="16"/>
              </w:rPr>
              <w:t>Investigation findings are recorded; potential recovery paths are identified.</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F2-T07</w:t>
            </w:r>
          </w:p>
        </w:tc>
        <w:tc>
          <w:tcPr>
            <w:tcW w:type="dxa" w:w="1944"/>
            <w:vAlign w:val="top"/>
          </w:tcPr>
          <w:p>
            <w:pPr>
              <w:pStyle w:val="TableText"/>
            </w:pPr>
            <w:r/>
            <w:r>
              <w:rPr>
                <w:b w:val="0"/>
                <w:sz w:val="16"/>
              </w:rPr>
              <w:t>Coverage decision</w:t>
            </w:r>
          </w:p>
        </w:tc>
        <w:tc>
          <w:tcPr>
            <w:tcW w:type="dxa" w:w="2232"/>
            <w:vAlign w:val="top"/>
          </w:tcPr>
          <w:p>
            <w:pPr>
              <w:pStyle w:val="TableText"/>
            </w:pPr>
            <w:r/>
            <w:r>
              <w:rPr>
                <w:b w:val="0"/>
                <w:sz w:val="16"/>
              </w:rPr>
              <w:t>Claims Adjuster / Manager</w:t>
            </w:r>
          </w:p>
        </w:tc>
        <w:tc>
          <w:tcPr>
            <w:tcW w:type="dxa" w:w="5976"/>
            <w:vAlign w:val="top"/>
          </w:tcPr>
          <w:p>
            <w:pPr>
              <w:pStyle w:val="TableText"/>
            </w:pPr>
            <w:r/>
            <w:r>
              <w:rPr>
                <w:b w:val="0"/>
                <w:sz w:val="16"/>
              </w:rPr>
              <w:t>Determine whether the loss is covered, partially covered or denied under policy terms.</w:t>
            </w:r>
          </w:p>
        </w:tc>
        <w:tc>
          <w:tcPr>
            <w:tcW w:type="dxa" w:w="5760"/>
            <w:vAlign w:val="top"/>
          </w:tcPr>
          <w:p>
            <w:pPr>
              <w:pStyle w:val="TableText"/>
            </w:pPr>
            <w:r/>
            <w:r>
              <w:rPr>
                <w:b w:val="0"/>
                <w:sz w:val="16"/>
              </w:rPr>
              <w:t>An explicit coverage decision and rationale exist, separate from generic claim status.</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F2-T08</w:t>
            </w:r>
          </w:p>
        </w:tc>
        <w:tc>
          <w:tcPr>
            <w:tcW w:type="dxa" w:w="1944"/>
            <w:vAlign w:val="top"/>
            <w:shd w:fill="F2F6FA"/>
          </w:tcPr>
          <w:p>
            <w:pPr>
              <w:pStyle w:val="TableText"/>
            </w:pPr>
            <w:r/>
            <w:r>
              <w:rPr>
                <w:b w:val="0"/>
                <w:sz w:val="16"/>
              </w:rPr>
              <w:t>Exclusions / deductible</w:t>
            </w:r>
          </w:p>
        </w:tc>
        <w:tc>
          <w:tcPr>
            <w:tcW w:type="dxa" w:w="2232"/>
            <w:vAlign w:val="top"/>
            <w:shd w:fill="F2F6FA"/>
          </w:tcPr>
          <w:p>
            <w:pPr>
              <w:pStyle w:val="TableText"/>
            </w:pPr>
            <w:r/>
            <w:r>
              <w:rPr>
                <w:b w:val="0"/>
                <w:sz w:val="16"/>
              </w:rPr>
              <w:t>Claims Adjuster</w:t>
            </w:r>
          </w:p>
        </w:tc>
        <w:tc>
          <w:tcPr>
            <w:tcW w:type="dxa" w:w="5976"/>
            <w:vAlign w:val="top"/>
            <w:shd w:fill="F2F6FA"/>
          </w:tcPr>
          <w:p>
            <w:pPr>
              <w:pStyle w:val="TableText"/>
            </w:pPr>
            <w:r/>
            <w:r>
              <w:rPr>
                <w:b w:val="0"/>
                <w:sz w:val="16"/>
              </w:rPr>
              <w:t>Apply applicable exclusion, deductible, limit or sublimit during claim evaluation.</w:t>
            </w:r>
          </w:p>
        </w:tc>
        <w:tc>
          <w:tcPr>
            <w:tcW w:type="dxa" w:w="5760"/>
            <w:vAlign w:val="top"/>
            <w:shd w:fill="F2F6FA"/>
          </w:tcPr>
          <w:p>
            <w:pPr>
              <w:pStyle w:val="TableText"/>
            </w:pPr>
            <w:r/>
            <w:r>
              <w:rPr>
                <w:b w:val="0"/>
                <w:sz w:val="16"/>
              </w:rPr>
              <w:t>Covered loss and payable amount reflect policy terms; total physical loss is not automatically equal to payout.</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F2-T09</w:t>
            </w:r>
          </w:p>
        </w:tc>
        <w:tc>
          <w:tcPr>
            <w:tcW w:type="dxa" w:w="1944"/>
            <w:vAlign w:val="top"/>
          </w:tcPr>
          <w:p>
            <w:pPr>
              <w:pStyle w:val="TableText"/>
            </w:pPr>
            <w:r/>
            <w:r>
              <w:rPr>
                <w:b w:val="0"/>
                <w:sz w:val="16"/>
              </w:rPr>
              <w:t>Reserve</w:t>
            </w:r>
          </w:p>
        </w:tc>
        <w:tc>
          <w:tcPr>
            <w:tcW w:type="dxa" w:w="2232"/>
            <w:vAlign w:val="top"/>
          </w:tcPr>
          <w:p>
            <w:pPr>
              <w:pStyle w:val="TableText"/>
            </w:pPr>
            <w:r/>
            <w:r>
              <w:rPr>
                <w:b w:val="0"/>
                <w:sz w:val="16"/>
              </w:rPr>
              <w:t>Claims Adjuster</w:t>
            </w:r>
          </w:p>
        </w:tc>
        <w:tc>
          <w:tcPr>
            <w:tcW w:type="dxa" w:w="5976"/>
            <w:vAlign w:val="top"/>
          </w:tcPr>
          <w:p>
            <w:pPr>
              <w:pStyle w:val="TableText"/>
            </w:pPr>
            <w:r/>
            <w:r>
              <w:rPr>
                <w:b w:val="0"/>
                <w:sz w:val="16"/>
              </w:rPr>
              <w:t>Set an initial expected payment amount and update it as facts evolve.</w:t>
            </w:r>
          </w:p>
        </w:tc>
        <w:tc>
          <w:tcPr>
            <w:tcW w:type="dxa" w:w="5760"/>
            <w:vAlign w:val="top"/>
          </w:tcPr>
          <w:p>
            <w:pPr>
              <w:pStyle w:val="TableText"/>
            </w:pPr>
            <w:r/>
            <w:r>
              <w:rPr>
                <w:b w:val="0"/>
                <w:sz w:val="16"/>
              </w:rPr>
              <w:t>Reserve evolves separately from settlement/approved amount and remains auditable.</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F2-T10</w:t>
            </w:r>
          </w:p>
        </w:tc>
        <w:tc>
          <w:tcPr>
            <w:tcW w:type="dxa" w:w="1944"/>
            <w:vAlign w:val="top"/>
            <w:shd w:fill="F2F6FA"/>
          </w:tcPr>
          <w:p>
            <w:pPr>
              <w:pStyle w:val="TableText"/>
            </w:pPr>
            <w:r/>
            <w:r>
              <w:rPr>
                <w:b w:val="0"/>
                <w:sz w:val="16"/>
              </w:rPr>
              <w:t>Assessment</w:t>
            </w:r>
          </w:p>
        </w:tc>
        <w:tc>
          <w:tcPr>
            <w:tcW w:type="dxa" w:w="2232"/>
            <w:vAlign w:val="top"/>
            <w:shd w:fill="F2F6FA"/>
          </w:tcPr>
          <w:p>
            <w:pPr>
              <w:pStyle w:val="TableText"/>
            </w:pPr>
            <w:r/>
            <w:r>
              <w:rPr>
                <w:b w:val="0"/>
                <w:sz w:val="16"/>
              </w:rPr>
              <w:t>Claims Adjuster</w:t>
            </w:r>
          </w:p>
        </w:tc>
        <w:tc>
          <w:tcPr>
            <w:tcW w:type="dxa" w:w="5976"/>
            <w:vAlign w:val="top"/>
            <w:shd w:fill="F2F6FA"/>
          </w:tcPr>
          <w:p>
            <w:pPr>
              <w:pStyle w:val="TableText"/>
            </w:pPr>
            <w:r/>
            <w:r>
              <w:rPr>
                <w:b w:val="0"/>
                <w:sz w:val="16"/>
              </w:rPr>
              <w:t>Record detailed damage/financial assessment.</w:t>
            </w:r>
          </w:p>
        </w:tc>
        <w:tc>
          <w:tcPr>
            <w:tcW w:type="dxa" w:w="5760"/>
            <w:vAlign w:val="top"/>
            <w:shd w:fill="F2F6FA"/>
          </w:tcPr>
          <w:p>
            <w:pPr>
              <w:pStyle w:val="TableText"/>
            </w:pPr>
            <w:r/>
            <w:r>
              <w:rPr>
                <w:b w:val="0"/>
                <w:sz w:val="16"/>
              </w:rPr>
              <w:t>Claim assessment distinguishes total assessed loss from covered loss and supports settlement calculation.</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F2-T11</w:t>
            </w:r>
          </w:p>
        </w:tc>
        <w:tc>
          <w:tcPr>
            <w:tcW w:type="dxa" w:w="1944"/>
            <w:vAlign w:val="top"/>
          </w:tcPr>
          <w:p>
            <w:pPr>
              <w:pStyle w:val="TableText"/>
            </w:pPr>
            <w:r/>
            <w:r>
              <w:rPr>
                <w:b w:val="0"/>
                <w:sz w:val="16"/>
              </w:rPr>
              <w:t>Vendor eligibility</w:t>
            </w:r>
          </w:p>
        </w:tc>
        <w:tc>
          <w:tcPr>
            <w:tcW w:type="dxa" w:w="2232"/>
            <w:vAlign w:val="top"/>
          </w:tcPr>
          <w:p>
            <w:pPr>
              <w:pStyle w:val="TableText"/>
            </w:pPr>
            <w:r/>
            <w:r>
              <w:rPr>
                <w:b w:val="0"/>
                <w:sz w:val="16"/>
              </w:rPr>
              <w:t>Vendor Manager</w:t>
            </w:r>
          </w:p>
        </w:tc>
        <w:tc>
          <w:tcPr>
            <w:tcW w:type="dxa" w:w="5976"/>
            <w:vAlign w:val="top"/>
          </w:tcPr>
          <w:p>
            <w:pPr>
              <w:pStyle w:val="TableText"/>
            </w:pPr>
            <w:r/>
            <w:r>
              <w:rPr>
                <w:b w:val="0"/>
                <w:sz w:val="16"/>
              </w:rPr>
              <w:t>Attempt assignment to an unverified/inactive contractor.</w:t>
            </w:r>
          </w:p>
        </w:tc>
        <w:tc>
          <w:tcPr>
            <w:tcW w:type="dxa" w:w="5760"/>
            <w:vAlign w:val="top"/>
          </w:tcPr>
          <w:p>
            <w:pPr>
              <w:pStyle w:val="TableText"/>
            </w:pPr>
            <w:r/>
            <w:r>
              <w:rPr>
                <w:b w:val="0"/>
                <w:sz w:val="16"/>
              </w:rPr>
              <w:t>Assignment is blocked or rerouted; only eligible providers can receive operational work.</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F2-T12</w:t>
            </w:r>
          </w:p>
        </w:tc>
        <w:tc>
          <w:tcPr>
            <w:tcW w:type="dxa" w:w="1944"/>
            <w:vAlign w:val="top"/>
            <w:shd w:fill="F2F6FA"/>
          </w:tcPr>
          <w:p>
            <w:pPr>
              <w:pStyle w:val="TableText"/>
            </w:pPr>
            <w:r/>
            <w:r>
              <w:rPr>
                <w:b w:val="0"/>
                <w:sz w:val="16"/>
              </w:rPr>
              <w:t>Vendor assignment</w:t>
            </w:r>
          </w:p>
        </w:tc>
        <w:tc>
          <w:tcPr>
            <w:tcW w:type="dxa" w:w="2232"/>
            <w:vAlign w:val="top"/>
            <w:shd w:fill="F2F6FA"/>
          </w:tcPr>
          <w:p>
            <w:pPr>
              <w:pStyle w:val="TableText"/>
            </w:pPr>
            <w:r/>
            <w:r>
              <w:rPr>
                <w:b w:val="0"/>
                <w:sz w:val="16"/>
              </w:rPr>
              <w:t>Vendor Manager</w:t>
            </w:r>
          </w:p>
        </w:tc>
        <w:tc>
          <w:tcPr>
            <w:tcW w:type="dxa" w:w="5976"/>
            <w:vAlign w:val="top"/>
            <w:shd w:fill="F2F6FA"/>
          </w:tcPr>
          <w:p>
            <w:pPr>
              <w:pStyle w:val="TableText"/>
            </w:pPr>
            <w:r/>
            <w:r>
              <w:rPr>
                <w:b w:val="0"/>
                <w:sz w:val="16"/>
              </w:rPr>
              <w:t>Assign an eligible repair contractor to restore damaged equipment/property.</w:t>
            </w:r>
          </w:p>
        </w:tc>
        <w:tc>
          <w:tcPr>
            <w:tcW w:type="dxa" w:w="5760"/>
            <w:vAlign w:val="top"/>
            <w:shd w:fill="F2F6FA"/>
          </w:tcPr>
          <w:p>
            <w:pPr>
              <w:pStyle w:val="TableText"/>
            </w:pPr>
            <w:r/>
            <w:r>
              <w:rPr>
                <w:b w:val="0"/>
                <w:sz w:val="16"/>
              </w:rPr>
              <w:t>A vendor assignment exists with service scope, responsible provider and operational status.</w:t>
            </w:r>
          </w:p>
        </w:tc>
        <w:tc>
          <w:tcPr>
            <w:tcW w:type="dxa" w:w="936"/>
            <w:vAlign w:val="top"/>
            <w:shd w:fill="F2F6FA"/>
          </w:tcPr>
          <w:p>
            <w:pPr>
              <w:pStyle w:val="TableText"/>
            </w:pPr>
            <w:r/>
            <w:r>
              <w:rPr>
                <w:b w:val="0"/>
                <w:sz w:val="16"/>
              </w:rPr>
              <w:t>High</w:t>
            </w:r>
          </w:p>
        </w:tc>
      </w:tr>
      <w:tr>
        <w:tc>
          <w:tcPr>
            <w:tcW w:type="dxa" w:w="936"/>
            <w:vAlign w:val="top"/>
          </w:tcPr>
          <w:p>
            <w:pPr>
              <w:pStyle w:val="TableText"/>
            </w:pPr>
            <w:r/>
            <w:r>
              <w:rPr>
                <w:b w:val="0"/>
                <w:sz w:val="16"/>
              </w:rPr>
              <w:t>F2-T13</w:t>
            </w:r>
          </w:p>
        </w:tc>
        <w:tc>
          <w:tcPr>
            <w:tcW w:type="dxa" w:w="1944"/>
            <w:vAlign w:val="top"/>
          </w:tcPr>
          <w:p>
            <w:pPr>
              <w:pStyle w:val="TableText"/>
            </w:pPr>
            <w:r/>
            <w:r>
              <w:rPr>
                <w:b w:val="0"/>
                <w:sz w:val="16"/>
              </w:rPr>
              <w:t>Vendor decline</w:t>
            </w:r>
          </w:p>
        </w:tc>
        <w:tc>
          <w:tcPr>
            <w:tcW w:type="dxa" w:w="2232"/>
            <w:vAlign w:val="top"/>
          </w:tcPr>
          <w:p>
            <w:pPr>
              <w:pStyle w:val="TableText"/>
            </w:pPr>
            <w:r/>
            <w:r>
              <w:rPr>
                <w:b w:val="0"/>
                <w:sz w:val="16"/>
              </w:rPr>
              <w:t>Service Provider</w:t>
            </w:r>
          </w:p>
        </w:tc>
        <w:tc>
          <w:tcPr>
            <w:tcW w:type="dxa" w:w="5976"/>
            <w:vAlign w:val="top"/>
          </w:tcPr>
          <w:p>
            <w:pPr>
              <w:pStyle w:val="TableText"/>
            </w:pPr>
            <w:r/>
            <w:r>
              <w:rPr>
                <w:b w:val="0"/>
                <w:sz w:val="16"/>
              </w:rPr>
              <w:t>Contractor declines the assigned job.</w:t>
            </w:r>
          </w:p>
        </w:tc>
        <w:tc>
          <w:tcPr>
            <w:tcW w:type="dxa" w:w="5760"/>
            <w:vAlign w:val="top"/>
          </w:tcPr>
          <w:p>
            <w:pPr>
              <w:pStyle w:val="TableText"/>
            </w:pPr>
            <w:r/>
            <w:r>
              <w:rPr>
                <w:b w:val="0"/>
                <w:sz w:val="16"/>
              </w:rPr>
              <w:t>Job returns to controlled reassignment/escalation rather than becoming lost.</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F2-T14</w:t>
            </w:r>
          </w:p>
        </w:tc>
        <w:tc>
          <w:tcPr>
            <w:tcW w:type="dxa" w:w="1944"/>
            <w:vAlign w:val="top"/>
            <w:shd w:fill="F2F6FA"/>
          </w:tcPr>
          <w:p>
            <w:pPr>
              <w:pStyle w:val="TableText"/>
            </w:pPr>
            <w:r/>
            <w:r>
              <w:rPr>
                <w:b w:val="0"/>
                <w:sz w:val="16"/>
              </w:rPr>
              <w:t>Recovery case</w:t>
            </w:r>
          </w:p>
        </w:tc>
        <w:tc>
          <w:tcPr>
            <w:tcW w:type="dxa" w:w="2232"/>
            <w:vAlign w:val="top"/>
            <w:shd w:fill="F2F6FA"/>
          </w:tcPr>
          <w:p>
            <w:pPr>
              <w:pStyle w:val="TableText"/>
            </w:pPr>
            <w:r/>
            <w:r>
              <w:rPr>
                <w:b w:val="0"/>
                <w:sz w:val="16"/>
              </w:rPr>
              <w:t>Workflow / Recovery</w:t>
            </w:r>
          </w:p>
        </w:tc>
        <w:tc>
          <w:tcPr>
            <w:tcW w:type="dxa" w:w="5976"/>
            <w:vAlign w:val="top"/>
            <w:shd w:fill="F2F6FA"/>
          </w:tcPr>
          <w:p>
            <w:pPr>
              <w:pStyle w:val="TableText"/>
            </w:pPr>
            <w:r/>
            <w:r>
              <w:rPr>
                <w:b w:val="0"/>
                <w:sz w:val="16"/>
              </w:rPr>
              <w:t>Create a business continuity case for temporary location, equipment and reopening.</w:t>
            </w:r>
          </w:p>
        </w:tc>
        <w:tc>
          <w:tcPr>
            <w:tcW w:type="dxa" w:w="5760"/>
            <w:vAlign w:val="top"/>
            <w:shd w:fill="F2F6FA"/>
          </w:tcPr>
          <w:p>
            <w:pPr>
              <w:pStyle w:val="TableText"/>
            </w:pPr>
            <w:r/>
            <w:r>
              <w:rPr>
                <w:b w:val="0"/>
                <w:sz w:val="16"/>
              </w:rPr>
              <w:t>Recovery case contains operational objectives and milestones; it does not imply coverage entitlement by itself.</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F2-T15</w:t>
            </w:r>
          </w:p>
        </w:tc>
        <w:tc>
          <w:tcPr>
            <w:tcW w:type="dxa" w:w="1944"/>
            <w:vAlign w:val="top"/>
          </w:tcPr>
          <w:p>
            <w:pPr>
              <w:pStyle w:val="TableText"/>
            </w:pPr>
            <w:r/>
            <w:r>
              <w:rPr>
                <w:b w:val="0"/>
                <w:sz w:val="16"/>
              </w:rPr>
              <w:t>Recovery progress</w:t>
            </w:r>
          </w:p>
        </w:tc>
        <w:tc>
          <w:tcPr>
            <w:tcW w:type="dxa" w:w="2232"/>
            <w:vAlign w:val="top"/>
          </w:tcPr>
          <w:p>
            <w:pPr>
              <w:pStyle w:val="TableText"/>
            </w:pPr>
            <w:r/>
            <w:r>
              <w:rPr>
                <w:b w:val="0"/>
                <w:sz w:val="16"/>
              </w:rPr>
              <w:t>Service Provider / Recovery</w:t>
            </w:r>
          </w:p>
        </w:tc>
        <w:tc>
          <w:tcPr>
            <w:tcW w:type="dxa" w:w="5976"/>
            <w:vAlign w:val="top"/>
          </w:tcPr>
          <w:p>
            <w:pPr>
              <w:pStyle w:val="TableText"/>
            </w:pPr>
            <w:r/>
            <w:r>
              <w:rPr>
                <w:b w:val="0"/>
                <w:sz w:val="16"/>
              </w:rPr>
              <w:t>Update repair/reopening milestones with completion evidence.</w:t>
            </w:r>
          </w:p>
        </w:tc>
        <w:tc>
          <w:tcPr>
            <w:tcW w:type="dxa" w:w="5760"/>
            <w:vAlign w:val="top"/>
          </w:tcPr>
          <w:p>
            <w:pPr>
              <w:pStyle w:val="TableText"/>
            </w:pPr>
            <w:r/>
            <w:r>
              <w:rPr>
                <w:b w:val="0"/>
                <w:sz w:val="16"/>
              </w:rPr>
              <w:t>Recovery progress is visible and evidence-backed; overdue milestones can trigger workflow escalation.</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F2-T16</w:t>
            </w:r>
          </w:p>
        </w:tc>
        <w:tc>
          <w:tcPr>
            <w:tcW w:type="dxa" w:w="1944"/>
            <w:vAlign w:val="top"/>
            <w:shd w:fill="F2F6FA"/>
          </w:tcPr>
          <w:p>
            <w:pPr>
              <w:pStyle w:val="TableText"/>
            </w:pPr>
            <w:r/>
            <w:r>
              <w:rPr>
                <w:b w:val="0"/>
                <w:sz w:val="16"/>
              </w:rPr>
              <w:t>Settlement</w:t>
            </w:r>
          </w:p>
        </w:tc>
        <w:tc>
          <w:tcPr>
            <w:tcW w:type="dxa" w:w="2232"/>
            <w:vAlign w:val="top"/>
            <w:shd w:fill="F2F6FA"/>
          </w:tcPr>
          <w:p>
            <w:pPr>
              <w:pStyle w:val="TableText"/>
            </w:pPr>
            <w:r/>
            <w:r>
              <w:rPr>
                <w:b w:val="0"/>
                <w:sz w:val="16"/>
              </w:rPr>
              <w:t>Claims Manager</w:t>
            </w:r>
          </w:p>
        </w:tc>
        <w:tc>
          <w:tcPr>
            <w:tcW w:type="dxa" w:w="5976"/>
            <w:vAlign w:val="top"/>
            <w:shd w:fill="F2F6FA"/>
          </w:tcPr>
          <w:p>
            <w:pPr>
              <w:pStyle w:val="TableText"/>
            </w:pPr>
            <w:r/>
            <w:r>
              <w:rPr>
                <w:b w:val="0"/>
                <w:sz w:val="16"/>
              </w:rPr>
              <w:t>Approve a settlement after investigation and assessment.</w:t>
            </w:r>
          </w:p>
        </w:tc>
        <w:tc>
          <w:tcPr>
            <w:tcW w:type="dxa" w:w="5760"/>
            <w:vAlign w:val="top"/>
            <w:shd w:fill="F2F6FA"/>
          </w:tcPr>
          <w:p>
            <w:pPr>
              <w:pStyle w:val="TableText"/>
            </w:pPr>
            <w:r/>
            <w:r>
              <w:rPr>
                <w:b w:val="0"/>
                <w:sz w:val="16"/>
              </w:rPr>
              <w:t>Claim records an authorized settlement outcome distinct from the reserve and payment transaction.</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F2-T17</w:t>
            </w:r>
          </w:p>
        </w:tc>
        <w:tc>
          <w:tcPr>
            <w:tcW w:type="dxa" w:w="1944"/>
            <w:vAlign w:val="top"/>
          </w:tcPr>
          <w:p>
            <w:pPr>
              <w:pStyle w:val="TableText"/>
            </w:pPr>
            <w:r/>
            <w:r>
              <w:rPr>
                <w:b w:val="0"/>
                <w:sz w:val="16"/>
              </w:rPr>
              <w:t>Payment</w:t>
            </w:r>
          </w:p>
        </w:tc>
        <w:tc>
          <w:tcPr>
            <w:tcW w:type="dxa" w:w="2232"/>
            <w:vAlign w:val="top"/>
          </w:tcPr>
          <w:p>
            <w:pPr>
              <w:pStyle w:val="TableText"/>
            </w:pPr>
            <w:r/>
            <w:r>
              <w:rPr>
                <w:b w:val="0"/>
                <w:sz w:val="16"/>
              </w:rPr>
              <w:t>Claims</w:t>
            </w:r>
          </w:p>
        </w:tc>
        <w:tc>
          <w:tcPr>
            <w:tcW w:type="dxa" w:w="5976"/>
            <w:vAlign w:val="top"/>
          </w:tcPr>
          <w:p>
            <w:pPr>
              <w:pStyle w:val="TableText"/>
            </w:pPr>
            <w:r/>
            <w:r>
              <w:rPr>
                <w:b w:val="0"/>
                <w:sz w:val="16"/>
              </w:rPr>
              <w:t>Record payment issued against the approved settlement.</w:t>
            </w:r>
          </w:p>
        </w:tc>
        <w:tc>
          <w:tcPr>
            <w:tcW w:type="dxa" w:w="5760"/>
            <w:vAlign w:val="top"/>
          </w:tcPr>
          <w:p>
            <w:pPr>
              <w:pStyle w:val="TableText"/>
            </w:pPr>
            <w:r/>
            <w:r>
              <w:rPr>
                <w:b w:val="0"/>
                <w:sz w:val="16"/>
              </w:rPr>
              <w:t>Payment status is separately represented; approved settlement is not incorrectly treated as payment completion.</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F2-T18</w:t>
            </w:r>
          </w:p>
        </w:tc>
        <w:tc>
          <w:tcPr>
            <w:tcW w:type="dxa" w:w="1944"/>
            <w:vAlign w:val="top"/>
            <w:shd w:fill="F2F6FA"/>
          </w:tcPr>
          <w:p>
            <w:pPr>
              <w:pStyle w:val="TableText"/>
            </w:pPr>
            <w:r/>
            <w:r>
              <w:rPr>
                <w:b w:val="0"/>
                <w:sz w:val="16"/>
              </w:rPr>
              <w:t>Salvage / subrogation</w:t>
            </w:r>
          </w:p>
        </w:tc>
        <w:tc>
          <w:tcPr>
            <w:tcW w:type="dxa" w:w="2232"/>
            <w:vAlign w:val="top"/>
            <w:shd w:fill="F2F6FA"/>
          </w:tcPr>
          <w:p>
            <w:pPr>
              <w:pStyle w:val="TableText"/>
            </w:pPr>
            <w:r/>
            <w:r>
              <w:rPr>
                <w:b w:val="0"/>
                <w:sz w:val="16"/>
              </w:rPr>
              <w:t>Claims</w:t>
            </w:r>
          </w:p>
        </w:tc>
        <w:tc>
          <w:tcPr>
            <w:tcW w:type="dxa" w:w="5976"/>
            <w:vAlign w:val="top"/>
            <w:shd w:fill="F2F6FA"/>
          </w:tcPr>
          <w:p>
            <w:pPr>
              <w:pStyle w:val="TableText"/>
            </w:pPr>
            <w:r/>
            <w:r>
              <w:rPr>
                <w:b w:val="0"/>
                <w:sz w:val="16"/>
              </w:rPr>
              <w:t>Identify damaged equipment with recoverable value and a third party potentially responsible for the loss.</w:t>
            </w:r>
          </w:p>
        </w:tc>
        <w:tc>
          <w:tcPr>
            <w:tcW w:type="dxa" w:w="5760"/>
            <w:vAlign w:val="top"/>
            <w:shd w:fill="F2F6FA"/>
          </w:tcPr>
          <w:p>
            <w:pPr>
              <w:pStyle w:val="TableText"/>
            </w:pPr>
            <w:r/>
            <w:r>
              <w:rPr>
                <w:b w:val="0"/>
                <w:sz w:val="16"/>
              </w:rPr>
              <w:t>Salvage/subrogation work is opened and tracked separately from the insured payment.</w:t>
            </w:r>
          </w:p>
        </w:tc>
        <w:tc>
          <w:tcPr>
            <w:tcW w:type="dxa" w:w="936"/>
            <w:vAlign w:val="top"/>
            <w:shd w:fill="F2F6FA"/>
          </w:tcPr>
          <w:p>
            <w:pPr>
              <w:pStyle w:val="TableText"/>
            </w:pPr>
            <w:r/>
            <w:r>
              <w:rPr>
                <w:b w:val="0"/>
                <w:sz w:val="16"/>
              </w:rPr>
              <w:t>High</w:t>
            </w:r>
          </w:p>
        </w:tc>
      </w:tr>
      <w:tr>
        <w:tc>
          <w:tcPr>
            <w:tcW w:type="dxa" w:w="936"/>
            <w:vAlign w:val="top"/>
          </w:tcPr>
          <w:p>
            <w:pPr>
              <w:pStyle w:val="TableText"/>
            </w:pPr>
            <w:r/>
            <w:r>
              <w:rPr>
                <w:b w:val="0"/>
                <w:sz w:val="16"/>
              </w:rPr>
              <w:t>F2-T19</w:t>
            </w:r>
          </w:p>
        </w:tc>
        <w:tc>
          <w:tcPr>
            <w:tcW w:type="dxa" w:w="1944"/>
            <w:vAlign w:val="top"/>
          </w:tcPr>
          <w:p>
            <w:pPr>
              <w:pStyle w:val="TableText"/>
            </w:pPr>
            <w:r/>
            <w:r>
              <w:rPr>
                <w:b w:val="0"/>
                <w:sz w:val="16"/>
              </w:rPr>
              <w:t>Closure gate</w:t>
            </w:r>
          </w:p>
        </w:tc>
        <w:tc>
          <w:tcPr>
            <w:tcW w:type="dxa" w:w="2232"/>
            <w:vAlign w:val="top"/>
          </w:tcPr>
          <w:p>
            <w:pPr>
              <w:pStyle w:val="TableText"/>
            </w:pPr>
            <w:r/>
            <w:r>
              <w:rPr>
                <w:b w:val="0"/>
                <w:sz w:val="16"/>
              </w:rPr>
              <w:t>Claims Manager</w:t>
            </w:r>
          </w:p>
        </w:tc>
        <w:tc>
          <w:tcPr>
            <w:tcW w:type="dxa" w:w="5976"/>
            <w:vAlign w:val="top"/>
          </w:tcPr>
          <w:p>
            <w:pPr>
              <w:pStyle w:val="TableText"/>
            </w:pPr>
            <w:r/>
            <w:r>
              <w:rPr>
                <w:b w:val="0"/>
                <w:sz w:val="16"/>
              </w:rPr>
              <w:t>Attempt to close claim while mandatory evidence/payment/recovery actions remain incomplete.</w:t>
            </w:r>
          </w:p>
        </w:tc>
        <w:tc>
          <w:tcPr>
            <w:tcW w:type="dxa" w:w="5760"/>
            <w:vAlign w:val="top"/>
          </w:tcPr>
          <w:p>
            <w:pPr>
              <w:pStyle w:val="TableText"/>
            </w:pPr>
            <w:r/>
            <w:r>
              <w:rPr>
                <w:b w:val="0"/>
                <w:sz w:val="16"/>
              </w:rPr>
              <w:t>Closure is blocked or flagged until required actions are complete or formally waived.</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F2-T20</w:t>
            </w:r>
          </w:p>
        </w:tc>
        <w:tc>
          <w:tcPr>
            <w:tcW w:type="dxa" w:w="1944"/>
            <w:vAlign w:val="top"/>
            <w:shd w:fill="F2F6FA"/>
          </w:tcPr>
          <w:p>
            <w:pPr>
              <w:pStyle w:val="TableText"/>
            </w:pPr>
            <w:r/>
            <w:r>
              <w:rPr>
                <w:b w:val="0"/>
                <w:sz w:val="16"/>
              </w:rPr>
              <w:t>Renewal after claim</w:t>
            </w:r>
          </w:p>
        </w:tc>
        <w:tc>
          <w:tcPr>
            <w:tcW w:type="dxa" w:w="2232"/>
            <w:vAlign w:val="top"/>
            <w:shd w:fill="F2F6FA"/>
          </w:tcPr>
          <w:p>
            <w:pPr>
              <w:pStyle w:val="TableText"/>
            </w:pPr>
            <w:r/>
            <w:r>
              <w:rPr>
                <w:b w:val="0"/>
                <w:sz w:val="16"/>
              </w:rPr>
              <w:t>Underwriter</w:t>
            </w:r>
          </w:p>
        </w:tc>
        <w:tc>
          <w:tcPr>
            <w:tcW w:type="dxa" w:w="5976"/>
            <w:vAlign w:val="top"/>
            <w:shd w:fill="F2F6FA"/>
          </w:tcPr>
          <w:p>
            <w:pPr>
              <w:pStyle w:val="TableText"/>
            </w:pPr>
            <w:r/>
            <w:r>
              <w:rPr>
                <w:b w:val="0"/>
                <w:sz w:val="16"/>
              </w:rPr>
              <w:t>Begin renewal after a significant claim and updated business exposure.</w:t>
            </w:r>
          </w:p>
        </w:tc>
        <w:tc>
          <w:tcPr>
            <w:tcW w:type="dxa" w:w="5760"/>
            <w:vAlign w:val="top"/>
            <w:shd w:fill="F2F6FA"/>
          </w:tcPr>
          <w:p>
            <w:pPr>
              <w:pStyle w:val="TableText"/>
            </w:pPr>
            <w:r/>
            <w:r>
              <w:rPr>
                <w:b w:val="0"/>
                <w:sz w:val="16"/>
              </w:rPr>
              <w:t>Renewal uses current loss history, operations and risk controls; the prior policy is not simply copied forward.</w:t>
            </w:r>
          </w:p>
        </w:tc>
        <w:tc>
          <w:tcPr>
            <w:tcW w:type="dxa" w:w="936"/>
            <w:vAlign w:val="top"/>
            <w:shd w:fill="F2F6FA"/>
          </w:tcPr>
          <w:p>
            <w:pPr>
              <w:pStyle w:val="TableText"/>
            </w:pPr>
            <w:r/>
            <w:r>
              <w:rPr>
                <w:b w:val="0"/>
                <w:sz w:val="16"/>
              </w:rPr>
              <w:t>Critical</w:t>
            </w:r>
          </w:p>
        </w:tc>
      </w:tr>
    </w:tbl>
    <w:p>
      <w:pPr>
        <w:spacing w:after="40"/>
      </w:pPr>
    </w:p>
    <w:p>
      <w:pPr>
        <w:pStyle w:val="Heading1"/>
        <w:keepNext/>
      </w:pPr>
      <w:r>
        <w:t>FLOW 3 — Exception / Referral → Conditional Acceptance → Material Change → Non-Renewal</w:t>
      </w:r>
    </w:p>
    <w:tbl>
      <w:tblPr>
        <w:tblStyle w:val="TableGrid"/>
        <w:tblW w:type="auto" w:w="0"/>
        <w:jc w:val="center"/>
        <w:tblLook w:firstColumn="1" w:firstRow="1" w:lastColumn="0" w:lastRow="0" w:noHBand="0" w:noVBand="1" w:val="04A0"/>
      </w:tblPr>
      <w:tblGrid>
        <w:gridCol w:w="15264"/>
      </w:tblGrid>
      <w:tr>
        <w:tc>
          <w:tcPr>
            <w:tcW w:type="dxa" w:w="15264"/>
            <w:shd w:fill="EAF2F8"/>
          </w:tcPr>
          <w:p>
            <w:r/>
            <w:r>
              <w:rPr>
                <w:b/>
                <w:sz w:val="21"/>
              </w:rPr>
              <w:t>BUSINESS OBJECTIVE</w:t>
              <w:br/>
            </w:r>
            <w:r>
              <w:rPr>
                <w:sz w:val="18"/>
              </w:rPr>
              <w:t>Demonstrate realistic insurance exceptions: missing information, referral, specialist risk engineering, subjectivities, material policy change, reassessment and non-renewal.</w:t>
            </w:r>
          </w:p>
        </w:tc>
      </w:tr>
    </w:tbl>
    <w:p>
      <w:pPr>
        <w:spacing w:after="0"/>
      </w:pPr>
    </w:p>
    <w:tbl>
      <w:tblPr>
        <w:tblStyle w:val="TableGrid"/>
        <w:tblW w:type="auto" w:w="0"/>
        <w:jc w:val="center"/>
        <w:tblLook w:firstColumn="1" w:firstRow="1" w:lastColumn="0" w:lastRow="0" w:noHBand="0" w:noVBand="1" w:val="04A0"/>
      </w:tblPr>
      <w:tblGrid>
        <w:gridCol w:w="7632"/>
        <w:gridCol w:w="7632"/>
      </w:tblGrid>
      <w:tr>
        <w:trPr>
          <w:tblHeader w:val="true"/>
        </w:trPr>
        <w:tc>
          <w:tcPr>
            <w:tcW w:type="dxa" w:w="2160"/>
            <w:vAlign w:val="top"/>
            <w:shd w:fill="17365D"/>
          </w:tcPr>
          <w:p>
            <w:pPr>
              <w:pStyle w:val="TableText"/>
            </w:pPr>
            <w:r>
              <w:rPr>
                <w:color w:val="FFFFFF"/>
              </w:rPr>
            </w:r>
            <w:r>
              <w:rPr>
                <w:b/>
                <w:color w:val="FFFFFF"/>
                <w:sz w:val="16"/>
              </w:rPr>
              <w:t>Item</w:t>
            </w:r>
          </w:p>
        </w:tc>
        <w:tc>
          <w:tcPr>
            <w:tcW w:type="dxa" w:w="13104"/>
            <w:vAlign w:val="top"/>
            <w:shd w:fill="17365D"/>
          </w:tcPr>
          <w:p>
            <w:pPr>
              <w:pStyle w:val="TableText"/>
            </w:pPr>
            <w:r>
              <w:rPr>
                <w:color w:val="FFFFFF"/>
              </w:rPr>
            </w:r>
            <w:r>
              <w:rPr>
                <w:b/>
                <w:color w:val="FFFFFF"/>
                <w:sz w:val="16"/>
              </w:rPr>
              <w:t>Definition</w:t>
            </w:r>
          </w:p>
        </w:tc>
      </w:tr>
      <w:tr>
        <w:tc>
          <w:tcPr>
            <w:tcW w:type="dxa" w:w="2160"/>
            <w:vAlign w:val="top"/>
          </w:tcPr>
          <w:p>
            <w:pPr>
              <w:pStyle w:val="TableText"/>
            </w:pPr>
            <w:r/>
            <w:r>
              <w:rPr>
                <w:b w:val="0"/>
                <w:sz w:val="16"/>
              </w:rPr>
              <w:t>Entry criteria</w:t>
            </w:r>
          </w:p>
        </w:tc>
        <w:tc>
          <w:tcPr>
            <w:tcW w:type="dxa" w:w="13104"/>
            <w:vAlign w:val="top"/>
          </w:tcPr>
          <w:p>
            <w:pPr>
              <w:pStyle w:val="TableText"/>
            </w:pPr>
            <w:r/>
            <w:r>
              <w:rPr>
                <w:b w:val="0"/>
                <w:sz w:val="16"/>
              </w:rPr>
              <w:t>Complex or incomplete submission requiring human intervention and potentially specialist risk engineering.</w:t>
            </w:r>
          </w:p>
        </w:tc>
      </w:tr>
      <w:tr>
        <w:tc>
          <w:tcPr>
            <w:tcW w:type="dxa" w:w="2160"/>
            <w:vAlign w:val="top"/>
            <w:shd w:fill="F2F6FA"/>
          </w:tcPr>
          <w:p>
            <w:pPr>
              <w:pStyle w:val="TableText"/>
            </w:pPr>
            <w:r/>
            <w:r>
              <w:rPr>
                <w:b w:val="0"/>
                <w:sz w:val="16"/>
              </w:rPr>
              <w:t>Exit criteria</w:t>
            </w:r>
          </w:p>
        </w:tc>
        <w:tc>
          <w:tcPr>
            <w:tcW w:type="dxa" w:w="13104"/>
            <w:vAlign w:val="top"/>
            <w:shd w:fill="F2F6FA"/>
          </w:tcPr>
          <w:p>
            <w:pPr>
              <w:pStyle w:val="TableText"/>
            </w:pPr>
            <w:r/>
            <w:r>
              <w:rPr>
                <w:b w:val="0"/>
                <w:sz w:val="16"/>
              </w:rPr>
              <w:t>The transaction is either correctly issued with conditions or correctly ends through a controlled non-renewal/decline path with evidence.</w:t>
            </w:r>
          </w:p>
        </w:tc>
      </w:tr>
      <w:tr>
        <w:tc>
          <w:tcPr>
            <w:tcW w:type="dxa" w:w="2160"/>
            <w:vAlign w:val="top"/>
          </w:tcPr>
          <w:p>
            <w:pPr>
              <w:pStyle w:val="TableText"/>
            </w:pPr>
            <w:r/>
            <w:r>
              <w:rPr>
                <w:b w:val="0"/>
                <w:sz w:val="16"/>
              </w:rPr>
              <w:t>Primary roles</w:t>
            </w:r>
          </w:p>
        </w:tc>
        <w:tc>
          <w:tcPr>
            <w:tcW w:type="dxa" w:w="13104"/>
            <w:vAlign w:val="top"/>
          </w:tcPr>
          <w:p>
            <w:pPr>
              <w:pStyle w:val="TableText"/>
            </w:pPr>
            <w:r/>
            <w:r>
              <w:rPr>
                <w:b w:val="0"/>
                <w:sz w:val="16"/>
              </w:rPr>
              <w:t>Policyholder; Underwriter; Risk Engineer; Claims Adjuster/Manager; Vendor Manager; Service Provider/Contractor; System Administrator as applicable</w:t>
            </w:r>
          </w:p>
        </w:tc>
      </w:tr>
      <w:tr>
        <w:tc>
          <w:tcPr>
            <w:tcW w:type="dxa" w:w="2160"/>
            <w:vAlign w:val="top"/>
            <w:shd w:fill="F2F6FA"/>
          </w:tcPr>
          <w:p>
            <w:pPr>
              <w:pStyle w:val="TableText"/>
            </w:pPr>
            <w:r/>
            <w:r>
              <w:rPr>
                <w:b w:val="0"/>
                <w:sz w:val="16"/>
              </w:rPr>
              <w:t>Services traversed</w:t>
            </w:r>
          </w:p>
        </w:tc>
        <w:tc>
          <w:tcPr>
            <w:tcW w:type="dxa" w:w="13104"/>
            <w:vAlign w:val="top"/>
            <w:shd w:fill="F2F6FA"/>
          </w:tcPr>
          <w:p>
            <w:pPr>
              <w:pStyle w:val="TableText"/>
            </w:pPr>
            <w:r/>
            <w:r>
              <w:rPr>
                <w:b w:val="0"/>
                <w:sz w:val="16"/>
              </w:rPr>
              <w:t>Customer &amp; Party; Quote &amp; Policy; Risk &amp; Underwriting; Claims; Vendor &amp; Partner; Recovery &amp; Business Continuity; Workflow &amp; Notification; Document &amp; Audit; Analytics optional and non-authoritative</w:t>
            </w:r>
          </w:p>
        </w:tc>
      </w:tr>
    </w:tbl>
    <w:p>
      <w:pPr>
        <w:spacing w:after="40"/>
      </w:pPr>
    </w:p>
    <w:p>
      <w:pPr>
        <w:pStyle w:val="Heading2"/>
        <w:keepNext/>
      </w:pPr>
      <w:r>
        <w:t>Business Flow</w:t>
      </w:r>
    </w:p>
    <w:tbl>
      <w:tblPr>
        <w:tblStyle w:val="TableGrid"/>
        <w:tblW w:type="auto" w:w="0"/>
        <w:jc w:val="center"/>
        <w:tblLook w:firstColumn="1" w:firstRow="1" w:lastColumn="0" w:lastRow="0" w:noHBand="0" w:noVBand="1" w:val="04A0"/>
      </w:tblPr>
      <w:tblGrid>
        <w:gridCol w:w="3816"/>
        <w:gridCol w:w="3816"/>
        <w:gridCol w:w="3816"/>
        <w:gridCol w:w="3816"/>
      </w:tblGrid>
      <w:tr>
        <w:trPr>
          <w:tblHeader w:val="true"/>
        </w:trPr>
        <w:tc>
          <w:tcPr>
            <w:tcW w:type="dxa" w:w="792"/>
            <w:vAlign w:val="top"/>
            <w:shd w:fill="17365D"/>
          </w:tcPr>
          <w:p>
            <w:pPr>
              <w:pStyle w:val="TableText"/>
            </w:pPr>
            <w:r>
              <w:rPr>
                <w:color w:val="FFFFFF"/>
              </w:rPr>
            </w:r>
            <w:r>
              <w:rPr>
                <w:b/>
                <w:color w:val="FFFFFF"/>
                <w:sz w:val="16"/>
              </w:rPr>
              <w:t>Step</w:t>
            </w:r>
          </w:p>
        </w:tc>
        <w:tc>
          <w:tcPr>
            <w:tcW w:type="dxa" w:w="6336"/>
            <w:vAlign w:val="top"/>
            <w:shd w:fill="17365D"/>
          </w:tcPr>
          <w:p>
            <w:pPr>
              <w:pStyle w:val="TableText"/>
            </w:pPr>
            <w:r>
              <w:rPr>
                <w:color w:val="FFFFFF"/>
              </w:rPr>
            </w:r>
            <w:r>
              <w:rPr>
                <w:b/>
                <w:color w:val="FFFFFF"/>
                <w:sz w:val="16"/>
              </w:rPr>
              <w:t>Business event / action</w:t>
            </w:r>
          </w:p>
        </w:tc>
        <w:tc>
          <w:tcPr>
            <w:tcW w:type="dxa" w:w="6480"/>
            <w:vAlign w:val="top"/>
            <w:shd w:fill="17365D"/>
          </w:tcPr>
          <w:p>
            <w:pPr>
              <w:pStyle w:val="TableText"/>
            </w:pPr>
            <w:r>
              <w:rPr>
                <w:color w:val="FFFFFF"/>
              </w:rPr>
            </w:r>
            <w:r>
              <w:rPr>
                <w:b/>
                <w:color w:val="FFFFFF"/>
                <w:sz w:val="16"/>
              </w:rPr>
              <w:t>Expected state / outcome</w:t>
            </w:r>
          </w:p>
        </w:tc>
        <w:tc>
          <w:tcPr>
            <w:tcW w:type="dxa" w:w="1872"/>
            <w:vAlign w:val="top"/>
            <w:shd w:fill="17365D"/>
          </w:tcPr>
          <w:p>
            <w:pPr>
              <w:pStyle w:val="TableText"/>
            </w:pPr>
            <w:r>
              <w:rPr>
                <w:color w:val="FFFFFF"/>
              </w:rPr>
            </w:r>
            <w:r>
              <w:rPr>
                <w:b/>
                <w:color w:val="FFFFFF"/>
                <w:sz w:val="16"/>
              </w:rPr>
              <w:t>Primary owner</w:t>
            </w:r>
          </w:p>
        </w:tc>
      </w:tr>
      <w:tr>
        <w:tc>
          <w:tcPr>
            <w:tcW w:type="dxa" w:w="792"/>
            <w:vAlign w:val="top"/>
          </w:tcPr>
          <w:p>
            <w:pPr>
              <w:pStyle w:val="TableText"/>
            </w:pPr>
            <w:r/>
            <w:r>
              <w:rPr>
                <w:b w:val="0"/>
                <w:sz w:val="16"/>
              </w:rPr>
              <w:t>1</w:t>
            </w:r>
          </w:p>
        </w:tc>
        <w:tc>
          <w:tcPr>
            <w:tcW w:type="dxa" w:w="6336"/>
            <w:vAlign w:val="top"/>
          </w:tcPr>
          <w:p>
            <w:pPr>
              <w:pStyle w:val="TableText"/>
            </w:pPr>
            <w:r/>
            <w:r>
              <w:rPr>
                <w:b w:val="0"/>
                <w:sz w:val="16"/>
              </w:rPr>
              <w:t>Complex/incomplete submission</w:t>
            </w:r>
          </w:p>
        </w:tc>
        <w:tc>
          <w:tcPr>
            <w:tcW w:type="dxa" w:w="6480"/>
            <w:vAlign w:val="top"/>
          </w:tcPr>
          <w:p>
            <w:pPr>
              <w:pStyle w:val="TableText"/>
            </w:pPr>
            <w:r/>
            <w:r>
              <w:rPr>
                <w:b w:val="0"/>
                <w:sz w:val="16"/>
              </w:rPr>
              <w:t>Submission has material missing information or complexity.</w:t>
            </w:r>
          </w:p>
        </w:tc>
        <w:tc>
          <w:tcPr>
            <w:tcW w:type="dxa" w:w="1872"/>
            <w:vAlign w:val="top"/>
          </w:tcPr>
          <w:p>
            <w:pPr>
              <w:pStyle w:val="TableText"/>
            </w:pPr>
            <w:r/>
            <w:r>
              <w:rPr>
                <w:b w:val="0"/>
                <w:sz w:val="16"/>
              </w:rPr>
              <w:t>Policyholder / Workflow</w:t>
            </w:r>
          </w:p>
        </w:tc>
      </w:tr>
      <w:tr>
        <w:tc>
          <w:tcPr>
            <w:tcW w:type="dxa" w:w="792"/>
            <w:vAlign w:val="top"/>
            <w:shd w:fill="F2F6FA"/>
          </w:tcPr>
          <w:p>
            <w:pPr>
              <w:pStyle w:val="TableText"/>
            </w:pPr>
            <w:r/>
            <w:r>
              <w:rPr>
                <w:b w:val="0"/>
                <w:sz w:val="16"/>
              </w:rPr>
              <w:t>2</w:t>
            </w:r>
          </w:p>
        </w:tc>
        <w:tc>
          <w:tcPr>
            <w:tcW w:type="dxa" w:w="6336"/>
            <w:vAlign w:val="top"/>
            <w:shd w:fill="F2F6FA"/>
          </w:tcPr>
          <w:p>
            <w:pPr>
              <w:pStyle w:val="TableText"/>
            </w:pPr>
            <w:r/>
            <w:r>
              <w:rPr>
                <w:b w:val="0"/>
                <w:sz w:val="16"/>
              </w:rPr>
              <w:t>Needs information</w:t>
            </w:r>
          </w:p>
        </w:tc>
        <w:tc>
          <w:tcPr>
            <w:tcW w:type="dxa" w:w="6480"/>
            <w:vAlign w:val="top"/>
            <w:shd w:fill="F2F6FA"/>
          </w:tcPr>
          <w:p>
            <w:pPr>
              <w:pStyle w:val="TableText"/>
            </w:pPr>
            <w:r/>
            <w:r>
              <w:rPr>
                <w:b w:val="0"/>
                <w:sz w:val="16"/>
              </w:rPr>
              <w:t>Customer/document tasks are created with a clear owner and due date.</w:t>
            </w:r>
          </w:p>
        </w:tc>
        <w:tc>
          <w:tcPr>
            <w:tcW w:type="dxa" w:w="1872"/>
            <w:vAlign w:val="top"/>
            <w:shd w:fill="F2F6FA"/>
          </w:tcPr>
          <w:p>
            <w:pPr>
              <w:pStyle w:val="TableText"/>
            </w:pPr>
            <w:r/>
            <w:r>
              <w:rPr>
                <w:b w:val="0"/>
                <w:sz w:val="16"/>
              </w:rPr>
              <w:t>Workflow</w:t>
            </w:r>
          </w:p>
        </w:tc>
      </w:tr>
      <w:tr>
        <w:tc>
          <w:tcPr>
            <w:tcW w:type="dxa" w:w="792"/>
            <w:vAlign w:val="top"/>
          </w:tcPr>
          <w:p>
            <w:pPr>
              <w:pStyle w:val="TableText"/>
            </w:pPr>
            <w:r/>
            <w:r>
              <w:rPr>
                <w:b w:val="0"/>
                <w:sz w:val="16"/>
              </w:rPr>
              <w:t>3</w:t>
            </w:r>
          </w:p>
        </w:tc>
        <w:tc>
          <w:tcPr>
            <w:tcW w:type="dxa" w:w="6336"/>
            <w:vAlign w:val="top"/>
          </w:tcPr>
          <w:p>
            <w:pPr>
              <w:pStyle w:val="TableText"/>
            </w:pPr>
            <w:r/>
            <w:r>
              <w:rPr>
                <w:b w:val="0"/>
                <w:sz w:val="16"/>
              </w:rPr>
              <w:t>Referral</w:t>
            </w:r>
          </w:p>
        </w:tc>
        <w:tc>
          <w:tcPr>
            <w:tcW w:type="dxa" w:w="6480"/>
            <w:vAlign w:val="top"/>
          </w:tcPr>
          <w:p>
            <w:pPr>
              <w:pStyle w:val="TableText"/>
            </w:pPr>
            <w:r/>
            <w:r>
              <w:rPr>
                <w:b w:val="0"/>
                <w:sz w:val="16"/>
              </w:rPr>
              <w:t>Risk requires specialist/manual underwriting authority.</w:t>
            </w:r>
          </w:p>
        </w:tc>
        <w:tc>
          <w:tcPr>
            <w:tcW w:type="dxa" w:w="1872"/>
            <w:vAlign w:val="top"/>
          </w:tcPr>
          <w:p>
            <w:pPr>
              <w:pStyle w:val="TableText"/>
            </w:pPr>
            <w:r/>
            <w:r>
              <w:rPr>
                <w:b w:val="0"/>
                <w:sz w:val="16"/>
              </w:rPr>
              <w:t>Risk &amp; Underwriting</w:t>
            </w:r>
          </w:p>
        </w:tc>
      </w:tr>
      <w:tr>
        <w:tc>
          <w:tcPr>
            <w:tcW w:type="dxa" w:w="792"/>
            <w:vAlign w:val="top"/>
            <w:shd w:fill="F2F6FA"/>
          </w:tcPr>
          <w:p>
            <w:pPr>
              <w:pStyle w:val="TableText"/>
            </w:pPr>
            <w:r/>
            <w:r>
              <w:rPr>
                <w:b w:val="0"/>
                <w:sz w:val="16"/>
              </w:rPr>
              <w:t>4</w:t>
            </w:r>
          </w:p>
        </w:tc>
        <w:tc>
          <w:tcPr>
            <w:tcW w:type="dxa" w:w="6336"/>
            <w:vAlign w:val="top"/>
            <w:shd w:fill="F2F6FA"/>
          </w:tcPr>
          <w:p>
            <w:pPr>
              <w:pStyle w:val="TableText"/>
            </w:pPr>
            <w:r/>
            <w:r>
              <w:rPr>
                <w:b w:val="0"/>
                <w:sz w:val="16"/>
              </w:rPr>
              <w:t>Risk engineering</w:t>
            </w:r>
          </w:p>
        </w:tc>
        <w:tc>
          <w:tcPr>
            <w:tcW w:type="dxa" w:w="6480"/>
            <w:vAlign w:val="top"/>
            <w:shd w:fill="F2F6FA"/>
          </w:tcPr>
          <w:p>
            <w:pPr>
              <w:pStyle w:val="TableText"/>
            </w:pPr>
            <w:r/>
            <w:r>
              <w:rPr>
                <w:b w:val="0"/>
                <w:sz w:val="16"/>
              </w:rPr>
              <w:t>Site/operations hazards and controls are assessed.</w:t>
            </w:r>
          </w:p>
        </w:tc>
        <w:tc>
          <w:tcPr>
            <w:tcW w:type="dxa" w:w="1872"/>
            <w:vAlign w:val="top"/>
            <w:shd w:fill="F2F6FA"/>
          </w:tcPr>
          <w:p>
            <w:pPr>
              <w:pStyle w:val="TableText"/>
            </w:pPr>
            <w:r/>
            <w:r>
              <w:rPr>
                <w:b w:val="0"/>
                <w:sz w:val="16"/>
              </w:rPr>
              <w:t>Risk Engineer</w:t>
            </w:r>
          </w:p>
        </w:tc>
      </w:tr>
      <w:tr>
        <w:tc>
          <w:tcPr>
            <w:tcW w:type="dxa" w:w="792"/>
            <w:vAlign w:val="top"/>
          </w:tcPr>
          <w:p>
            <w:pPr>
              <w:pStyle w:val="TableText"/>
            </w:pPr>
            <w:r/>
            <w:r>
              <w:rPr>
                <w:b w:val="0"/>
                <w:sz w:val="16"/>
              </w:rPr>
              <w:t>5</w:t>
            </w:r>
          </w:p>
        </w:tc>
        <w:tc>
          <w:tcPr>
            <w:tcW w:type="dxa" w:w="6336"/>
            <w:vAlign w:val="top"/>
          </w:tcPr>
          <w:p>
            <w:pPr>
              <w:pStyle w:val="TableText"/>
            </w:pPr>
            <w:r/>
            <w:r>
              <w:rPr>
                <w:b w:val="0"/>
                <w:sz w:val="16"/>
              </w:rPr>
              <w:t>Conditional outcome</w:t>
            </w:r>
          </w:p>
        </w:tc>
        <w:tc>
          <w:tcPr>
            <w:tcW w:type="dxa" w:w="6480"/>
            <w:vAlign w:val="top"/>
          </w:tcPr>
          <w:p>
            <w:pPr>
              <w:pStyle w:val="TableText"/>
            </w:pPr>
            <w:r/>
            <w:r>
              <w:rPr>
                <w:b w:val="0"/>
                <w:sz w:val="16"/>
              </w:rPr>
              <w:t>Underwriter may issue conditions/subjectivities or decline.</w:t>
            </w:r>
          </w:p>
        </w:tc>
        <w:tc>
          <w:tcPr>
            <w:tcW w:type="dxa" w:w="1872"/>
            <w:vAlign w:val="top"/>
          </w:tcPr>
          <w:p>
            <w:pPr>
              <w:pStyle w:val="TableText"/>
            </w:pPr>
            <w:r/>
            <w:r>
              <w:rPr>
                <w:b w:val="0"/>
                <w:sz w:val="16"/>
              </w:rPr>
              <w:t>Underwriter</w:t>
            </w:r>
          </w:p>
        </w:tc>
      </w:tr>
      <w:tr>
        <w:tc>
          <w:tcPr>
            <w:tcW w:type="dxa" w:w="792"/>
            <w:vAlign w:val="top"/>
            <w:shd w:fill="F2F6FA"/>
          </w:tcPr>
          <w:p>
            <w:pPr>
              <w:pStyle w:val="TableText"/>
            </w:pPr>
            <w:r/>
            <w:r>
              <w:rPr>
                <w:b w:val="0"/>
                <w:sz w:val="16"/>
              </w:rPr>
              <w:t>6</w:t>
            </w:r>
          </w:p>
        </w:tc>
        <w:tc>
          <w:tcPr>
            <w:tcW w:type="dxa" w:w="6336"/>
            <w:vAlign w:val="top"/>
            <w:shd w:fill="F2F6FA"/>
          </w:tcPr>
          <w:p>
            <w:pPr>
              <w:pStyle w:val="TableText"/>
            </w:pPr>
            <w:r/>
            <w:r>
              <w:rPr>
                <w:b w:val="0"/>
                <w:sz w:val="16"/>
              </w:rPr>
              <w:t>Policy in force if accepted</w:t>
            </w:r>
          </w:p>
        </w:tc>
        <w:tc>
          <w:tcPr>
            <w:tcW w:type="dxa" w:w="6480"/>
            <w:vAlign w:val="top"/>
            <w:shd w:fill="F2F6FA"/>
          </w:tcPr>
          <w:p>
            <w:pPr>
              <w:pStyle w:val="TableText"/>
            </w:pPr>
            <w:r/>
            <w:r>
              <w:rPr>
                <w:b w:val="0"/>
                <w:sz w:val="16"/>
              </w:rPr>
              <w:t>Conditions are satisfied and policy is bound/issued.</w:t>
            </w:r>
          </w:p>
        </w:tc>
        <w:tc>
          <w:tcPr>
            <w:tcW w:type="dxa" w:w="1872"/>
            <w:vAlign w:val="top"/>
            <w:shd w:fill="F2F6FA"/>
          </w:tcPr>
          <w:p>
            <w:pPr>
              <w:pStyle w:val="TableText"/>
            </w:pPr>
            <w:r/>
            <w:r>
              <w:rPr>
                <w:b w:val="0"/>
                <w:sz w:val="16"/>
              </w:rPr>
              <w:t>Quote &amp; Policy</w:t>
            </w:r>
          </w:p>
        </w:tc>
      </w:tr>
      <w:tr>
        <w:tc>
          <w:tcPr>
            <w:tcW w:type="dxa" w:w="792"/>
            <w:vAlign w:val="top"/>
          </w:tcPr>
          <w:p>
            <w:pPr>
              <w:pStyle w:val="TableText"/>
            </w:pPr>
            <w:r/>
            <w:r>
              <w:rPr>
                <w:b w:val="0"/>
                <w:sz w:val="16"/>
              </w:rPr>
              <w:t>7</w:t>
            </w:r>
          </w:p>
        </w:tc>
        <w:tc>
          <w:tcPr>
            <w:tcW w:type="dxa" w:w="6336"/>
            <w:vAlign w:val="top"/>
          </w:tcPr>
          <w:p>
            <w:pPr>
              <w:pStyle w:val="TableText"/>
            </w:pPr>
            <w:r/>
            <w:r>
              <w:rPr>
                <w:b w:val="0"/>
                <w:sz w:val="16"/>
              </w:rPr>
              <w:t>Material change / continuous risk</w:t>
            </w:r>
          </w:p>
        </w:tc>
        <w:tc>
          <w:tcPr>
            <w:tcW w:type="dxa" w:w="6480"/>
            <w:vAlign w:val="top"/>
          </w:tcPr>
          <w:p>
            <w:pPr>
              <w:pStyle w:val="TableText"/>
            </w:pPr>
            <w:r/>
            <w:r>
              <w:rPr>
                <w:b w:val="0"/>
                <w:sz w:val="16"/>
              </w:rPr>
              <w:t>Exposure worsens or operations change materially.</w:t>
            </w:r>
          </w:p>
        </w:tc>
        <w:tc>
          <w:tcPr>
            <w:tcW w:type="dxa" w:w="1872"/>
            <w:vAlign w:val="top"/>
          </w:tcPr>
          <w:p>
            <w:pPr>
              <w:pStyle w:val="TableText"/>
            </w:pPr>
            <w:r/>
            <w:r>
              <w:rPr>
                <w:b w:val="0"/>
                <w:sz w:val="16"/>
              </w:rPr>
              <w:t>Policyholder / Risk &amp; Underwriting</w:t>
            </w:r>
          </w:p>
        </w:tc>
      </w:tr>
      <w:tr>
        <w:tc>
          <w:tcPr>
            <w:tcW w:type="dxa" w:w="792"/>
            <w:vAlign w:val="top"/>
            <w:shd w:fill="F2F6FA"/>
          </w:tcPr>
          <w:p>
            <w:pPr>
              <w:pStyle w:val="TableText"/>
            </w:pPr>
            <w:r/>
            <w:r>
              <w:rPr>
                <w:b w:val="0"/>
                <w:sz w:val="16"/>
              </w:rPr>
              <w:t>8</w:t>
            </w:r>
          </w:p>
        </w:tc>
        <w:tc>
          <w:tcPr>
            <w:tcW w:type="dxa" w:w="6336"/>
            <w:vAlign w:val="top"/>
            <w:shd w:fill="F2F6FA"/>
          </w:tcPr>
          <w:p>
            <w:pPr>
              <w:pStyle w:val="TableText"/>
            </w:pPr>
            <w:r/>
            <w:r>
              <w:rPr>
                <w:b w:val="0"/>
                <w:sz w:val="16"/>
              </w:rPr>
              <w:t>Renewal reassessment</w:t>
            </w:r>
          </w:p>
        </w:tc>
        <w:tc>
          <w:tcPr>
            <w:tcW w:type="dxa" w:w="6480"/>
            <w:vAlign w:val="top"/>
            <w:shd w:fill="F2F6FA"/>
          </w:tcPr>
          <w:p>
            <w:pPr>
              <w:pStyle w:val="TableText"/>
            </w:pPr>
            <w:r/>
            <w:r>
              <w:rPr>
                <w:b w:val="0"/>
                <w:sz w:val="16"/>
              </w:rPr>
              <w:t>Current exposure and claims are reviewed.</w:t>
            </w:r>
          </w:p>
        </w:tc>
        <w:tc>
          <w:tcPr>
            <w:tcW w:type="dxa" w:w="1872"/>
            <w:vAlign w:val="top"/>
            <w:shd w:fill="F2F6FA"/>
          </w:tcPr>
          <w:p>
            <w:pPr>
              <w:pStyle w:val="TableText"/>
            </w:pPr>
            <w:r/>
            <w:r>
              <w:rPr>
                <w:b w:val="0"/>
                <w:sz w:val="16"/>
              </w:rPr>
              <w:t>Underwriter</w:t>
            </w:r>
          </w:p>
        </w:tc>
      </w:tr>
      <w:tr>
        <w:tc>
          <w:tcPr>
            <w:tcW w:type="dxa" w:w="792"/>
            <w:vAlign w:val="top"/>
          </w:tcPr>
          <w:p>
            <w:pPr>
              <w:pStyle w:val="TableText"/>
            </w:pPr>
            <w:r/>
            <w:r>
              <w:rPr>
                <w:b w:val="0"/>
                <w:sz w:val="16"/>
              </w:rPr>
              <w:t>9</w:t>
            </w:r>
          </w:p>
        </w:tc>
        <w:tc>
          <w:tcPr>
            <w:tcW w:type="dxa" w:w="6336"/>
            <w:vAlign w:val="top"/>
          </w:tcPr>
          <w:p>
            <w:pPr>
              <w:pStyle w:val="TableText"/>
            </w:pPr>
            <w:r/>
            <w:r>
              <w:rPr>
                <w:b w:val="0"/>
                <w:sz w:val="16"/>
              </w:rPr>
              <w:t>Non-renewal / decline</w:t>
            </w:r>
          </w:p>
        </w:tc>
        <w:tc>
          <w:tcPr>
            <w:tcW w:type="dxa" w:w="6480"/>
            <w:vAlign w:val="top"/>
          </w:tcPr>
          <w:p>
            <w:pPr>
              <w:pStyle w:val="TableText"/>
            </w:pPr>
            <w:r/>
            <w:r>
              <w:rPr>
                <w:b w:val="0"/>
                <w:sz w:val="16"/>
              </w:rPr>
              <w:t>Authorized business decision ends continuation for next term where rules support it.</w:t>
            </w:r>
          </w:p>
        </w:tc>
        <w:tc>
          <w:tcPr>
            <w:tcW w:type="dxa" w:w="1872"/>
            <w:vAlign w:val="top"/>
          </w:tcPr>
          <w:p>
            <w:pPr>
              <w:pStyle w:val="TableText"/>
            </w:pPr>
            <w:r/>
            <w:r>
              <w:rPr>
                <w:b w:val="0"/>
                <w:sz w:val="16"/>
              </w:rPr>
              <w:t>Underwriter / Quote &amp; Policy</w:t>
            </w:r>
          </w:p>
        </w:tc>
      </w:tr>
      <w:tr>
        <w:tc>
          <w:tcPr>
            <w:tcW w:type="dxa" w:w="792"/>
            <w:vAlign w:val="top"/>
            <w:shd w:fill="F2F6FA"/>
          </w:tcPr>
          <w:p>
            <w:pPr>
              <w:pStyle w:val="TableText"/>
            </w:pPr>
            <w:r/>
            <w:r>
              <w:rPr>
                <w:b w:val="0"/>
                <w:sz w:val="16"/>
              </w:rPr>
              <w:t>10</w:t>
            </w:r>
          </w:p>
        </w:tc>
        <w:tc>
          <w:tcPr>
            <w:tcW w:type="dxa" w:w="6336"/>
            <w:vAlign w:val="top"/>
            <w:shd w:fill="F2F6FA"/>
          </w:tcPr>
          <w:p>
            <w:pPr>
              <w:pStyle w:val="TableText"/>
            </w:pPr>
            <w:r/>
            <w:r>
              <w:rPr>
                <w:b w:val="0"/>
                <w:sz w:val="16"/>
              </w:rPr>
              <w:t>Evidence + audit</w:t>
            </w:r>
          </w:p>
        </w:tc>
        <w:tc>
          <w:tcPr>
            <w:tcW w:type="dxa" w:w="6480"/>
            <w:vAlign w:val="top"/>
            <w:shd w:fill="F2F6FA"/>
          </w:tcPr>
          <w:p>
            <w:pPr>
              <w:pStyle w:val="TableText"/>
            </w:pPr>
            <w:r/>
            <w:r>
              <w:rPr>
                <w:b w:val="0"/>
                <w:sz w:val="16"/>
              </w:rPr>
              <w:t>Decision reasons, actor, timing and supporting evidence are preserved.</w:t>
            </w:r>
          </w:p>
        </w:tc>
        <w:tc>
          <w:tcPr>
            <w:tcW w:type="dxa" w:w="1872"/>
            <w:vAlign w:val="top"/>
            <w:shd w:fill="F2F6FA"/>
          </w:tcPr>
          <w:p>
            <w:pPr>
              <w:pStyle w:val="TableText"/>
            </w:pPr>
            <w:r/>
            <w:r>
              <w:rPr>
                <w:b w:val="0"/>
                <w:sz w:val="16"/>
              </w:rPr>
              <w:t>Document &amp; Audit</w:t>
            </w:r>
          </w:p>
        </w:tc>
      </w:tr>
    </w:tbl>
    <w:p>
      <w:pPr>
        <w:spacing w:after="40"/>
      </w:pPr>
    </w:p>
    <w:p>
      <w:pPr>
        <w:pStyle w:val="Heading2"/>
        <w:keepNext/>
      </w:pPr>
      <w:r>
        <w:t>Test Cases</w:t>
      </w:r>
    </w:p>
    <w:tbl>
      <w:tblPr>
        <w:tblStyle w:val="TableGrid"/>
        <w:tblW w:type="auto" w:w="0"/>
        <w:jc w:val="center"/>
        <w:tblLook w:firstColumn="1" w:firstRow="1" w:lastColumn="0" w:lastRow="0" w:noHBand="0" w:noVBand="1" w:val="04A0"/>
      </w:tblPr>
      <w:tblGrid>
        <w:gridCol w:w="2544"/>
        <w:gridCol w:w="2544"/>
        <w:gridCol w:w="2544"/>
        <w:gridCol w:w="2544"/>
        <w:gridCol w:w="2544"/>
        <w:gridCol w:w="2544"/>
      </w:tblGrid>
      <w:tr>
        <w:trPr>
          <w:tblHeader w:val="true"/>
        </w:trPr>
        <w:tc>
          <w:tcPr>
            <w:tcW w:type="dxa" w:w="936"/>
            <w:vAlign w:val="top"/>
            <w:shd w:fill="17365D"/>
          </w:tcPr>
          <w:p>
            <w:pPr>
              <w:pStyle w:val="TableText"/>
            </w:pPr>
            <w:r>
              <w:rPr>
                <w:color w:val="FFFFFF"/>
              </w:rPr>
            </w:r>
            <w:r>
              <w:rPr>
                <w:b/>
                <w:color w:val="FFFFFF"/>
                <w:sz w:val="16"/>
              </w:rPr>
              <w:t>TC ID</w:t>
            </w:r>
          </w:p>
        </w:tc>
        <w:tc>
          <w:tcPr>
            <w:tcW w:type="dxa" w:w="1944"/>
            <w:vAlign w:val="top"/>
            <w:shd w:fill="17365D"/>
          </w:tcPr>
          <w:p>
            <w:pPr>
              <w:pStyle w:val="TableText"/>
            </w:pPr>
            <w:r>
              <w:rPr>
                <w:color w:val="FFFFFF"/>
              </w:rPr>
            </w:r>
            <w:r>
              <w:rPr>
                <w:b/>
                <w:color w:val="FFFFFF"/>
                <w:sz w:val="16"/>
              </w:rPr>
              <w:t>Lifecycle stage</w:t>
            </w:r>
          </w:p>
        </w:tc>
        <w:tc>
          <w:tcPr>
            <w:tcW w:type="dxa" w:w="2232"/>
            <w:vAlign w:val="top"/>
            <w:shd w:fill="17365D"/>
          </w:tcPr>
          <w:p>
            <w:pPr>
              <w:pStyle w:val="TableText"/>
            </w:pPr>
            <w:r>
              <w:rPr>
                <w:color w:val="FFFFFF"/>
              </w:rPr>
            </w:r>
            <w:r>
              <w:rPr>
                <w:b/>
                <w:color w:val="FFFFFF"/>
                <w:sz w:val="16"/>
              </w:rPr>
              <w:t>Role</w:t>
            </w:r>
          </w:p>
        </w:tc>
        <w:tc>
          <w:tcPr>
            <w:tcW w:type="dxa" w:w="5976"/>
            <w:vAlign w:val="top"/>
            <w:shd w:fill="17365D"/>
          </w:tcPr>
          <w:p>
            <w:pPr>
              <w:pStyle w:val="TableText"/>
            </w:pPr>
            <w:r>
              <w:rPr>
                <w:color w:val="FFFFFF"/>
              </w:rPr>
            </w:r>
            <w:r>
              <w:rPr>
                <w:b/>
                <w:color w:val="FFFFFF"/>
                <w:sz w:val="16"/>
              </w:rPr>
              <w:t>Business test / action</w:t>
            </w:r>
          </w:p>
        </w:tc>
        <w:tc>
          <w:tcPr>
            <w:tcW w:type="dxa" w:w="5760"/>
            <w:vAlign w:val="top"/>
            <w:shd w:fill="17365D"/>
          </w:tcPr>
          <w:p>
            <w:pPr>
              <w:pStyle w:val="TableText"/>
            </w:pPr>
            <w:r>
              <w:rPr>
                <w:color w:val="FFFFFF"/>
              </w:rPr>
            </w:r>
            <w:r>
              <w:rPr>
                <w:b/>
                <w:color w:val="FFFFFF"/>
                <w:sz w:val="16"/>
              </w:rPr>
              <w:t>Expected business outcome</w:t>
            </w:r>
          </w:p>
        </w:tc>
        <w:tc>
          <w:tcPr>
            <w:tcW w:type="dxa" w:w="936"/>
            <w:vAlign w:val="top"/>
            <w:shd w:fill="17365D"/>
          </w:tcPr>
          <w:p>
            <w:pPr>
              <w:pStyle w:val="TableText"/>
            </w:pPr>
            <w:r>
              <w:rPr>
                <w:color w:val="FFFFFF"/>
              </w:rPr>
            </w:r>
            <w:r>
              <w:rPr>
                <w:b/>
                <w:color w:val="FFFFFF"/>
                <w:sz w:val="16"/>
              </w:rPr>
              <w:t>Priority</w:t>
            </w:r>
          </w:p>
        </w:tc>
      </w:tr>
      <w:tr>
        <w:tc>
          <w:tcPr>
            <w:tcW w:type="dxa" w:w="936"/>
            <w:vAlign w:val="top"/>
          </w:tcPr>
          <w:p>
            <w:pPr>
              <w:pStyle w:val="TableText"/>
            </w:pPr>
            <w:r/>
            <w:r>
              <w:rPr>
                <w:b w:val="0"/>
                <w:sz w:val="16"/>
              </w:rPr>
              <w:t>F3-T01</w:t>
            </w:r>
          </w:p>
        </w:tc>
        <w:tc>
          <w:tcPr>
            <w:tcW w:type="dxa" w:w="1944"/>
            <w:vAlign w:val="top"/>
          </w:tcPr>
          <w:p>
            <w:pPr>
              <w:pStyle w:val="TableText"/>
            </w:pPr>
            <w:r/>
            <w:r>
              <w:rPr>
                <w:b w:val="0"/>
                <w:sz w:val="16"/>
              </w:rPr>
              <w:t>Submission</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Submit a complex contractor profile with incomplete exposure information.</w:t>
            </w:r>
          </w:p>
        </w:tc>
        <w:tc>
          <w:tcPr>
            <w:tcW w:type="dxa" w:w="5760"/>
            <w:vAlign w:val="top"/>
          </w:tcPr>
          <w:p>
            <w:pPr>
              <w:pStyle w:val="TableText"/>
            </w:pPr>
            <w:r/>
            <w:r>
              <w:rPr>
                <w:b w:val="0"/>
                <w:sz w:val="16"/>
              </w:rPr>
              <w:t>Case is accepted only as SUBMITTED/needs-processing; missing information prevents silent progression to a quote.</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F3-T02</w:t>
            </w:r>
          </w:p>
        </w:tc>
        <w:tc>
          <w:tcPr>
            <w:tcW w:type="dxa" w:w="1944"/>
            <w:vAlign w:val="top"/>
            <w:shd w:fill="F2F6FA"/>
          </w:tcPr>
          <w:p>
            <w:pPr>
              <w:pStyle w:val="TableText"/>
            </w:pPr>
            <w:r/>
            <w:r>
              <w:rPr>
                <w:b w:val="0"/>
                <w:sz w:val="16"/>
              </w:rPr>
              <w:t>Needs information</w:t>
            </w:r>
          </w:p>
        </w:tc>
        <w:tc>
          <w:tcPr>
            <w:tcW w:type="dxa" w:w="2232"/>
            <w:vAlign w:val="top"/>
            <w:shd w:fill="F2F6FA"/>
          </w:tcPr>
          <w:p>
            <w:pPr>
              <w:pStyle w:val="TableText"/>
            </w:pPr>
            <w:r/>
            <w:r>
              <w:rPr>
                <w:b w:val="0"/>
                <w:sz w:val="16"/>
              </w:rPr>
              <w:t>Workflow</w:t>
            </w:r>
          </w:p>
        </w:tc>
        <w:tc>
          <w:tcPr>
            <w:tcW w:type="dxa" w:w="5976"/>
            <w:vAlign w:val="top"/>
            <w:shd w:fill="F2F6FA"/>
          </w:tcPr>
          <w:p>
            <w:pPr>
              <w:pStyle w:val="TableText"/>
            </w:pPr>
            <w:r/>
            <w:r>
              <w:rPr>
                <w:b w:val="0"/>
                <w:sz w:val="16"/>
              </w:rPr>
              <w:t>Create a customer information request for missing operations/exposure details.</w:t>
            </w:r>
          </w:p>
        </w:tc>
        <w:tc>
          <w:tcPr>
            <w:tcW w:type="dxa" w:w="5760"/>
            <w:vAlign w:val="top"/>
            <w:shd w:fill="F2F6FA"/>
          </w:tcPr>
          <w:p>
            <w:pPr>
              <w:pStyle w:val="TableText"/>
            </w:pPr>
            <w:r/>
            <w:r>
              <w:rPr>
                <w:b w:val="0"/>
                <w:sz w:val="16"/>
              </w:rPr>
              <w:t>Workflow creates an accountable task with due date and notification; the task is not confused with the underwriting decision itself.</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F3-T03</w:t>
            </w:r>
          </w:p>
        </w:tc>
        <w:tc>
          <w:tcPr>
            <w:tcW w:type="dxa" w:w="1944"/>
            <w:vAlign w:val="top"/>
          </w:tcPr>
          <w:p>
            <w:pPr>
              <w:pStyle w:val="TableText"/>
            </w:pPr>
            <w:r/>
            <w:r>
              <w:rPr>
                <w:b w:val="0"/>
                <w:sz w:val="16"/>
              </w:rPr>
              <w:t>Customer response</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Provide requested information and supporting documents before due date.</w:t>
            </w:r>
          </w:p>
        </w:tc>
        <w:tc>
          <w:tcPr>
            <w:tcW w:type="dxa" w:w="5760"/>
            <w:vAlign w:val="top"/>
          </w:tcPr>
          <w:p>
            <w:pPr>
              <w:pStyle w:val="TableText"/>
            </w:pPr>
            <w:r/>
            <w:r>
              <w:rPr>
                <w:b w:val="0"/>
                <w:sz w:val="16"/>
              </w:rPr>
              <w:t>Submission returns to an eligible review path; prior request remains traceable.</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F3-T04</w:t>
            </w:r>
          </w:p>
        </w:tc>
        <w:tc>
          <w:tcPr>
            <w:tcW w:type="dxa" w:w="1944"/>
            <w:vAlign w:val="top"/>
            <w:shd w:fill="F2F6FA"/>
          </w:tcPr>
          <w:p>
            <w:pPr>
              <w:pStyle w:val="TableText"/>
            </w:pPr>
            <w:r/>
            <w:r>
              <w:rPr>
                <w:b w:val="0"/>
                <w:sz w:val="16"/>
              </w:rPr>
              <w:t>Overdue escalation</w:t>
            </w:r>
          </w:p>
        </w:tc>
        <w:tc>
          <w:tcPr>
            <w:tcW w:type="dxa" w:w="2232"/>
            <w:vAlign w:val="top"/>
            <w:shd w:fill="F2F6FA"/>
          </w:tcPr>
          <w:p>
            <w:pPr>
              <w:pStyle w:val="TableText"/>
            </w:pPr>
            <w:r/>
            <w:r>
              <w:rPr>
                <w:b w:val="0"/>
                <w:sz w:val="16"/>
              </w:rPr>
              <w:t>Workflow</w:t>
            </w:r>
          </w:p>
        </w:tc>
        <w:tc>
          <w:tcPr>
            <w:tcW w:type="dxa" w:w="5976"/>
            <w:vAlign w:val="top"/>
            <w:shd w:fill="F2F6FA"/>
          </w:tcPr>
          <w:p>
            <w:pPr>
              <w:pStyle w:val="TableText"/>
            </w:pPr>
            <w:r/>
            <w:r>
              <w:rPr>
                <w:b w:val="0"/>
                <w:sz w:val="16"/>
              </w:rPr>
              <w:t>Allow an information task to pass its SLA without response.</w:t>
            </w:r>
          </w:p>
        </w:tc>
        <w:tc>
          <w:tcPr>
            <w:tcW w:type="dxa" w:w="5760"/>
            <w:vAlign w:val="top"/>
            <w:shd w:fill="F2F6FA"/>
          </w:tcPr>
          <w:p>
            <w:pPr>
              <w:pStyle w:val="TableText"/>
            </w:pPr>
            <w:r/>
            <w:r>
              <w:rPr>
                <w:b w:val="0"/>
                <w:sz w:val="16"/>
              </w:rPr>
              <w:t>Workflow escalates the task according to configured escalation rules.</w:t>
            </w:r>
          </w:p>
        </w:tc>
        <w:tc>
          <w:tcPr>
            <w:tcW w:type="dxa" w:w="936"/>
            <w:vAlign w:val="top"/>
            <w:shd w:fill="F2F6FA"/>
          </w:tcPr>
          <w:p>
            <w:pPr>
              <w:pStyle w:val="TableText"/>
            </w:pPr>
            <w:r/>
            <w:r>
              <w:rPr>
                <w:b w:val="0"/>
                <w:sz w:val="16"/>
              </w:rPr>
              <w:t>High</w:t>
            </w:r>
          </w:p>
        </w:tc>
      </w:tr>
      <w:tr>
        <w:tc>
          <w:tcPr>
            <w:tcW w:type="dxa" w:w="936"/>
            <w:vAlign w:val="top"/>
          </w:tcPr>
          <w:p>
            <w:pPr>
              <w:pStyle w:val="TableText"/>
            </w:pPr>
            <w:r/>
            <w:r>
              <w:rPr>
                <w:b w:val="0"/>
                <w:sz w:val="16"/>
              </w:rPr>
              <w:t>F3-T05</w:t>
            </w:r>
          </w:p>
        </w:tc>
        <w:tc>
          <w:tcPr>
            <w:tcW w:type="dxa" w:w="1944"/>
            <w:vAlign w:val="top"/>
          </w:tcPr>
          <w:p>
            <w:pPr>
              <w:pStyle w:val="TableText"/>
            </w:pPr>
            <w:r/>
            <w:r>
              <w:rPr>
                <w:b w:val="0"/>
                <w:sz w:val="16"/>
              </w:rPr>
              <w:t>Underwriting referral</w:t>
            </w:r>
          </w:p>
        </w:tc>
        <w:tc>
          <w:tcPr>
            <w:tcW w:type="dxa" w:w="2232"/>
            <w:vAlign w:val="top"/>
          </w:tcPr>
          <w:p>
            <w:pPr>
              <w:pStyle w:val="TableText"/>
            </w:pPr>
            <w:r/>
            <w:r>
              <w:rPr>
                <w:b w:val="0"/>
                <w:sz w:val="16"/>
              </w:rPr>
              <w:t>Underwriter</w:t>
            </w:r>
          </w:p>
        </w:tc>
        <w:tc>
          <w:tcPr>
            <w:tcW w:type="dxa" w:w="5976"/>
            <w:vAlign w:val="top"/>
          </w:tcPr>
          <w:p>
            <w:pPr>
              <w:pStyle w:val="TableText"/>
            </w:pPr>
            <w:r/>
            <w:r>
              <w:rPr>
                <w:b w:val="0"/>
                <w:sz w:val="16"/>
              </w:rPr>
              <w:t>Identify a risk that exceeds automated/standard authority or requires specialist attention.</w:t>
            </w:r>
          </w:p>
        </w:tc>
        <w:tc>
          <w:tcPr>
            <w:tcW w:type="dxa" w:w="5760"/>
            <w:vAlign w:val="top"/>
          </w:tcPr>
          <w:p>
            <w:pPr>
              <w:pStyle w:val="TableText"/>
            </w:pPr>
            <w:r/>
            <w:r>
              <w:rPr>
                <w:b w:val="0"/>
                <w:sz w:val="16"/>
              </w:rPr>
              <w:t>Referral is explicitly recorded with reason/authority context; human underwriting authority remains accountable.</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F3-T06</w:t>
            </w:r>
          </w:p>
        </w:tc>
        <w:tc>
          <w:tcPr>
            <w:tcW w:type="dxa" w:w="1944"/>
            <w:vAlign w:val="top"/>
            <w:shd w:fill="F2F6FA"/>
          </w:tcPr>
          <w:p>
            <w:pPr>
              <w:pStyle w:val="TableText"/>
            </w:pPr>
            <w:r/>
            <w:r>
              <w:rPr>
                <w:b w:val="0"/>
                <w:sz w:val="16"/>
              </w:rPr>
              <w:t>Risk engineering</w:t>
            </w:r>
          </w:p>
        </w:tc>
        <w:tc>
          <w:tcPr>
            <w:tcW w:type="dxa" w:w="2232"/>
            <w:vAlign w:val="top"/>
            <w:shd w:fill="F2F6FA"/>
          </w:tcPr>
          <w:p>
            <w:pPr>
              <w:pStyle w:val="TableText"/>
            </w:pPr>
            <w:r/>
            <w:r>
              <w:rPr>
                <w:b w:val="0"/>
                <w:sz w:val="16"/>
              </w:rPr>
              <w:t>Risk Engineer</w:t>
            </w:r>
          </w:p>
        </w:tc>
        <w:tc>
          <w:tcPr>
            <w:tcW w:type="dxa" w:w="5976"/>
            <w:vAlign w:val="top"/>
            <w:shd w:fill="F2F6FA"/>
          </w:tcPr>
          <w:p>
            <w:pPr>
              <w:pStyle w:val="TableText"/>
            </w:pPr>
            <w:r/>
            <w:r>
              <w:rPr>
                <w:b w:val="0"/>
                <w:sz w:val="16"/>
              </w:rPr>
              <w:t>Perform a specialist hazard/control assessment for the contractor operation.</w:t>
            </w:r>
          </w:p>
        </w:tc>
        <w:tc>
          <w:tcPr>
            <w:tcW w:type="dxa" w:w="5760"/>
            <w:vAlign w:val="top"/>
            <w:shd w:fill="F2F6FA"/>
          </w:tcPr>
          <w:p>
            <w:pPr>
              <w:pStyle w:val="TableText"/>
            </w:pPr>
            <w:r/>
            <w:r>
              <w:rPr>
                <w:b w:val="0"/>
                <w:sz w:val="16"/>
              </w:rPr>
              <w:t>Risk findings and recommendations are recorded with evidence and remain separate from the contractual policy record.</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F3-T07</w:t>
            </w:r>
          </w:p>
        </w:tc>
        <w:tc>
          <w:tcPr>
            <w:tcW w:type="dxa" w:w="1944"/>
            <w:vAlign w:val="top"/>
          </w:tcPr>
          <w:p>
            <w:pPr>
              <w:pStyle w:val="TableText"/>
            </w:pPr>
            <w:r/>
            <w:r>
              <w:rPr>
                <w:b w:val="0"/>
                <w:sz w:val="16"/>
              </w:rPr>
              <w:t>Mitigation requirement</w:t>
            </w:r>
          </w:p>
        </w:tc>
        <w:tc>
          <w:tcPr>
            <w:tcW w:type="dxa" w:w="2232"/>
            <w:vAlign w:val="top"/>
          </w:tcPr>
          <w:p>
            <w:pPr>
              <w:pStyle w:val="TableText"/>
            </w:pPr>
            <w:r/>
            <w:r>
              <w:rPr>
                <w:b w:val="0"/>
                <w:sz w:val="16"/>
              </w:rPr>
              <w:t>Risk Engineer / Underwriter</w:t>
            </w:r>
          </w:p>
        </w:tc>
        <w:tc>
          <w:tcPr>
            <w:tcW w:type="dxa" w:w="5976"/>
            <w:vAlign w:val="top"/>
          </w:tcPr>
          <w:p>
            <w:pPr>
              <w:pStyle w:val="TableText"/>
            </w:pPr>
            <w:r/>
            <w:r>
              <w:rPr>
                <w:b w:val="0"/>
                <w:sz w:val="16"/>
              </w:rPr>
              <w:t>Require corrective action before binding, e.g., a specified safety/control improvement.</w:t>
            </w:r>
          </w:p>
        </w:tc>
        <w:tc>
          <w:tcPr>
            <w:tcW w:type="dxa" w:w="5760"/>
            <w:vAlign w:val="top"/>
          </w:tcPr>
          <w:p>
            <w:pPr>
              <w:pStyle w:val="TableText"/>
            </w:pPr>
            <w:r/>
            <w:r>
              <w:rPr>
                <w:b w:val="0"/>
                <w:sz w:val="16"/>
              </w:rPr>
              <w:t>Subjectivity/condition is linked to the underwriting outcome and remains outstanding until verified.</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F3-T08</w:t>
            </w:r>
          </w:p>
        </w:tc>
        <w:tc>
          <w:tcPr>
            <w:tcW w:type="dxa" w:w="1944"/>
            <w:vAlign w:val="top"/>
            <w:shd w:fill="F2F6FA"/>
          </w:tcPr>
          <w:p>
            <w:pPr>
              <w:pStyle w:val="TableText"/>
            </w:pPr>
            <w:r/>
            <w:r>
              <w:rPr>
                <w:b w:val="0"/>
                <w:sz w:val="16"/>
              </w:rPr>
              <w:t>Conditional quote</w:t>
            </w:r>
          </w:p>
        </w:tc>
        <w:tc>
          <w:tcPr>
            <w:tcW w:type="dxa" w:w="2232"/>
            <w:vAlign w:val="top"/>
            <w:shd w:fill="F2F6FA"/>
          </w:tcPr>
          <w:p>
            <w:pPr>
              <w:pStyle w:val="TableText"/>
            </w:pPr>
            <w:r/>
            <w:r>
              <w:rPr>
                <w:b w:val="0"/>
                <w:sz w:val="16"/>
              </w:rPr>
              <w:t>Underwriter</w:t>
            </w:r>
          </w:p>
        </w:tc>
        <w:tc>
          <w:tcPr>
            <w:tcW w:type="dxa" w:w="5976"/>
            <w:vAlign w:val="top"/>
            <w:shd w:fill="F2F6FA"/>
          </w:tcPr>
          <w:p>
            <w:pPr>
              <w:pStyle w:val="TableText"/>
            </w:pPr>
            <w:r/>
            <w:r>
              <w:rPr>
                <w:b w:val="0"/>
                <w:sz w:val="16"/>
              </w:rPr>
              <w:t>Offer terms subject to required corrective actions.</w:t>
            </w:r>
          </w:p>
        </w:tc>
        <w:tc>
          <w:tcPr>
            <w:tcW w:type="dxa" w:w="5760"/>
            <w:vAlign w:val="top"/>
            <w:shd w:fill="F2F6FA"/>
          </w:tcPr>
          <w:p>
            <w:pPr>
              <w:pStyle w:val="TableText"/>
            </w:pPr>
            <w:r/>
            <w:r>
              <w:rPr>
                <w:b w:val="0"/>
                <w:sz w:val="16"/>
              </w:rPr>
              <w:t>Quote is QUOTED with explicit conditions, expiry and terms; conditions are visible to the customer.</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F3-T09</w:t>
            </w:r>
          </w:p>
        </w:tc>
        <w:tc>
          <w:tcPr>
            <w:tcW w:type="dxa" w:w="1944"/>
            <w:vAlign w:val="top"/>
          </w:tcPr>
          <w:p>
            <w:pPr>
              <w:pStyle w:val="TableText"/>
            </w:pPr>
            <w:r/>
            <w:r>
              <w:rPr>
                <w:b w:val="0"/>
                <w:sz w:val="16"/>
              </w:rPr>
              <w:t>Condition not satisfied</w:t>
            </w:r>
          </w:p>
        </w:tc>
        <w:tc>
          <w:tcPr>
            <w:tcW w:type="dxa" w:w="2232"/>
            <w:vAlign w:val="top"/>
          </w:tcPr>
          <w:p>
            <w:pPr>
              <w:pStyle w:val="TableText"/>
            </w:pPr>
            <w:r/>
            <w:r>
              <w:rPr>
                <w:b w:val="0"/>
                <w:sz w:val="16"/>
              </w:rPr>
              <w:t>Workflow / Underwriter</w:t>
            </w:r>
          </w:p>
        </w:tc>
        <w:tc>
          <w:tcPr>
            <w:tcW w:type="dxa" w:w="5976"/>
            <w:vAlign w:val="top"/>
          </w:tcPr>
          <w:p>
            <w:pPr>
              <w:pStyle w:val="TableText"/>
            </w:pPr>
            <w:r/>
            <w:r>
              <w:rPr>
                <w:b w:val="0"/>
                <w:sz w:val="16"/>
              </w:rPr>
              <w:t>Attempt to proceed to bind without verified corrective action.</w:t>
            </w:r>
          </w:p>
        </w:tc>
        <w:tc>
          <w:tcPr>
            <w:tcW w:type="dxa" w:w="5760"/>
            <w:vAlign w:val="top"/>
          </w:tcPr>
          <w:p>
            <w:pPr>
              <w:pStyle w:val="TableText"/>
            </w:pPr>
            <w:r/>
            <w:r>
              <w:rPr>
                <w:b w:val="0"/>
                <w:sz w:val="16"/>
              </w:rPr>
              <w:t>Bind path is blocked or referred to authorized exception handling.</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F3-T10</w:t>
            </w:r>
          </w:p>
        </w:tc>
        <w:tc>
          <w:tcPr>
            <w:tcW w:type="dxa" w:w="1944"/>
            <w:vAlign w:val="top"/>
            <w:shd w:fill="F2F6FA"/>
          </w:tcPr>
          <w:p>
            <w:pPr>
              <w:pStyle w:val="TableText"/>
            </w:pPr>
            <w:r/>
            <w:r>
              <w:rPr>
                <w:b w:val="0"/>
                <w:sz w:val="16"/>
              </w:rPr>
              <w:t>Condition satisfied</w:t>
            </w:r>
          </w:p>
        </w:tc>
        <w:tc>
          <w:tcPr>
            <w:tcW w:type="dxa" w:w="2232"/>
            <w:vAlign w:val="top"/>
            <w:shd w:fill="F2F6FA"/>
          </w:tcPr>
          <w:p>
            <w:pPr>
              <w:pStyle w:val="TableText"/>
            </w:pPr>
            <w:r/>
            <w:r>
              <w:rPr>
                <w:b w:val="0"/>
                <w:sz w:val="16"/>
              </w:rPr>
              <w:t>Risk Engineer / Underwriter</w:t>
            </w:r>
          </w:p>
        </w:tc>
        <w:tc>
          <w:tcPr>
            <w:tcW w:type="dxa" w:w="5976"/>
            <w:vAlign w:val="top"/>
            <w:shd w:fill="F2F6FA"/>
          </w:tcPr>
          <w:p>
            <w:pPr>
              <w:pStyle w:val="TableText"/>
            </w:pPr>
            <w:r/>
            <w:r>
              <w:rPr>
                <w:b w:val="0"/>
                <w:sz w:val="16"/>
              </w:rPr>
              <w:t>Verify corrective action and record completion evidence.</w:t>
            </w:r>
          </w:p>
        </w:tc>
        <w:tc>
          <w:tcPr>
            <w:tcW w:type="dxa" w:w="5760"/>
            <w:vAlign w:val="top"/>
            <w:shd w:fill="F2F6FA"/>
          </w:tcPr>
          <w:p>
            <w:pPr>
              <w:pStyle w:val="TableText"/>
            </w:pPr>
            <w:r/>
            <w:r>
              <w:rPr>
                <w:b w:val="0"/>
                <w:sz w:val="16"/>
              </w:rPr>
              <w:t>Subjectivity becomes satisfied/closed and the transaction is eligible for next step.</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F3-T11</w:t>
            </w:r>
          </w:p>
        </w:tc>
        <w:tc>
          <w:tcPr>
            <w:tcW w:type="dxa" w:w="1944"/>
            <w:vAlign w:val="top"/>
          </w:tcPr>
          <w:p>
            <w:pPr>
              <w:pStyle w:val="TableText"/>
            </w:pPr>
            <w:r/>
            <w:r>
              <w:rPr>
                <w:b w:val="0"/>
                <w:sz w:val="16"/>
              </w:rPr>
              <w:t>Bind + issue</w:t>
            </w:r>
          </w:p>
        </w:tc>
        <w:tc>
          <w:tcPr>
            <w:tcW w:type="dxa" w:w="2232"/>
            <w:vAlign w:val="top"/>
          </w:tcPr>
          <w:p>
            <w:pPr>
              <w:pStyle w:val="TableText"/>
            </w:pPr>
            <w:r/>
            <w:r>
              <w:rPr>
                <w:b w:val="0"/>
                <w:sz w:val="16"/>
              </w:rPr>
              <w:t>Authorized process</w:t>
            </w:r>
          </w:p>
        </w:tc>
        <w:tc>
          <w:tcPr>
            <w:tcW w:type="dxa" w:w="5976"/>
            <w:vAlign w:val="top"/>
          </w:tcPr>
          <w:p>
            <w:pPr>
              <w:pStyle w:val="TableText"/>
            </w:pPr>
            <w:r/>
            <w:r>
              <w:rPr>
                <w:b w:val="0"/>
                <w:sz w:val="16"/>
              </w:rPr>
              <w:t>Bind and issue the accepted conditional transaction.</w:t>
            </w:r>
          </w:p>
        </w:tc>
        <w:tc>
          <w:tcPr>
            <w:tcW w:type="dxa" w:w="5760"/>
            <w:vAlign w:val="top"/>
          </w:tcPr>
          <w:p>
            <w:pPr>
              <w:pStyle w:val="TableText"/>
            </w:pPr>
            <w:r/>
            <w:r>
              <w:rPr>
                <w:b w:val="0"/>
                <w:sz w:val="16"/>
              </w:rPr>
              <w:t>Coverage is BOUND and formal policy becomes IN_FORCE after required issuance/effective conditions.</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F3-T12</w:t>
            </w:r>
          </w:p>
        </w:tc>
        <w:tc>
          <w:tcPr>
            <w:tcW w:type="dxa" w:w="1944"/>
            <w:vAlign w:val="top"/>
            <w:shd w:fill="F2F6FA"/>
          </w:tcPr>
          <w:p>
            <w:pPr>
              <w:pStyle w:val="TableText"/>
            </w:pPr>
            <w:r/>
            <w:r>
              <w:rPr>
                <w:b w:val="0"/>
                <w:sz w:val="16"/>
              </w:rPr>
              <w:t>Material exposure change</w:t>
            </w:r>
          </w:p>
        </w:tc>
        <w:tc>
          <w:tcPr>
            <w:tcW w:type="dxa" w:w="2232"/>
            <w:vAlign w:val="top"/>
            <w:shd w:fill="F2F6FA"/>
          </w:tcPr>
          <w:p>
            <w:pPr>
              <w:pStyle w:val="TableText"/>
            </w:pPr>
            <w:r/>
            <w:r>
              <w:rPr>
                <w:b w:val="0"/>
                <w:sz w:val="16"/>
              </w:rPr>
              <w:t>Policyholder</w:t>
            </w:r>
          </w:p>
        </w:tc>
        <w:tc>
          <w:tcPr>
            <w:tcW w:type="dxa" w:w="5976"/>
            <w:vAlign w:val="top"/>
            <w:shd w:fill="F2F6FA"/>
          </w:tcPr>
          <w:p>
            <w:pPr>
              <w:pStyle w:val="TableText"/>
            </w:pPr>
            <w:r/>
            <w:r>
              <w:rPr>
                <w:b w:val="0"/>
                <w:sz w:val="16"/>
              </w:rPr>
              <w:t>Add a materially different operation/location during the term.</w:t>
            </w:r>
          </w:p>
        </w:tc>
        <w:tc>
          <w:tcPr>
            <w:tcW w:type="dxa" w:w="5760"/>
            <w:vAlign w:val="top"/>
            <w:shd w:fill="F2F6FA"/>
          </w:tcPr>
          <w:p>
            <w:pPr>
              <w:pStyle w:val="TableText"/>
            </w:pPr>
            <w:r/>
            <w:r>
              <w:rPr>
                <w:b w:val="0"/>
                <w:sz w:val="16"/>
              </w:rPr>
              <w:t>Policy change becomes an endorsement/service transaction and triggers underwriting/risk review when material.</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F3-T13</w:t>
            </w:r>
          </w:p>
        </w:tc>
        <w:tc>
          <w:tcPr>
            <w:tcW w:type="dxa" w:w="1944"/>
            <w:vAlign w:val="top"/>
          </w:tcPr>
          <w:p>
            <w:pPr>
              <w:pStyle w:val="TableText"/>
            </w:pPr>
            <w:r/>
            <w:r>
              <w:rPr>
                <w:b w:val="0"/>
                <w:sz w:val="16"/>
              </w:rPr>
              <w:t>Risk deterioration</w:t>
            </w:r>
          </w:p>
        </w:tc>
        <w:tc>
          <w:tcPr>
            <w:tcW w:type="dxa" w:w="2232"/>
            <w:vAlign w:val="top"/>
          </w:tcPr>
          <w:p>
            <w:pPr>
              <w:pStyle w:val="TableText"/>
            </w:pPr>
            <w:r/>
            <w:r>
              <w:rPr>
                <w:b w:val="0"/>
                <w:sz w:val="16"/>
              </w:rPr>
              <w:t>Risk Engineer</w:t>
            </w:r>
          </w:p>
        </w:tc>
        <w:tc>
          <w:tcPr>
            <w:tcW w:type="dxa" w:w="5976"/>
            <w:vAlign w:val="top"/>
          </w:tcPr>
          <w:p>
            <w:pPr>
              <w:pStyle w:val="TableText"/>
            </w:pPr>
            <w:r/>
            <w:r>
              <w:rPr>
                <w:b w:val="0"/>
                <w:sz w:val="16"/>
              </w:rPr>
              <w:t>Find a significant unresolved hazard during follow-up.</w:t>
            </w:r>
          </w:p>
        </w:tc>
        <w:tc>
          <w:tcPr>
            <w:tcW w:type="dxa" w:w="5760"/>
            <w:vAlign w:val="top"/>
          </w:tcPr>
          <w:p>
            <w:pPr>
              <w:pStyle w:val="TableText"/>
            </w:pPr>
            <w:r/>
            <w:r>
              <w:rPr>
                <w:b w:val="0"/>
                <w:sz w:val="16"/>
              </w:rPr>
              <w:t>New risk finding/recommendation is recorded; underwriting receives the condition/reassessment signal.</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F3-T14</w:t>
            </w:r>
          </w:p>
        </w:tc>
        <w:tc>
          <w:tcPr>
            <w:tcW w:type="dxa" w:w="1944"/>
            <w:vAlign w:val="top"/>
            <w:shd w:fill="F2F6FA"/>
          </w:tcPr>
          <w:p>
            <w:pPr>
              <w:pStyle w:val="TableText"/>
            </w:pPr>
            <w:r/>
            <w:r>
              <w:rPr>
                <w:b w:val="0"/>
                <w:sz w:val="16"/>
              </w:rPr>
              <w:t>Evidence ownership</w:t>
            </w:r>
          </w:p>
        </w:tc>
        <w:tc>
          <w:tcPr>
            <w:tcW w:type="dxa" w:w="2232"/>
            <w:vAlign w:val="top"/>
            <w:shd w:fill="F2F6FA"/>
          </w:tcPr>
          <w:p>
            <w:pPr>
              <w:pStyle w:val="TableText"/>
            </w:pPr>
            <w:r/>
            <w:r>
              <w:rPr>
                <w:b w:val="0"/>
                <w:sz w:val="16"/>
              </w:rPr>
              <w:t>Document &amp; Audit</w:t>
            </w:r>
          </w:p>
        </w:tc>
        <w:tc>
          <w:tcPr>
            <w:tcW w:type="dxa" w:w="5976"/>
            <w:vAlign w:val="top"/>
            <w:shd w:fill="F2F6FA"/>
          </w:tcPr>
          <w:p>
            <w:pPr>
              <w:pStyle w:val="TableText"/>
            </w:pPr>
            <w:r/>
            <w:r>
              <w:rPr>
                <w:b w:val="0"/>
                <w:sz w:val="16"/>
              </w:rPr>
              <w:t>Record the underwriting decision, reason, actor and supporting documents.</w:t>
            </w:r>
          </w:p>
        </w:tc>
        <w:tc>
          <w:tcPr>
            <w:tcW w:type="dxa" w:w="5760"/>
            <w:vAlign w:val="top"/>
            <w:shd w:fill="F2F6FA"/>
          </w:tcPr>
          <w:p>
            <w:pPr>
              <w:pStyle w:val="TableText"/>
            </w:pPr>
            <w:r/>
            <w:r>
              <w:rPr>
                <w:b w:val="0"/>
                <w:sz w:val="16"/>
              </w:rPr>
              <w:t>Evidence/audit records preserve who changed what, when and why; they do not replace the domain decision itself.</w:t>
            </w:r>
          </w:p>
        </w:tc>
        <w:tc>
          <w:tcPr>
            <w:tcW w:type="dxa" w:w="936"/>
            <w:vAlign w:val="top"/>
            <w:shd w:fill="F2F6FA"/>
          </w:tcPr>
          <w:p>
            <w:pPr>
              <w:pStyle w:val="TableText"/>
            </w:pPr>
            <w:r/>
            <w:r>
              <w:rPr>
                <w:b w:val="0"/>
                <w:sz w:val="16"/>
              </w:rPr>
              <w:t>High</w:t>
            </w:r>
          </w:p>
        </w:tc>
      </w:tr>
      <w:tr>
        <w:tc>
          <w:tcPr>
            <w:tcW w:type="dxa" w:w="936"/>
            <w:vAlign w:val="top"/>
          </w:tcPr>
          <w:p>
            <w:pPr>
              <w:pStyle w:val="TableText"/>
            </w:pPr>
            <w:r/>
            <w:r>
              <w:rPr>
                <w:b w:val="0"/>
                <w:sz w:val="16"/>
              </w:rPr>
              <w:t>F3-T15</w:t>
            </w:r>
          </w:p>
        </w:tc>
        <w:tc>
          <w:tcPr>
            <w:tcW w:type="dxa" w:w="1944"/>
            <w:vAlign w:val="top"/>
          </w:tcPr>
          <w:p>
            <w:pPr>
              <w:pStyle w:val="TableText"/>
            </w:pPr>
            <w:r/>
            <w:r>
              <w:rPr>
                <w:b w:val="0"/>
                <w:sz w:val="16"/>
              </w:rPr>
              <w:t>Renewal review</w:t>
            </w:r>
          </w:p>
        </w:tc>
        <w:tc>
          <w:tcPr>
            <w:tcW w:type="dxa" w:w="2232"/>
            <w:vAlign w:val="top"/>
          </w:tcPr>
          <w:p>
            <w:pPr>
              <w:pStyle w:val="TableText"/>
            </w:pPr>
            <w:r/>
            <w:r>
              <w:rPr>
                <w:b w:val="0"/>
                <w:sz w:val="16"/>
              </w:rPr>
              <w:t>Underwriter</w:t>
            </w:r>
          </w:p>
        </w:tc>
        <w:tc>
          <w:tcPr>
            <w:tcW w:type="dxa" w:w="5976"/>
            <w:vAlign w:val="top"/>
          </w:tcPr>
          <w:p>
            <w:pPr>
              <w:pStyle w:val="TableText"/>
            </w:pPr>
            <w:r/>
            <w:r>
              <w:rPr>
                <w:b w:val="0"/>
                <w:sz w:val="16"/>
              </w:rPr>
              <w:t>Review current operations, material changes, claims and unresolved risk findings for renewal.</w:t>
            </w:r>
          </w:p>
        </w:tc>
        <w:tc>
          <w:tcPr>
            <w:tcW w:type="dxa" w:w="5760"/>
            <w:vAlign w:val="top"/>
          </w:tcPr>
          <w:p>
            <w:pPr>
              <w:pStyle w:val="TableText"/>
            </w:pPr>
            <w:r/>
            <w:r>
              <w:rPr>
                <w:b w:val="0"/>
                <w:sz w:val="16"/>
              </w:rPr>
              <w:t>Renewal starts as a fresh evaluation rather than date extension.</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F3-T16</w:t>
            </w:r>
          </w:p>
        </w:tc>
        <w:tc>
          <w:tcPr>
            <w:tcW w:type="dxa" w:w="1944"/>
            <w:vAlign w:val="top"/>
            <w:shd w:fill="F2F6FA"/>
          </w:tcPr>
          <w:p>
            <w:pPr>
              <w:pStyle w:val="TableText"/>
            </w:pPr>
            <w:r/>
            <w:r>
              <w:rPr>
                <w:b w:val="0"/>
                <w:sz w:val="16"/>
              </w:rPr>
              <w:t>Renewal quote change</w:t>
            </w:r>
          </w:p>
        </w:tc>
        <w:tc>
          <w:tcPr>
            <w:tcW w:type="dxa" w:w="2232"/>
            <w:vAlign w:val="top"/>
            <w:shd w:fill="F2F6FA"/>
          </w:tcPr>
          <w:p>
            <w:pPr>
              <w:pStyle w:val="TableText"/>
            </w:pPr>
            <w:r/>
            <w:r>
              <w:rPr>
                <w:b w:val="0"/>
                <w:sz w:val="16"/>
              </w:rPr>
              <w:t>Underwriter</w:t>
            </w:r>
          </w:p>
        </w:tc>
        <w:tc>
          <w:tcPr>
            <w:tcW w:type="dxa" w:w="5976"/>
            <w:vAlign w:val="top"/>
            <w:shd w:fill="F2F6FA"/>
          </w:tcPr>
          <w:p>
            <w:pPr>
              <w:pStyle w:val="TableText"/>
            </w:pPr>
            <w:r/>
            <w:r>
              <w:rPr>
                <w:b w:val="0"/>
                <w:sz w:val="16"/>
              </w:rPr>
              <w:t>Offer materially different next-term terms after reassessment.</w:t>
            </w:r>
          </w:p>
        </w:tc>
        <w:tc>
          <w:tcPr>
            <w:tcW w:type="dxa" w:w="5760"/>
            <w:vAlign w:val="top"/>
            <w:shd w:fill="F2F6FA"/>
          </w:tcPr>
          <w:p>
            <w:pPr>
              <w:pStyle w:val="TableText"/>
            </w:pPr>
            <w:r/>
            <w:r>
              <w:rPr>
                <w:b w:val="0"/>
                <w:sz w:val="16"/>
              </w:rPr>
              <w:t>Renewal transaction contains proposed terms and a distinct customer decision path.</w:t>
            </w:r>
          </w:p>
        </w:tc>
        <w:tc>
          <w:tcPr>
            <w:tcW w:type="dxa" w:w="936"/>
            <w:vAlign w:val="top"/>
            <w:shd w:fill="F2F6FA"/>
          </w:tcPr>
          <w:p>
            <w:pPr>
              <w:pStyle w:val="TableText"/>
            </w:pPr>
            <w:r/>
            <w:r>
              <w:rPr>
                <w:b w:val="0"/>
                <w:sz w:val="16"/>
              </w:rPr>
              <w:t>High</w:t>
            </w:r>
          </w:p>
        </w:tc>
      </w:tr>
      <w:tr>
        <w:tc>
          <w:tcPr>
            <w:tcW w:type="dxa" w:w="936"/>
            <w:vAlign w:val="top"/>
          </w:tcPr>
          <w:p>
            <w:pPr>
              <w:pStyle w:val="TableText"/>
            </w:pPr>
            <w:r/>
            <w:r>
              <w:rPr>
                <w:b w:val="0"/>
                <w:sz w:val="16"/>
              </w:rPr>
              <w:t>F3-T17</w:t>
            </w:r>
          </w:p>
        </w:tc>
        <w:tc>
          <w:tcPr>
            <w:tcW w:type="dxa" w:w="1944"/>
            <w:vAlign w:val="top"/>
          </w:tcPr>
          <w:p>
            <w:pPr>
              <w:pStyle w:val="TableText"/>
            </w:pPr>
            <w:r/>
            <w:r>
              <w:rPr>
                <w:b w:val="0"/>
                <w:sz w:val="16"/>
              </w:rPr>
              <w:t>Customer declines renewal terms</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Decline the renewal offer.</w:t>
            </w:r>
          </w:p>
        </w:tc>
        <w:tc>
          <w:tcPr>
            <w:tcW w:type="dxa" w:w="5760"/>
            <w:vAlign w:val="top"/>
          </w:tcPr>
          <w:p>
            <w:pPr>
              <w:pStyle w:val="TableText"/>
            </w:pPr>
            <w:r/>
            <w:r>
              <w:rPr>
                <w:b w:val="0"/>
                <w:sz w:val="16"/>
              </w:rPr>
              <w:t>Renewal transaction records customer decision; current term remains governed by its existing lifecycle.</w:t>
            </w:r>
          </w:p>
        </w:tc>
        <w:tc>
          <w:tcPr>
            <w:tcW w:type="dxa" w:w="936"/>
            <w:vAlign w:val="top"/>
          </w:tcPr>
          <w:p>
            <w:pPr>
              <w:pStyle w:val="TableText"/>
            </w:pPr>
            <w:r/>
            <w:r>
              <w:rPr>
                <w:b w:val="0"/>
                <w:sz w:val="16"/>
              </w:rPr>
              <w:t>High</w:t>
            </w:r>
          </w:p>
        </w:tc>
      </w:tr>
      <w:tr>
        <w:tc>
          <w:tcPr>
            <w:tcW w:type="dxa" w:w="936"/>
            <w:vAlign w:val="top"/>
            <w:shd w:fill="F2F6FA"/>
          </w:tcPr>
          <w:p>
            <w:pPr>
              <w:pStyle w:val="TableText"/>
            </w:pPr>
            <w:r/>
            <w:r>
              <w:rPr>
                <w:b w:val="0"/>
                <w:sz w:val="16"/>
              </w:rPr>
              <w:t>F3-T18</w:t>
            </w:r>
          </w:p>
        </w:tc>
        <w:tc>
          <w:tcPr>
            <w:tcW w:type="dxa" w:w="1944"/>
            <w:vAlign w:val="top"/>
            <w:shd w:fill="F2F6FA"/>
          </w:tcPr>
          <w:p>
            <w:pPr>
              <w:pStyle w:val="TableText"/>
            </w:pPr>
            <w:r/>
            <w:r>
              <w:rPr>
                <w:b w:val="0"/>
                <w:sz w:val="16"/>
              </w:rPr>
              <w:t>Non-renewal decision</w:t>
            </w:r>
          </w:p>
        </w:tc>
        <w:tc>
          <w:tcPr>
            <w:tcW w:type="dxa" w:w="2232"/>
            <w:vAlign w:val="top"/>
            <w:shd w:fill="F2F6FA"/>
          </w:tcPr>
          <w:p>
            <w:pPr>
              <w:pStyle w:val="TableText"/>
            </w:pPr>
            <w:r/>
            <w:r>
              <w:rPr>
                <w:b w:val="0"/>
                <w:sz w:val="16"/>
              </w:rPr>
              <w:t>Underwriter</w:t>
            </w:r>
          </w:p>
        </w:tc>
        <w:tc>
          <w:tcPr>
            <w:tcW w:type="dxa" w:w="5976"/>
            <w:vAlign w:val="top"/>
            <w:shd w:fill="F2F6FA"/>
          </w:tcPr>
          <w:p>
            <w:pPr>
              <w:pStyle w:val="TableText"/>
            </w:pPr>
            <w:r/>
            <w:r>
              <w:rPr>
                <w:b w:val="0"/>
                <w:sz w:val="16"/>
              </w:rPr>
              <w:t>Make an authorized non-renewal decision for the next term.</w:t>
            </w:r>
          </w:p>
        </w:tc>
        <w:tc>
          <w:tcPr>
            <w:tcW w:type="dxa" w:w="5760"/>
            <w:vAlign w:val="top"/>
            <w:shd w:fill="F2F6FA"/>
          </w:tcPr>
          <w:p>
            <w:pPr>
              <w:pStyle w:val="TableText"/>
            </w:pPr>
            <w:r/>
            <w:r>
              <w:rPr>
                <w:b w:val="0"/>
                <w:sz w:val="16"/>
              </w:rPr>
              <w:t>Non-renewal outcome and business reason are recorded; the system does not mislabel it as a mid-term cancellation.</w:t>
            </w:r>
          </w:p>
        </w:tc>
        <w:tc>
          <w:tcPr>
            <w:tcW w:type="dxa" w:w="936"/>
            <w:vAlign w:val="top"/>
            <w:shd w:fill="F2F6FA"/>
          </w:tcPr>
          <w:p>
            <w:pPr>
              <w:pStyle w:val="TableText"/>
            </w:pPr>
            <w:r/>
            <w:r>
              <w:rPr>
                <w:b w:val="0"/>
                <w:sz w:val="16"/>
              </w:rPr>
              <w:t>Critical</w:t>
            </w:r>
          </w:p>
        </w:tc>
      </w:tr>
      <w:tr>
        <w:tc>
          <w:tcPr>
            <w:tcW w:type="dxa" w:w="936"/>
            <w:vAlign w:val="top"/>
          </w:tcPr>
          <w:p>
            <w:pPr>
              <w:pStyle w:val="TableText"/>
            </w:pPr>
            <w:r/>
            <w:r>
              <w:rPr>
                <w:b w:val="0"/>
                <w:sz w:val="16"/>
              </w:rPr>
              <w:t>F3-T19</w:t>
            </w:r>
          </w:p>
        </w:tc>
        <w:tc>
          <w:tcPr>
            <w:tcW w:type="dxa" w:w="1944"/>
            <w:vAlign w:val="top"/>
          </w:tcPr>
          <w:p>
            <w:pPr>
              <w:pStyle w:val="TableText"/>
            </w:pPr>
            <w:r/>
            <w:r>
              <w:rPr>
                <w:b w:val="0"/>
                <w:sz w:val="16"/>
              </w:rPr>
              <w:t>Access after end of term</w:t>
            </w:r>
          </w:p>
        </w:tc>
        <w:tc>
          <w:tcPr>
            <w:tcW w:type="dxa" w:w="2232"/>
            <w:vAlign w:val="top"/>
          </w:tcPr>
          <w:p>
            <w:pPr>
              <w:pStyle w:val="TableText"/>
            </w:pPr>
            <w:r/>
            <w:r>
              <w:rPr>
                <w:b w:val="0"/>
                <w:sz w:val="16"/>
              </w:rPr>
              <w:t>Policyholder</w:t>
            </w:r>
          </w:p>
        </w:tc>
        <w:tc>
          <w:tcPr>
            <w:tcW w:type="dxa" w:w="5976"/>
            <w:vAlign w:val="top"/>
          </w:tcPr>
          <w:p>
            <w:pPr>
              <w:pStyle w:val="TableText"/>
            </w:pPr>
            <w:r/>
            <w:r>
              <w:rPr>
                <w:b w:val="0"/>
                <w:sz w:val="16"/>
              </w:rPr>
              <w:t>Attempt to use the expired/non-renewed policy as if it were active.</w:t>
            </w:r>
          </w:p>
        </w:tc>
        <w:tc>
          <w:tcPr>
            <w:tcW w:type="dxa" w:w="5760"/>
            <w:vAlign w:val="top"/>
          </w:tcPr>
          <w:p>
            <w:pPr>
              <w:pStyle w:val="TableText"/>
            </w:pPr>
            <w:r/>
            <w:r>
              <w:rPr>
                <w:b w:val="0"/>
                <w:sz w:val="16"/>
              </w:rPr>
              <w:t>Business flow recognizes that the prior policy is no longer IN_FORCE; no new coverage is implied.</w:t>
            </w:r>
          </w:p>
        </w:tc>
        <w:tc>
          <w:tcPr>
            <w:tcW w:type="dxa" w:w="936"/>
            <w:vAlign w:val="top"/>
          </w:tcPr>
          <w:p>
            <w:pPr>
              <w:pStyle w:val="TableText"/>
            </w:pPr>
            <w:r/>
            <w:r>
              <w:rPr>
                <w:b w:val="0"/>
                <w:sz w:val="16"/>
              </w:rPr>
              <w:t>Critical</w:t>
            </w:r>
          </w:p>
        </w:tc>
      </w:tr>
      <w:tr>
        <w:tc>
          <w:tcPr>
            <w:tcW w:type="dxa" w:w="936"/>
            <w:vAlign w:val="top"/>
            <w:shd w:fill="F2F6FA"/>
          </w:tcPr>
          <w:p>
            <w:pPr>
              <w:pStyle w:val="TableText"/>
            </w:pPr>
            <w:r/>
            <w:r>
              <w:rPr>
                <w:b w:val="0"/>
                <w:sz w:val="16"/>
              </w:rPr>
              <w:t>F3-T20</w:t>
            </w:r>
          </w:p>
        </w:tc>
        <w:tc>
          <w:tcPr>
            <w:tcW w:type="dxa" w:w="1944"/>
            <w:vAlign w:val="top"/>
            <w:shd w:fill="F2F6FA"/>
          </w:tcPr>
          <w:p>
            <w:pPr>
              <w:pStyle w:val="TableText"/>
            </w:pPr>
            <w:r/>
            <w:r>
              <w:rPr>
                <w:b w:val="0"/>
                <w:sz w:val="16"/>
              </w:rPr>
              <w:t>Audit completeness</w:t>
            </w:r>
          </w:p>
        </w:tc>
        <w:tc>
          <w:tcPr>
            <w:tcW w:type="dxa" w:w="2232"/>
            <w:vAlign w:val="top"/>
            <w:shd w:fill="F2F6FA"/>
          </w:tcPr>
          <w:p>
            <w:pPr>
              <w:pStyle w:val="TableText"/>
            </w:pPr>
            <w:r/>
            <w:r>
              <w:rPr>
                <w:b w:val="0"/>
                <w:sz w:val="16"/>
              </w:rPr>
              <w:t>System Administrator / Auditor</w:t>
            </w:r>
          </w:p>
        </w:tc>
        <w:tc>
          <w:tcPr>
            <w:tcW w:type="dxa" w:w="5976"/>
            <w:vAlign w:val="top"/>
            <w:shd w:fill="F2F6FA"/>
          </w:tcPr>
          <w:p>
            <w:pPr>
              <w:pStyle w:val="TableText"/>
            </w:pPr>
            <w:r/>
            <w:r>
              <w:rPr>
                <w:b w:val="0"/>
                <w:sz w:val="16"/>
              </w:rPr>
              <w:t>Review the end-to-end exception case history.</w:t>
            </w:r>
          </w:p>
        </w:tc>
        <w:tc>
          <w:tcPr>
            <w:tcW w:type="dxa" w:w="5760"/>
            <w:vAlign w:val="top"/>
            <w:shd w:fill="F2F6FA"/>
          </w:tcPr>
          <w:p>
            <w:pPr>
              <w:pStyle w:val="TableText"/>
            </w:pPr>
            <w:r/>
            <w:r>
              <w:rPr>
                <w:b w:val="0"/>
                <w:sz w:val="16"/>
              </w:rPr>
              <w:t>Key state changes, actors, reasons and supporting evidence are traceable across submission, underwriting, risk engineering and renewal outcomes.</w:t>
            </w:r>
          </w:p>
        </w:tc>
        <w:tc>
          <w:tcPr>
            <w:tcW w:type="dxa" w:w="936"/>
            <w:vAlign w:val="top"/>
            <w:shd w:fill="F2F6FA"/>
          </w:tcPr>
          <w:p>
            <w:pPr>
              <w:pStyle w:val="TableText"/>
            </w:pPr>
            <w:r/>
            <w:r>
              <w:rPr>
                <w:b w:val="0"/>
                <w:sz w:val="16"/>
              </w:rPr>
              <w:t>High</w:t>
            </w:r>
          </w:p>
        </w:tc>
      </w:tr>
    </w:tbl>
    <w:p>
      <w:pPr>
        <w:spacing w:after="40"/>
      </w:pPr>
    </w:p>
    <w:p>
      <w:pPr>
        <w:pStyle w:val="Heading1"/>
        <w:keepNext/>
      </w:pPr>
      <w:r>
        <w:t>4. Cross-Flow Business Invariants</w:t>
      </w:r>
    </w:p>
    <w:tbl>
      <w:tblPr>
        <w:tblStyle w:val="TableGrid"/>
        <w:tblW w:type="auto" w:w="0"/>
        <w:jc w:val="center"/>
        <w:tblLook w:firstColumn="1" w:firstRow="1" w:lastColumn="0" w:lastRow="0" w:noHBand="0" w:noVBand="1" w:val="04A0"/>
      </w:tblPr>
      <w:tblGrid>
        <w:gridCol w:w="5088"/>
        <w:gridCol w:w="5088"/>
        <w:gridCol w:w="5088"/>
      </w:tblGrid>
      <w:tr>
        <w:trPr>
          <w:tblHeader w:val="true"/>
        </w:trPr>
        <w:tc>
          <w:tcPr>
            <w:tcW w:type="dxa" w:w="1080"/>
            <w:vAlign w:val="top"/>
            <w:shd w:fill="17365D"/>
          </w:tcPr>
          <w:p>
            <w:pPr>
              <w:pStyle w:val="TableText"/>
            </w:pPr>
            <w:r>
              <w:rPr>
                <w:color w:val="FFFFFF"/>
              </w:rPr>
            </w:r>
            <w:r>
              <w:rPr>
                <w:b/>
                <w:color w:val="FFFFFF"/>
                <w:sz w:val="16"/>
              </w:rPr>
              <w:t>ID</w:t>
            </w:r>
          </w:p>
        </w:tc>
        <w:tc>
          <w:tcPr>
            <w:tcW w:type="dxa" w:w="3672"/>
            <w:vAlign w:val="top"/>
            <w:shd w:fill="17365D"/>
          </w:tcPr>
          <w:p>
            <w:pPr>
              <w:pStyle w:val="TableText"/>
            </w:pPr>
            <w:r>
              <w:rPr>
                <w:color w:val="FFFFFF"/>
              </w:rPr>
            </w:r>
            <w:r>
              <w:rPr>
                <w:b/>
                <w:color w:val="FFFFFF"/>
                <w:sz w:val="16"/>
              </w:rPr>
              <w:t>Business invariant</w:t>
            </w:r>
          </w:p>
        </w:tc>
        <w:tc>
          <w:tcPr>
            <w:tcW w:type="dxa" w:w="10296"/>
            <w:vAlign w:val="top"/>
            <w:shd w:fill="17365D"/>
          </w:tcPr>
          <w:p>
            <w:pPr>
              <w:pStyle w:val="TableText"/>
            </w:pPr>
            <w:r>
              <w:rPr>
                <w:color w:val="FFFFFF"/>
              </w:rPr>
            </w:r>
            <w:r>
              <w:rPr>
                <w:b/>
                <w:color w:val="FFFFFF"/>
                <w:sz w:val="16"/>
              </w:rPr>
              <w:t>Pass condition</w:t>
            </w:r>
          </w:p>
        </w:tc>
      </w:tr>
      <w:tr>
        <w:tc>
          <w:tcPr>
            <w:tcW w:type="dxa" w:w="1080"/>
            <w:vAlign w:val="top"/>
          </w:tcPr>
          <w:p>
            <w:pPr>
              <w:pStyle w:val="TableText"/>
            </w:pPr>
            <w:r/>
            <w:r>
              <w:rPr>
                <w:b w:val="0"/>
                <w:sz w:val="16"/>
              </w:rPr>
              <w:t>BI-01</w:t>
            </w:r>
          </w:p>
        </w:tc>
        <w:tc>
          <w:tcPr>
            <w:tcW w:type="dxa" w:w="3672"/>
            <w:vAlign w:val="top"/>
          </w:tcPr>
          <w:p>
            <w:pPr>
              <w:pStyle w:val="TableText"/>
            </w:pPr>
            <w:r/>
            <w:r>
              <w:rPr>
                <w:b w:val="0"/>
                <w:sz w:val="16"/>
              </w:rPr>
              <w:t>A Quote is not a Policy.</w:t>
            </w:r>
          </w:p>
        </w:tc>
        <w:tc>
          <w:tcPr>
            <w:tcW w:type="dxa" w:w="10296"/>
            <w:vAlign w:val="top"/>
          </w:tcPr>
          <w:p>
            <w:pPr>
              <w:pStyle w:val="TableText"/>
            </w:pPr>
            <w:r/>
            <w:r>
              <w:rPr>
                <w:b w:val="0"/>
                <w:sz w:val="16"/>
              </w:rPr>
              <w:t>A submitted/quoted transaction must not be represented as an in-force insurance contract.</w:t>
            </w:r>
          </w:p>
        </w:tc>
      </w:tr>
      <w:tr>
        <w:tc>
          <w:tcPr>
            <w:tcW w:type="dxa" w:w="1080"/>
            <w:vAlign w:val="top"/>
            <w:shd w:fill="F2F6FA"/>
          </w:tcPr>
          <w:p>
            <w:pPr>
              <w:pStyle w:val="TableText"/>
            </w:pPr>
            <w:r/>
            <w:r>
              <w:rPr>
                <w:b w:val="0"/>
                <w:sz w:val="16"/>
              </w:rPr>
              <w:t>BI-02</w:t>
            </w:r>
          </w:p>
        </w:tc>
        <w:tc>
          <w:tcPr>
            <w:tcW w:type="dxa" w:w="3672"/>
            <w:vAlign w:val="top"/>
            <w:shd w:fill="F2F6FA"/>
          </w:tcPr>
          <w:p>
            <w:pPr>
              <w:pStyle w:val="TableText"/>
            </w:pPr>
            <w:r/>
            <w:r>
              <w:rPr>
                <w:b w:val="0"/>
                <w:sz w:val="16"/>
              </w:rPr>
              <w:t>Submission is richer than a price request.</w:t>
            </w:r>
          </w:p>
        </w:tc>
        <w:tc>
          <w:tcPr>
            <w:tcW w:type="dxa" w:w="10296"/>
            <w:vAlign w:val="top"/>
            <w:shd w:fill="F2F6FA"/>
          </w:tcPr>
          <w:p>
            <w:pPr>
              <w:pStyle w:val="TableText"/>
            </w:pPr>
            <w:r/>
            <w:r>
              <w:rPr>
                <w:b w:val="0"/>
                <w:sz w:val="16"/>
              </w:rPr>
              <w:t>Insurance need/narrative and structured business/exposure information are captured before underwriting.</w:t>
            </w:r>
          </w:p>
        </w:tc>
      </w:tr>
      <w:tr>
        <w:tc>
          <w:tcPr>
            <w:tcW w:type="dxa" w:w="1080"/>
            <w:vAlign w:val="top"/>
          </w:tcPr>
          <w:p>
            <w:pPr>
              <w:pStyle w:val="TableText"/>
            </w:pPr>
            <w:r/>
            <w:r>
              <w:rPr>
                <w:b w:val="0"/>
                <w:sz w:val="16"/>
              </w:rPr>
              <w:t>BI-03</w:t>
            </w:r>
          </w:p>
        </w:tc>
        <w:tc>
          <w:tcPr>
            <w:tcW w:type="dxa" w:w="3672"/>
            <w:vAlign w:val="top"/>
          </w:tcPr>
          <w:p>
            <w:pPr>
              <w:pStyle w:val="TableText"/>
            </w:pPr>
            <w:r/>
            <w:r>
              <w:rPr>
                <w:b w:val="0"/>
                <w:sz w:val="16"/>
              </w:rPr>
              <w:t>Acceptance is not the same as Bind.</w:t>
            </w:r>
          </w:p>
        </w:tc>
        <w:tc>
          <w:tcPr>
            <w:tcW w:type="dxa" w:w="10296"/>
            <w:vAlign w:val="top"/>
          </w:tcPr>
          <w:p>
            <w:pPr>
              <w:pStyle w:val="TableText"/>
            </w:pPr>
            <w:r/>
            <w:r>
              <w:rPr>
                <w:b w:val="0"/>
                <w:sz w:val="16"/>
              </w:rPr>
              <w:t>Customer agreement and insurer/authorized binding remain distinct business moments even if orchestrated together.</w:t>
            </w:r>
          </w:p>
        </w:tc>
      </w:tr>
      <w:tr>
        <w:tc>
          <w:tcPr>
            <w:tcW w:type="dxa" w:w="1080"/>
            <w:vAlign w:val="top"/>
            <w:shd w:fill="F2F6FA"/>
          </w:tcPr>
          <w:p>
            <w:pPr>
              <w:pStyle w:val="TableText"/>
            </w:pPr>
            <w:r/>
            <w:r>
              <w:rPr>
                <w:b w:val="0"/>
                <w:sz w:val="16"/>
              </w:rPr>
              <w:t>BI-04</w:t>
            </w:r>
          </w:p>
        </w:tc>
        <w:tc>
          <w:tcPr>
            <w:tcW w:type="dxa" w:w="3672"/>
            <w:vAlign w:val="top"/>
            <w:shd w:fill="F2F6FA"/>
          </w:tcPr>
          <w:p>
            <w:pPr>
              <w:pStyle w:val="TableText"/>
            </w:pPr>
            <w:r/>
            <w:r>
              <w:rPr>
                <w:b w:val="0"/>
                <w:sz w:val="16"/>
              </w:rPr>
              <w:t>Bind is not the same as Issue.</w:t>
            </w:r>
          </w:p>
        </w:tc>
        <w:tc>
          <w:tcPr>
            <w:tcW w:type="dxa" w:w="10296"/>
            <w:vAlign w:val="top"/>
            <w:shd w:fill="F2F6FA"/>
          </w:tcPr>
          <w:p>
            <w:pPr>
              <w:pStyle w:val="TableText"/>
            </w:pPr>
            <w:r/>
            <w:r>
              <w:rPr>
                <w:b w:val="0"/>
                <w:sz w:val="16"/>
              </w:rPr>
              <w:t>Coverage can be bound before formal policy documents are issued.</w:t>
            </w:r>
          </w:p>
        </w:tc>
      </w:tr>
      <w:tr>
        <w:tc>
          <w:tcPr>
            <w:tcW w:type="dxa" w:w="1080"/>
            <w:vAlign w:val="top"/>
          </w:tcPr>
          <w:p>
            <w:pPr>
              <w:pStyle w:val="TableText"/>
            </w:pPr>
            <w:r/>
            <w:r>
              <w:rPr>
                <w:b w:val="0"/>
                <w:sz w:val="16"/>
              </w:rPr>
              <w:t>BI-05</w:t>
            </w:r>
          </w:p>
        </w:tc>
        <w:tc>
          <w:tcPr>
            <w:tcW w:type="dxa" w:w="3672"/>
            <w:vAlign w:val="top"/>
          </w:tcPr>
          <w:p>
            <w:pPr>
              <w:pStyle w:val="TableText"/>
            </w:pPr>
            <w:r/>
            <w:r>
              <w:rPr>
                <w:b w:val="0"/>
                <w:sz w:val="16"/>
              </w:rPr>
              <w:t>Policy is authoritative for coverage.</w:t>
            </w:r>
          </w:p>
        </w:tc>
        <w:tc>
          <w:tcPr>
            <w:tcW w:type="dxa" w:w="10296"/>
            <w:vAlign w:val="top"/>
          </w:tcPr>
          <w:p>
            <w:pPr>
              <w:pStyle w:val="TableText"/>
            </w:pPr>
            <w:r/>
            <w:r>
              <w:rPr>
                <w:b w:val="0"/>
                <w:sz w:val="16"/>
              </w:rPr>
              <w:t>Claims uses Quote &amp; Policy as the source of truth for policy terms and coverage.</w:t>
            </w:r>
          </w:p>
        </w:tc>
      </w:tr>
      <w:tr>
        <w:tc>
          <w:tcPr>
            <w:tcW w:type="dxa" w:w="1080"/>
            <w:vAlign w:val="top"/>
            <w:shd w:fill="F2F6FA"/>
          </w:tcPr>
          <w:p>
            <w:pPr>
              <w:pStyle w:val="TableText"/>
            </w:pPr>
            <w:r/>
            <w:r>
              <w:rPr>
                <w:b w:val="0"/>
                <w:sz w:val="16"/>
              </w:rPr>
              <w:t>BI-06</w:t>
            </w:r>
          </w:p>
        </w:tc>
        <w:tc>
          <w:tcPr>
            <w:tcW w:type="dxa" w:w="3672"/>
            <w:vAlign w:val="top"/>
            <w:shd w:fill="F2F6FA"/>
          </w:tcPr>
          <w:p>
            <w:pPr>
              <w:pStyle w:val="TableText"/>
            </w:pPr>
            <w:r/>
            <w:r>
              <w:rPr>
                <w:b w:val="0"/>
                <w:sz w:val="16"/>
              </w:rPr>
              <w:t>Workflow owns work, not domain truth.</w:t>
            </w:r>
          </w:p>
        </w:tc>
        <w:tc>
          <w:tcPr>
            <w:tcW w:type="dxa" w:w="10296"/>
            <w:vAlign w:val="top"/>
            <w:shd w:fill="F2F6FA"/>
          </w:tcPr>
          <w:p>
            <w:pPr>
              <w:pStyle w:val="TableText"/>
            </w:pPr>
            <w:r/>
            <w:r>
              <w:rPr>
                <w:b w:val="0"/>
                <w:sz w:val="16"/>
              </w:rPr>
              <w:t>Workflow can assign a task and escalate it but does not decide underwriting, claim coverage or policy status.</w:t>
            </w:r>
          </w:p>
        </w:tc>
      </w:tr>
      <w:tr>
        <w:tc>
          <w:tcPr>
            <w:tcW w:type="dxa" w:w="1080"/>
            <w:vAlign w:val="top"/>
          </w:tcPr>
          <w:p>
            <w:pPr>
              <w:pStyle w:val="TableText"/>
            </w:pPr>
            <w:r/>
            <w:r>
              <w:rPr>
                <w:b w:val="0"/>
                <w:sz w:val="16"/>
              </w:rPr>
              <w:t>BI-07</w:t>
            </w:r>
          </w:p>
        </w:tc>
        <w:tc>
          <w:tcPr>
            <w:tcW w:type="dxa" w:w="3672"/>
            <w:vAlign w:val="top"/>
          </w:tcPr>
          <w:p>
            <w:pPr>
              <w:pStyle w:val="TableText"/>
            </w:pPr>
            <w:r/>
            <w:r>
              <w:rPr>
                <w:b w:val="0"/>
                <w:sz w:val="16"/>
              </w:rPr>
              <w:t>Underwriter owns underwriting authority.</w:t>
            </w:r>
          </w:p>
        </w:tc>
        <w:tc>
          <w:tcPr>
            <w:tcW w:type="dxa" w:w="10296"/>
            <w:vAlign w:val="top"/>
          </w:tcPr>
          <w:p>
            <w:pPr>
              <w:pStyle w:val="TableText"/>
            </w:pPr>
            <w:r/>
            <w:r>
              <w:rPr>
                <w:b w:val="0"/>
                <w:sz w:val="16"/>
              </w:rPr>
              <w:t>Risk scores, analytics and risk findings support the decision but do not silently replace authorized human business authority.</w:t>
            </w:r>
          </w:p>
        </w:tc>
      </w:tr>
      <w:tr>
        <w:tc>
          <w:tcPr>
            <w:tcW w:type="dxa" w:w="1080"/>
            <w:vAlign w:val="top"/>
            <w:shd w:fill="F2F6FA"/>
          </w:tcPr>
          <w:p>
            <w:pPr>
              <w:pStyle w:val="TableText"/>
            </w:pPr>
            <w:r/>
            <w:r>
              <w:rPr>
                <w:b w:val="0"/>
                <w:sz w:val="16"/>
              </w:rPr>
              <w:t>BI-08</w:t>
            </w:r>
          </w:p>
        </w:tc>
        <w:tc>
          <w:tcPr>
            <w:tcW w:type="dxa" w:w="3672"/>
            <w:vAlign w:val="top"/>
            <w:shd w:fill="F2F6FA"/>
          </w:tcPr>
          <w:p>
            <w:pPr>
              <w:pStyle w:val="TableText"/>
            </w:pPr>
            <w:r/>
            <w:r>
              <w:rPr>
                <w:b w:val="0"/>
                <w:sz w:val="16"/>
              </w:rPr>
              <w:t>Risk Engineer is not the Underwriter.</w:t>
            </w:r>
          </w:p>
        </w:tc>
        <w:tc>
          <w:tcPr>
            <w:tcW w:type="dxa" w:w="10296"/>
            <w:vAlign w:val="top"/>
            <w:shd w:fill="F2F6FA"/>
          </w:tcPr>
          <w:p>
            <w:pPr>
              <w:pStyle w:val="TableText"/>
            </w:pPr>
            <w:r/>
            <w:r>
              <w:rPr>
                <w:b w:val="0"/>
                <w:sz w:val="16"/>
              </w:rPr>
              <w:t>Risk Engineering assesses hazards/controls and recommends actions; underwriting decides acceptability/terms.</w:t>
            </w:r>
          </w:p>
        </w:tc>
      </w:tr>
      <w:tr>
        <w:tc>
          <w:tcPr>
            <w:tcW w:type="dxa" w:w="1080"/>
            <w:vAlign w:val="top"/>
          </w:tcPr>
          <w:p>
            <w:pPr>
              <w:pStyle w:val="TableText"/>
            </w:pPr>
            <w:r/>
            <w:r>
              <w:rPr>
                <w:b w:val="0"/>
                <w:sz w:val="16"/>
              </w:rPr>
              <w:t>BI-09</w:t>
            </w:r>
          </w:p>
        </w:tc>
        <w:tc>
          <w:tcPr>
            <w:tcW w:type="dxa" w:w="3672"/>
            <w:vAlign w:val="top"/>
          </w:tcPr>
          <w:p>
            <w:pPr>
              <w:pStyle w:val="TableText"/>
            </w:pPr>
            <w:r/>
            <w:r>
              <w:rPr>
                <w:b w:val="0"/>
                <w:sz w:val="16"/>
              </w:rPr>
              <w:t>Estimated loss is not payout.</w:t>
            </w:r>
          </w:p>
        </w:tc>
        <w:tc>
          <w:tcPr>
            <w:tcW w:type="dxa" w:w="10296"/>
            <w:vAlign w:val="top"/>
          </w:tcPr>
          <w:p>
            <w:pPr>
              <w:pStyle w:val="TableText"/>
            </w:pPr>
            <w:r/>
            <w:r>
              <w:rPr>
                <w:b w:val="0"/>
                <w:sz w:val="16"/>
              </w:rPr>
              <w:t>Initial estimates can differ from assessed covered loss and final settlement/payment.</w:t>
            </w:r>
          </w:p>
        </w:tc>
      </w:tr>
      <w:tr>
        <w:tc>
          <w:tcPr>
            <w:tcW w:type="dxa" w:w="1080"/>
            <w:vAlign w:val="top"/>
            <w:shd w:fill="F2F6FA"/>
          </w:tcPr>
          <w:p>
            <w:pPr>
              <w:pStyle w:val="TableText"/>
            </w:pPr>
            <w:r/>
            <w:r>
              <w:rPr>
                <w:b w:val="0"/>
                <w:sz w:val="16"/>
              </w:rPr>
              <w:t>BI-10</w:t>
            </w:r>
          </w:p>
        </w:tc>
        <w:tc>
          <w:tcPr>
            <w:tcW w:type="dxa" w:w="3672"/>
            <w:vAlign w:val="top"/>
            <w:shd w:fill="F2F6FA"/>
          </w:tcPr>
          <w:p>
            <w:pPr>
              <w:pStyle w:val="TableText"/>
            </w:pPr>
            <w:r/>
            <w:r>
              <w:rPr>
                <w:b w:val="0"/>
                <w:sz w:val="16"/>
              </w:rPr>
              <w:t>Reserve is not settlement.</w:t>
            </w:r>
          </w:p>
        </w:tc>
        <w:tc>
          <w:tcPr>
            <w:tcW w:type="dxa" w:w="10296"/>
            <w:vAlign w:val="top"/>
            <w:shd w:fill="F2F6FA"/>
          </w:tcPr>
          <w:p>
            <w:pPr>
              <w:pStyle w:val="TableText"/>
            </w:pPr>
            <w:r/>
            <w:r>
              <w:rPr>
                <w:b w:val="0"/>
                <w:sz w:val="16"/>
              </w:rPr>
              <w:t>Reserve is the evolving expected payment liability; settlement is an authorized outcome.</w:t>
            </w:r>
          </w:p>
        </w:tc>
      </w:tr>
      <w:tr>
        <w:tc>
          <w:tcPr>
            <w:tcW w:type="dxa" w:w="1080"/>
            <w:vAlign w:val="top"/>
          </w:tcPr>
          <w:p>
            <w:pPr>
              <w:pStyle w:val="TableText"/>
            </w:pPr>
            <w:r/>
            <w:r>
              <w:rPr>
                <w:b w:val="0"/>
                <w:sz w:val="16"/>
              </w:rPr>
              <w:t>BI-11</w:t>
            </w:r>
          </w:p>
        </w:tc>
        <w:tc>
          <w:tcPr>
            <w:tcW w:type="dxa" w:w="3672"/>
            <w:vAlign w:val="top"/>
          </w:tcPr>
          <w:p>
            <w:pPr>
              <w:pStyle w:val="TableText"/>
            </w:pPr>
            <w:r/>
            <w:r>
              <w:rPr>
                <w:b w:val="0"/>
                <w:sz w:val="16"/>
              </w:rPr>
              <w:t>Settlement is not payment.</w:t>
            </w:r>
          </w:p>
        </w:tc>
        <w:tc>
          <w:tcPr>
            <w:tcW w:type="dxa" w:w="10296"/>
            <w:vAlign w:val="top"/>
          </w:tcPr>
          <w:p>
            <w:pPr>
              <w:pStyle w:val="TableText"/>
            </w:pPr>
            <w:r/>
            <w:r>
              <w:rPr>
                <w:b w:val="0"/>
                <w:sz w:val="16"/>
              </w:rPr>
              <w:t>An approved settlement must have a separate payment lifecycle/state.</w:t>
            </w:r>
          </w:p>
        </w:tc>
      </w:tr>
      <w:tr>
        <w:tc>
          <w:tcPr>
            <w:tcW w:type="dxa" w:w="1080"/>
            <w:vAlign w:val="top"/>
            <w:shd w:fill="F2F6FA"/>
          </w:tcPr>
          <w:p>
            <w:pPr>
              <w:pStyle w:val="TableText"/>
            </w:pPr>
            <w:r/>
            <w:r>
              <w:rPr>
                <w:b w:val="0"/>
                <w:sz w:val="16"/>
              </w:rPr>
              <w:t>BI-12</w:t>
            </w:r>
          </w:p>
        </w:tc>
        <w:tc>
          <w:tcPr>
            <w:tcW w:type="dxa" w:w="3672"/>
            <w:vAlign w:val="top"/>
            <w:shd w:fill="F2F6FA"/>
          </w:tcPr>
          <w:p>
            <w:pPr>
              <w:pStyle w:val="TableText"/>
            </w:pPr>
            <w:r/>
            <w:r>
              <w:rPr>
                <w:b w:val="0"/>
                <w:sz w:val="16"/>
              </w:rPr>
              <w:t>Recovery is not coverage determination.</w:t>
            </w:r>
          </w:p>
        </w:tc>
        <w:tc>
          <w:tcPr>
            <w:tcW w:type="dxa" w:w="10296"/>
            <w:vAlign w:val="top"/>
            <w:shd w:fill="F2F6FA"/>
          </w:tcPr>
          <w:p>
            <w:pPr>
              <w:pStyle w:val="TableText"/>
            </w:pPr>
            <w:r/>
            <w:r>
              <w:rPr>
                <w:b w:val="0"/>
                <w:sz w:val="16"/>
              </w:rPr>
              <w:t>Recovery tracks operational restoration and continuity; Claims determines claim coverage/payment.</w:t>
            </w:r>
          </w:p>
        </w:tc>
      </w:tr>
      <w:tr>
        <w:tc>
          <w:tcPr>
            <w:tcW w:type="dxa" w:w="1080"/>
            <w:vAlign w:val="top"/>
          </w:tcPr>
          <w:p>
            <w:pPr>
              <w:pStyle w:val="TableText"/>
            </w:pPr>
            <w:r/>
            <w:r>
              <w:rPr>
                <w:b w:val="0"/>
                <w:sz w:val="16"/>
              </w:rPr>
              <w:t>BI-13</w:t>
            </w:r>
          </w:p>
        </w:tc>
        <w:tc>
          <w:tcPr>
            <w:tcW w:type="dxa" w:w="3672"/>
            <w:vAlign w:val="top"/>
          </w:tcPr>
          <w:p>
            <w:pPr>
              <w:pStyle w:val="TableText"/>
            </w:pPr>
            <w:r/>
            <w:r>
              <w:rPr>
                <w:b w:val="0"/>
                <w:sz w:val="16"/>
              </w:rPr>
              <w:t>Vendor eligibility precedes assignment.</w:t>
            </w:r>
          </w:p>
        </w:tc>
        <w:tc>
          <w:tcPr>
            <w:tcW w:type="dxa" w:w="10296"/>
            <w:vAlign w:val="top"/>
          </w:tcPr>
          <w:p>
            <w:pPr>
              <w:pStyle w:val="TableText"/>
            </w:pPr>
            <w:r/>
            <w:r>
              <w:rPr>
                <w:b w:val="0"/>
                <w:sz w:val="16"/>
              </w:rPr>
              <w:t>Only verified/eligible providers should receive repair/service work.</w:t>
            </w:r>
          </w:p>
        </w:tc>
      </w:tr>
      <w:tr>
        <w:tc>
          <w:tcPr>
            <w:tcW w:type="dxa" w:w="1080"/>
            <w:vAlign w:val="top"/>
            <w:shd w:fill="F2F6FA"/>
          </w:tcPr>
          <w:p>
            <w:pPr>
              <w:pStyle w:val="TableText"/>
            </w:pPr>
            <w:r/>
            <w:r>
              <w:rPr>
                <w:b w:val="0"/>
                <w:sz w:val="16"/>
              </w:rPr>
              <w:t>BI-14</w:t>
            </w:r>
          </w:p>
        </w:tc>
        <w:tc>
          <w:tcPr>
            <w:tcW w:type="dxa" w:w="3672"/>
            <w:vAlign w:val="top"/>
            <w:shd w:fill="F2F6FA"/>
          </w:tcPr>
          <w:p>
            <w:pPr>
              <w:pStyle w:val="TableText"/>
            </w:pPr>
            <w:r/>
            <w:r>
              <w:rPr>
                <w:b w:val="0"/>
                <w:sz w:val="16"/>
              </w:rPr>
              <w:t>Endorsements preserve history.</w:t>
            </w:r>
          </w:p>
        </w:tc>
        <w:tc>
          <w:tcPr>
            <w:tcW w:type="dxa" w:w="10296"/>
            <w:vAlign w:val="top"/>
            <w:shd w:fill="F2F6FA"/>
          </w:tcPr>
          <w:p>
            <w:pPr>
              <w:pStyle w:val="TableText"/>
            </w:pPr>
            <w:r/>
            <w:r>
              <w:rPr>
                <w:b w:val="0"/>
                <w:sz w:val="16"/>
              </w:rPr>
              <w:t>Material policy changes are recorded as transactions rather than silently overwriting historical terms.</w:t>
            </w:r>
          </w:p>
        </w:tc>
      </w:tr>
      <w:tr>
        <w:tc>
          <w:tcPr>
            <w:tcW w:type="dxa" w:w="1080"/>
            <w:vAlign w:val="top"/>
          </w:tcPr>
          <w:p>
            <w:pPr>
              <w:pStyle w:val="TableText"/>
            </w:pPr>
            <w:r/>
            <w:r>
              <w:rPr>
                <w:b w:val="0"/>
                <w:sz w:val="16"/>
              </w:rPr>
              <w:t>BI-15</w:t>
            </w:r>
          </w:p>
        </w:tc>
        <w:tc>
          <w:tcPr>
            <w:tcW w:type="dxa" w:w="3672"/>
            <w:vAlign w:val="top"/>
          </w:tcPr>
          <w:p>
            <w:pPr>
              <w:pStyle w:val="TableText"/>
            </w:pPr>
            <w:r/>
            <w:r>
              <w:rPr>
                <w:b w:val="0"/>
                <w:sz w:val="16"/>
              </w:rPr>
              <w:t>Renewal is fresh evaluation.</w:t>
            </w:r>
          </w:p>
        </w:tc>
        <w:tc>
          <w:tcPr>
            <w:tcW w:type="dxa" w:w="10296"/>
            <w:vAlign w:val="top"/>
          </w:tcPr>
          <w:p>
            <w:pPr>
              <w:pStyle w:val="TableText"/>
            </w:pPr>
            <w:r/>
            <w:r>
              <w:rPr>
                <w:b w:val="0"/>
                <w:sz w:val="16"/>
              </w:rPr>
              <w:t>Current exposure, claims, material changes and risk controls are used for the next-term decision.</w:t>
            </w:r>
          </w:p>
        </w:tc>
      </w:tr>
      <w:tr>
        <w:tc>
          <w:tcPr>
            <w:tcW w:type="dxa" w:w="1080"/>
            <w:vAlign w:val="top"/>
            <w:shd w:fill="F2F6FA"/>
          </w:tcPr>
          <w:p>
            <w:pPr>
              <w:pStyle w:val="TableText"/>
            </w:pPr>
            <w:r/>
            <w:r>
              <w:rPr>
                <w:b w:val="0"/>
                <w:sz w:val="16"/>
              </w:rPr>
              <w:t>BI-16</w:t>
            </w:r>
          </w:p>
        </w:tc>
        <w:tc>
          <w:tcPr>
            <w:tcW w:type="dxa" w:w="3672"/>
            <w:vAlign w:val="top"/>
            <w:shd w:fill="F2F6FA"/>
          </w:tcPr>
          <w:p>
            <w:pPr>
              <w:pStyle w:val="TableText"/>
            </w:pPr>
            <w:r/>
            <w:r>
              <w:rPr>
                <w:b w:val="0"/>
                <w:sz w:val="16"/>
              </w:rPr>
              <w:t>Closure has gates.</w:t>
            </w:r>
          </w:p>
        </w:tc>
        <w:tc>
          <w:tcPr>
            <w:tcW w:type="dxa" w:w="10296"/>
            <w:vAlign w:val="top"/>
            <w:shd w:fill="F2F6FA"/>
          </w:tcPr>
          <w:p>
            <w:pPr>
              <w:pStyle w:val="TableText"/>
            </w:pPr>
            <w:r/>
            <w:r>
              <w:rPr>
                <w:b w:val="0"/>
                <w:sz w:val="16"/>
              </w:rPr>
              <w:t>A claim should not close while required evidence, settlement/payment or governed recovery actions remain unresolved without formal disposition.</w:t>
            </w:r>
          </w:p>
        </w:tc>
      </w:tr>
      <w:tr>
        <w:tc>
          <w:tcPr>
            <w:tcW w:type="dxa" w:w="1080"/>
            <w:vAlign w:val="top"/>
          </w:tcPr>
          <w:p>
            <w:pPr>
              <w:pStyle w:val="TableText"/>
            </w:pPr>
            <w:r/>
            <w:r>
              <w:rPr>
                <w:b w:val="0"/>
                <w:sz w:val="16"/>
              </w:rPr>
              <w:t>BI-17</w:t>
            </w:r>
          </w:p>
        </w:tc>
        <w:tc>
          <w:tcPr>
            <w:tcW w:type="dxa" w:w="3672"/>
            <w:vAlign w:val="top"/>
          </w:tcPr>
          <w:p>
            <w:pPr>
              <w:pStyle w:val="TableText"/>
            </w:pPr>
            <w:r/>
            <w:r>
              <w:rPr>
                <w:b w:val="0"/>
                <w:sz w:val="16"/>
              </w:rPr>
              <w:t>Documents are evidence.</w:t>
            </w:r>
          </w:p>
        </w:tc>
        <w:tc>
          <w:tcPr>
            <w:tcW w:type="dxa" w:w="10296"/>
            <w:vAlign w:val="top"/>
          </w:tcPr>
          <w:p>
            <w:pPr>
              <w:pStyle w:val="TableText"/>
            </w:pPr>
            <w:r/>
            <w:r>
              <w:rPr>
                <w:b w:val="0"/>
                <w:sz w:val="16"/>
              </w:rPr>
              <w:t>Document &amp; Audit preserves evidence and history but does not become the owner of the business decision.</w:t>
            </w:r>
          </w:p>
        </w:tc>
      </w:tr>
      <w:tr>
        <w:tc>
          <w:tcPr>
            <w:tcW w:type="dxa" w:w="1080"/>
            <w:vAlign w:val="top"/>
            <w:shd w:fill="F2F6FA"/>
          </w:tcPr>
          <w:p>
            <w:pPr>
              <w:pStyle w:val="TableText"/>
            </w:pPr>
            <w:r/>
            <w:r>
              <w:rPr>
                <w:b w:val="0"/>
                <w:sz w:val="16"/>
              </w:rPr>
              <w:t>BI-18</w:t>
            </w:r>
          </w:p>
        </w:tc>
        <w:tc>
          <w:tcPr>
            <w:tcW w:type="dxa" w:w="3672"/>
            <w:vAlign w:val="top"/>
            <w:shd w:fill="F2F6FA"/>
          </w:tcPr>
          <w:p>
            <w:pPr>
              <w:pStyle w:val="TableText"/>
            </w:pPr>
            <w:r/>
            <w:r>
              <w:rPr>
                <w:b w:val="0"/>
                <w:sz w:val="16"/>
              </w:rPr>
              <w:t>Customer identity is centralized.</w:t>
            </w:r>
          </w:p>
        </w:tc>
        <w:tc>
          <w:tcPr>
            <w:tcW w:type="dxa" w:w="10296"/>
            <w:vAlign w:val="top"/>
            <w:shd w:fill="F2F6FA"/>
          </w:tcPr>
          <w:p>
            <w:pPr>
              <w:pStyle w:val="TableText"/>
            </w:pPr>
            <w:r/>
            <w:r>
              <w:rPr>
                <w:b w:val="0"/>
                <w:sz w:val="16"/>
              </w:rPr>
              <w:t>Customer/party identity is not duplicated as a competing master in downstream services.</w:t>
            </w:r>
          </w:p>
        </w:tc>
      </w:tr>
    </w:tbl>
    <w:p>
      <w:pPr>
        <w:spacing w:after="40"/>
      </w:pPr>
    </w:p>
    <w:p>
      <w:pPr>
        <w:pStyle w:val="Heading1"/>
        <w:keepNext/>
      </w:pPr>
      <w:r>
        <w:t>5. Recommended Execution Order for Your Demo</w:t>
      </w:r>
    </w:p>
    <w:tbl>
      <w:tblPr>
        <w:tblStyle w:val="TableGrid"/>
        <w:tblW w:type="auto" w:w="0"/>
        <w:jc w:val="center"/>
        <w:tblLook w:firstColumn="1" w:firstRow="1" w:lastColumn="0" w:lastRow="0" w:noHBand="0" w:noVBand="1" w:val="04A0"/>
      </w:tblPr>
      <w:tblGrid>
        <w:gridCol w:w="3816"/>
        <w:gridCol w:w="3816"/>
        <w:gridCol w:w="3816"/>
        <w:gridCol w:w="3816"/>
      </w:tblGrid>
      <w:tr>
        <w:trPr>
          <w:tblHeader w:val="true"/>
        </w:trPr>
        <w:tc>
          <w:tcPr>
            <w:tcW w:type="dxa" w:w="1008"/>
            <w:vAlign w:val="top"/>
            <w:shd w:fill="17365D"/>
          </w:tcPr>
          <w:p>
            <w:pPr>
              <w:pStyle w:val="TableText"/>
            </w:pPr>
            <w:r>
              <w:rPr>
                <w:color w:val="FFFFFF"/>
              </w:rPr>
            </w:r>
            <w:r>
              <w:rPr>
                <w:b/>
                <w:color w:val="FFFFFF"/>
                <w:sz w:val="16"/>
              </w:rPr>
              <w:t>Order</w:t>
            </w:r>
          </w:p>
        </w:tc>
        <w:tc>
          <w:tcPr>
            <w:tcW w:type="dxa" w:w="1728"/>
            <w:vAlign w:val="top"/>
            <w:shd w:fill="17365D"/>
          </w:tcPr>
          <w:p>
            <w:pPr>
              <w:pStyle w:val="TableText"/>
            </w:pPr>
            <w:r>
              <w:rPr>
                <w:color w:val="FFFFFF"/>
              </w:rPr>
            </w:r>
            <w:r>
              <w:rPr>
                <w:b/>
                <w:color w:val="FFFFFF"/>
                <w:sz w:val="16"/>
              </w:rPr>
              <w:t>Flow</w:t>
            </w:r>
          </w:p>
        </w:tc>
        <w:tc>
          <w:tcPr>
            <w:tcW w:type="dxa" w:w="5760"/>
            <w:vAlign w:val="top"/>
            <w:shd w:fill="17365D"/>
          </w:tcPr>
          <w:p>
            <w:pPr>
              <w:pStyle w:val="TableText"/>
            </w:pPr>
            <w:r>
              <w:rPr>
                <w:color w:val="FFFFFF"/>
              </w:rPr>
            </w:r>
            <w:r>
              <w:rPr>
                <w:b/>
                <w:color w:val="FFFFFF"/>
                <w:sz w:val="16"/>
              </w:rPr>
              <w:t>What to demonstrate</w:t>
            </w:r>
          </w:p>
        </w:tc>
        <w:tc>
          <w:tcPr>
            <w:tcW w:type="dxa" w:w="6552"/>
            <w:vAlign w:val="top"/>
            <w:shd w:fill="17365D"/>
          </w:tcPr>
          <w:p>
            <w:pPr>
              <w:pStyle w:val="TableText"/>
            </w:pPr>
            <w:r>
              <w:rPr>
                <w:color w:val="FFFFFF"/>
              </w:rPr>
            </w:r>
            <w:r>
              <w:rPr>
                <w:b/>
                <w:color w:val="FFFFFF"/>
                <w:sz w:val="16"/>
              </w:rPr>
              <w:t>Must-pass business checkpoints</w:t>
            </w:r>
          </w:p>
        </w:tc>
      </w:tr>
      <w:tr>
        <w:tc>
          <w:tcPr>
            <w:tcW w:type="dxa" w:w="1008"/>
            <w:vAlign w:val="top"/>
          </w:tcPr>
          <w:p>
            <w:pPr>
              <w:pStyle w:val="TableText"/>
            </w:pPr>
            <w:r/>
            <w:r>
              <w:rPr>
                <w:b w:val="0"/>
                <w:sz w:val="16"/>
              </w:rPr>
              <w:t>1</w:t>
            </w:r>
          </w:p>
        </w:tc>
        <w:tc>
          <w:tcPr>
            <w:tcW w:type="dxa" w:w="1728"/>
            <w:vAlign w:val="top"/>
          </w:tcPr>
          <w:p>
            <w:pPr>
              <w:pStyle w:val="TableText"/>
            </w:pPr>
            <w:r/>
            <w:r>
              <w:rPr>
                <w:b w:val="0"/>
                <w:sz w:val="16"/>
              </w:rPr>
              <w:t>Flow 1</w:t>
            </w:r>
          </w:p>
        </w:tc>
        <w:tc>
          <w:tcPr>
            <w:tcW w:type="dxa" w:w="5760"/>
            <w:vAlign w:val="top"/>
          </w:tcPr>
          <w:p>
            <w:pPr>
              <w:pStyle w:val="TableText"/>
            </w:pPr>
            <w:r/>
            <w:r>
              <w:rPr>
                <w:b w:val="0"/>
                <w:sz w:val="16"/>
              </w:rPr>
              <w:t>New business from registration to renewal setup.</w:t>
            </w:r>
          </w:p>
        </w:tc>
        <w:tc>
          <w:tcPr>
            <w:tcW w:type="dxa" w:w="6552"/>
            <w:vAlign w:val="top"/>
          </w:tcPr>
          <w:p>
            <w:pPr>
              <w:pStyle w:val="TableText"/>
            </w:pPr>
            <w:r/>
            <w:r>
              <w:rPr>
                <w:b w:val="0"/>
                <w:sz w:val="16"/>
              </w:rPr>
              <w:t>SUBMITTED → triage → underwriter assigned → risk assessment → QUOTED → ACCEPTED → BOUND → IN_FORCE</w:t>
            </w:r>
          </w:p>
        </w:tc>
      </w:tr>
      <w:tr>
        <w:tc>
          <w:tcPr>
            <w:tcW w:type="dxa" w:w="1008"/>
            <w:vAlign w:val="top"/>
            <w:shd w:fill="F2F6FA"/>
          </w:tcPr>
          <w:p>
            <w:pPr>
              <w:pStyle w:val="TableText"/>
            </w:pPr>
            <w:r/>
            <w:r>
              <w:rPr>
                <w:b w:val="0"/>
                <w:sz w:val="16"/>
              </w:rPr>
              <w:t>2</w:t>
            </w:r>
          </w:p>
        </w:tc>
        <w:tc>
          <w:tcPr>
            <w:tcW w:type="dxa" w:w="1728"/>
            <w:vAlign w:val="top"/>
            <w:shd w:fill="F2F6FA"/>
          </w:tcPr>
          <w:p>
            <w:pPr>
              <w:pStyle w:val="TableText"/>
            </w:pPr>
            <w:r/>
            <w:r>
              <w:rPr>
                <w:b w:val="0"/>
                <w:sz w:val="16"/>
              </w:rPr>
              <w:t>Flow 2</w:t>
            </w:r>
          </w:p>
        </w:tc>
        <w:tc>
          <w:tcPr>
            <w:tcW w:type="dxa" w:w="5760"/>
            <w:vAlign w:val="top"/>
            <w:shd w:fill="F2F6FA"/>
          </w:tcPr>
          <w:p>
            <w:pPr>
              <w:pStyle w:val="TableText"/>
            </w:pPr>
            <w:r/>
            <w:r>
              <w:rPr>
                <w:b w:val="0"/>
                <w:sz w:val="16"/>
              </w:rPr>
              <w:t>Real loss and claim handling.</w:t>
            </w:r>
          </w:p>
        </w:tc>
        <w:tc>
          <w:tcPr>
            <w:tcW w:type="dxa" w:w="6552"/>
            <w:vAlign w:val="top"/>
            <w:shd w:fill="F2F6FA"/>
          </w:tcPr>
          <w:p>
            <w:pPr>
              <w:pStyle w:val="TableText"/>
            </w:pPr>
            <w:r/>
            <w:r>
              <w:rPr>
                <w:b w:val="0"/>
                <w:sz w:val="16"/>
              </w:rPr>
              <w:t>FNOL → coverage decision → investigation → reserve/assessment → vendor → recovery → settlement → payment → closure</w:t>
            </w:r>
          </w:p>
        </w:tc>
      </w:tr>
      <w:tr>
        <w:tc>
          <w:tcPr>
            <w:tcW w:type="dxa" w:w="1008"/>
            <w:vAlign w:val="top"/>
          </w:tcPr>
          <w:p>
            <w:pPr>
              <w:pStyle w:val="TableText"/>
            </w:pPr>
            <w:r/>
            <w:r>
              <w:rPr>
                <w:b w:val="0"/>
                <w:sz w:val="16"/>
              </w:rPr>
              <w:t>3</w:t>
            </w:r>
          </w:p>
        </w:tc>
        <w:tc>
          <w:tcPr>
            <w:tcW w:type="dxa" w:w="1728"/>
            <w:vAlign w:val="top"/>
          </w:tcPr>
          <w:p>
            <w:pPr>
              <w:pStyle w:val="TableText"/>
            </w:pPr>
            <w:r/>
            <w:r>
              <w:rPr>
                <w:b w:val="0"/>
                <w:sz w:val="16"/>
              </w:rPr>
              <w:t>Flow 3</w:t>
            </w:r>
          </w:p>
        </w:tc>
        <w:tc>
          <w:tcPr>
            <w:tcW w:type="dxa" w:w="5760"/>
            <w:vAlign w:val="top"/>
          </w:tcPr>
          <w:p>
            <w:pPr>
              <w:pStyle w:val="TableText"/>
            </w:pPr>
            <w:r/>
            <w:r>
              <w:rPr>
                <w:b w:val="0"/>
                <w:sz w:val="16"/>
              </w:rPr>
              <w:t>Exception path.</w:t>
            </w:r>
          </w:p>
        </w:tc>
        <w:tc>
          <w:tcPr>
            <w:tcW w:type="dxa" w:w="6552"/>
            <w:vAlign w:val="top"/>
          </w:tcPr>
          <w:p>
            <w:pPr>
              <w:pStyle w:val="TableText"/>
            </w:pPr>
            <w:r/>
            <w:r>
              <w:rPr>
                <w:b w:val="0"/>
                <w:sz w:val="16"/>
              </w:rPr>
              <w:t>NEEDS_INFORMATION → referral → risk engineering → subjectivity → conditional terms → bind/issue → material change → renewal/non-renewal</w:t>
            </w:r>
          </w:p>
        </w:tc>
      </w:tr>
    </w:tbl>
    <w:p>
      <w:pPr>
        <w:spacing w:after="40"/>
      </w:pPr>
    </w:p>
    <w:tbl>
      <w:tblPr>
        <w:tblStyle w:val="TableGrid"/>
        <w:tblW w:type="auto" w:w="0"/>
        <w:jc w:val="center"/>
        <w:tblLook w:firstColumn="1" w:firstRow="1" w:lastColumn="0" w:lastRow="0" w:noHBand="0" w:noVBand="1" w:val="04A0"/>
      </w:tblPr>
      <w:tblGrid>
        <w:gridCol w:w="15264"/>
      </w:tblGrid>
      <w:tr>
        <w:tc>
          <w:tcPr>
            <w:tcW w:type="dxa" w:w="15264"/>
            <w:shd w:fill="EAF2F8"/>
          </w:tcPr>
          <w:p>
            <w:r/>
            <w:r>
              <w:rPr>
                <w:b/>
                <w:sz w:val="21"/>
              </w:rPr>
              <w:t>WHAT THIS SUITE IS TESTING</w:t>
              <w:br/>
            </w:r>
            <w:r>
              <w:rPr>
                <w:sz w:val="18"/>
              </w:rPr>
              <w:t>Not just whether endpoints return 200/201. It verifies that IntelliSure preserves the meaning of insurance work: who owns the decision, what the current business state means, what evidence is required, what can move to the next stage, and what must be blocked.</w:t>
            </w:r>
          </w:p>
        </w:tc>
      </w:tr>
    </w:tbl>
    <w:p>
      <w:pPr>
        <w:spacing w:after="0"/>
      </w:pPr>
    </w:p>
    <w:p>
      <w:pPr>
        <w:pStyle w:val="Heading1"/>
        <w:keepNext/>
      </w:pPr>
      <w:r>
        <w:t>6. Source Basis</w:t>
      </w:r>
    </w:p>
    <w:p>
      <w:pPr>
        <w:pStyle w:val="ListBullet"/>
        <w:spacing w:after="20"/>
      </w:pPr>
      <w:r>
        <w:t>IntelliSure Insurance Lifecycle Business Blueprint — September 2026 (project source).</w:t>
      </w:r>
    </w:p>
    <w:p>
      <w:pPr>
        <w:pStyle w:val="ListBullet"/>
        <w:spacing w:after="20"/>
      </w:pPr>
      <w:r>
        <w:t>IntelliSure Microservice Business Definitions — September 2026 (project source).</w:t>
      </w:r>
    </w:p>
    <w:p>
      <w:pPr>
        <w:pStyle w:val="ListBullet"/>
        <w:spacing w:after="20"/>
      </w:pPr>
      <w:r>
        <w:t>The underlying project entities, DTOs, endpoints, service-to-service communication and user-journey artifacts were treated as the current implementation baseline where relevant.</w:t>
      </w:r>
    </w:p>
    <w:p>
      <w:pPr>
        <w:pStyle w:val="ListBullet"/>
        <w:spacing w:after="20"/>
      </w:pPr>
      <w:r>
        <w:t>The terminology and lifecycle model intentionally follow the business vocabulary established in the project blueprint, including submission, triage, underwriting review, risk engineering, subjectivities, quote, acceptance, bind, issue, endorsements, FNOL, reserve, settlement, payment, recovery, salvage/subrogation and renewal.</w:t>
      </w:r>
    </w:p>
    <w:sectPr w:rsidR="00FC693F" w:rsidRPr="0006063C" w:rsidSect="00034616">
      <w:headerReference w:type="default" r:id="rId9"/>
      <w:footerReference w:type="default" r:id="rId10"/>
      <w:pgSz w:w="16848" w:h="11952" w:orient="landscape"/>
      <w:pgMar w:top="936"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IntelliSure | Business Lifecycle Test Cases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16"/>
      </w:rPr>
      <w:t>INTELLISURE | BUSINESS QA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IntelliSure Full Insurance Lifecycle Business Test Cases</dc:title>
  <dc:subject>Business-domain test suite for three end-to-end insurance lifecycle flows</dc:subject>
  <dc:creator>IntelliSure</dc:creator>
  <cp:keywords>Insurance, IntelliSure, Business Test Cases, Lifecycle, Claims, Underwriting, Renewal</cp:keywords>
  <dc:description>generated by python-docx</dc:description>
  <cp:lastModifiedBy/>
  <cp:revision>1</cp:revision>
  <dcterms:created xsi:type="dcterms:W3CDTF">2013-12-23T23:15:00Z</dcterms:created>
  <dcterms:modified xsi:type="dcterms:W3CDTF">2013-12-23T23:15:00Z</dcterms:modified>
  <cp:category/>
</cp:coreProperties>
</file>