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64.0" w:type="dxa"/>
        <w:jc w:val="left"/>
        <w:tblInd w:w="35.999999999999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479"/>
        <w:gridCol w:w="1125"/>
        <w:gridCol w:w="1830"/>
        <w:gridCol w:w="2535"/>
        <w:gridCol w:w="2565"/>
        <w:tblGridChange w:id="0">
          <w:tblGrid>
            <w:gridCol w:w="930"/>
            <w:gridCol w:w="1479"/>
            <w:gridCol w:w="1125"/>
            <w:gridCol w:w="1830"/>
            <w:gridCol w:w="2535"/>
            <w:gridCol w:w="256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Abstraction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Trusted Computation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Tenancy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Single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smart contract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Multiple</w:t>
              <w:br w:type="textWrapping"/>
              <w:t xml:space="preserve">smart contracts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Applications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Single community governance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Cross-community transactions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State Machine Replication</w:t>
              <w:br w:type="textWrapping"/>
              <w:t xml:space="preserve">Technology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Byzantine 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Tendermint</w:t>
              <w:br w:type="textWrapping"/>
              <w:t xml:space="preserve">HotStuff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Proof-of-???</w:t>
              <w:br w:type="textWrapping"/>
              <w:t xml:space="preserve">Longest chain</w:t>
              <w:br w:type="textWrapping"/>
              <w:t xml:space="preserve">Nakamoto Consensus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Products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gov4git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Cosmos, Polygon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Ethereum, Filecoin, etc.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Trust model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honest majority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highest power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Infra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Storage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networked git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high-end</w:t>
              <w:br w:type="textWrapping"/>
              <w:t xml:space="preserve">custom servers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high-end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custom servers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Compute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commodity client</w:t>
              <w:br w:type="textWrapping"/>
              <w:t xml:space="preserve">(web, mobile, home)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Latency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seconds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API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file-system</w:t>
              <w:br w:type="textWrapping"/>
              <w:t xml:space="preserve">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network protocol</w:t>
              <w:br w:type="textWrapping"/>
              <w:t xml:space="preserve">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VM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Programming</w:t>
              <w:br w:type="textWrapping"/>
              <w:t xml:space="preserve">Technology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Go, Protobuf, 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 Sans SemiBold" w:cs="Nunito Sans SemiBold" w:eastAsia="Nunito Sans SemiBold" w:hAnsi="Nunito Sans SemiBold"/>
              </w:rPr>
            </w:pPr>
            <w:r w:rsidDel="00000000" w:rsidR="00000000" w:rsidRPr="00000000">
              <w:rPr>
                <w:rFonts w:ascii="Nunito Sans SemiBold" w:cs="Nunito Sans SemiBold" w:eastAsia="Nunito Sans SemiBold" w:hAnsi="Nunito Sans SemiBold"/>
                <w:rtl w:val="0"/>
              </w:rPr>
              <w:t xml:space="preserve">Solidity, WASM, AssemblyScript, etc.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SemiBold-regular.ttf"/><Relationship Id="rId2" Type="http://schemas.openxmlformats.org/officeDocument/2006/relationships/font" Target="fonts/NunitoSansSemiBold-bold.ttf"/><Relationship Id="rId3" Type="http://schemas.openxmlformats.org/officeDocument/2006/relationships/font" Target="fonts/NunitoSansSemiBold-italic.ttf"/><Relationship Id="rId4" Type="http://schemas.openxmlformats.org/officeDocument/2006/relationships/font" Target="fonts/NunitoSans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