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360" w:lineRule="auto" w:before="0" w:after="120"/>
        <w:jc w:val="center"/>
        <w:rPr>
          <w:rFonts w:ascii="Times New Roman" w:eastAsia="Times New Roman" w:hAnsi="Times New Roman" w:cs="Times New Roman"/>
          <w:b/>
          <w:sz w:val="32"/>
          <w:szCs w:val="32"/>
        </w:rPr>
      </w:pPr>
      <w:r/>
      <w:r>
        <w:rPr>
          <w:rFonts w:ascii="Times New Roman" w:hAnsi="Times New Roman"/>
          <w:b/>
          <w:i w:val="0"/>
          <w:sz w:val="32"/>
        </w:rPr>
        <w:t xml:space="preserve">   SMART HOUSEHOLD ENERGY MANAGER</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jc w:val="center"/>
        <w:tblInd w:w="720" w:type="dxa"/>
        <w:tblLook w:val="04A0" w:firstRow="1" w:lastRow="0" w:firstColumn="1" w:lastColumn="0" w:noHBand="0" w:noVBand="1"/>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315"/>
        <w:gridCol w:w="4315"/>
      </w:tblGrid>
      <w:tr w:rsidR="00012A8E" w:rsidRPr="00036EA1" w14:paraId="232428B4" w14:textId="77777777" w:rsidTr="00B75235">
        <w:tc>
          <w:tcPr>
            <w:tcW w:w="4675" w:type="dxa"/>
          </w:tcPr>
          <w:p w14:paraId="03A10CD2"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CHUKKA HARIKA</w:t>
            </w:r>
          </w:p>
          <w:p>
            <w:pPr>
              <w:spacing w:line="360" w:lineRule="auto" w:before="0" w:after="40"/>
              <w:jc w:val="left"/>
            </w:pPr>
            <w:r>
              <w:rPr>
                <w:rFonts w:ascii="Times New Roman" w:hAnsi="Times New Roman"/>
                <w:b w:val="0"/>
                <w:i w:val="0"/>
                <w:sz w:val="20"/>
              </w:rPr>
              <w:t>(24331A4223)</w:t>
            </w:r>
          </w:p>
        </w:tc>
        <w:tc>
          <w:tcPr>
            <w:tcW w:w="4675" w:type="dxa"/>
          </w:tcPr>
          <w:p w14:paraId="09374E80"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ARANGI LIKHITHA</w:t>
            </w:r>
          </w:p>
          <w:p>
            <w:pPr>
              <w:spacing w:line="360" w:lineRule="auto" w:before="0" w:after="40"/>
              <w:jc w:val="left"/>
            </w:pPr>
            <w:r>
              <w:rPr>
                <w:rFonts w:ascii="Times New Roman" w:hAnsi="Times New Roman"/>
                <w:b w:val="0"/>
                <w:i w:val="0"/>
                <w:sz w:val="20"/>
              </w:rPr>
              <w:t>(24331A4206)</w:t>
            </w:r>
          </w:p>
        </w:tc>
      </w:tr>
      <w:tr w:rsidR="00012A8E" w:rsidRPr="00036EA1" w14:paraId="08F0FF8F" w14:textId="77777777" w:rsidTr="00B75235">
        <w:tc>
          <w:tcPr>
            <w:tcW w:w="4675" w:type="dxa"/>
          </w:tcPr>
          <w:p w14:paraId="75BED183"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IJJU HEMANTH KUMAR</w:t>
            </w:r>
          </w:p>
          <w:p>
            <w:pPr>
              <w:spacing w:line="360" w:lineRule="auto" w:before="0" w:after="40"/>
              <w:jc w:val="left"/>
            </w:pPr>
            <w:r>
              <w:rPr>
                <w:rFonts w:ascii="Times New Roman" w:hAnsi="Times New Roman"/>
                <w:b w:val="0"/>
                <w:i w:val="0"/>
                <w:sz w:val="20"/>
              </w:rPr>
              <w:t>(24331A4235)</w:t>
            </w:r>
          </w:p>
        </w:tc>
        <w:tc>
          <w:tcPr>
            <w:tcW w:w="4675" w:type="dxa"/>
          </w:tcPr>
          <w:p w14:paraId="105E2FAC"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KUNA GOVARDHAN RAO</w:t>
            </w:r>
          </w:p>
          <w:p>
            <w:pPr>
              <w:spacing w:line="360" w:lineRule="auto" w:before="0" w:after="40"/>
              <w:jc w:val="left"/>
            </w:pPr>
            <w:r>
              <w:rPr>
                <w:rFonts w:ascii="Times New Roman" w:hAnsi="Times New Roman"/>
                <w:b w:val="0"/>
                <w:i w:val="0"/>
                <w:sz w:val="20"/>
              </w:rPr>
              <w:t>(24331A4256)</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120" w:line="360" w:lineRule="auto"/>
        <w:ind w:left="290"/>
        <w:jc w:val="right"/>
        <w:rPr>
          <w:rFonts w:ascii="Times New Roman" w:eastAsia="Times New Roman" w:hAnsi="Times New Roman" w:cs="Times New Roman"/>
          <w:b/>
          <w:color w:val="000000"/>
        </w:rPr>
      </w:pPr>
      <w:r/>
      <w:r>
        <w:rPr>
          <w:rFonts w:ascii="Times New Roman" w:hAnsi="Times New Roman"/>
          <w:b/>
          <w:i w:val="0"/>
          <w:sz w:val="24"/>
        </w:rPr>
        <w:t xml:space="preserve">                                                Mrs. N. Sushma Rani</w:t>
      </w:r>
    </w:p>
    <w:p w14:paraId="17ADFB8D" w14:textId="3BB9A887" w:rsidR="0031192F" w:rsidRPr="00036EA1" w:rsidRDefault="00000000" w:rsidP="00012A8E">
      <w:pPr>
        <w:widowControl w:val="0"/>
        <w:spacing w:line="360" w:lineRule="auto" w:before="0" w:after="120"/>
        <w:ind w:left="1238" w:right="610"/>
        <w:jc w:val="right"/>
        <w:rPr>
          <w:rFonts w:ascii="Times New Roman" w:eastAsia="Times New Roman" w:hAnsi="Times New Roman" w:cs="Times New Roman"/>
          <w:sz w:val="28"/>
          <w:szCs w:val="28"/>
        </w:rPr>
      </w:pPr>
      <w:r/>
      <w:r>
        <w:rPr>
          <w:rFonts w:ascii="Times New Roman" w:hAnsi="Times New Roman"/>
          <w:b w:val="0"/>
          <w:i w:val="0"/>
          <w:sz w:val="24"/>
        </w:rPr>
        <w:t xml:space="preserve">                                   Project Coordinator &amp; Assistant Professor</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before="0" w:after="120"/>
        <w:ind w:left="-142" w:right="-187" w:hanging="10"/>
        <w:jc w:val="both"/>
        <w:rPr>
          <w:rFonts w:ascii="Times New Roman" w:eastAsia="Times New Roman" w:hAnsi="Times New Roman" w:cs="Times New Roman"/>
          <w:color w:val="000000"/>
          <w:sz w:val="28"/>
          <w:szCs w:val="28"/>
        </w:rPr>
      </w:pPr>
      <w:r/>
      <w:r>
        <w:rPr>
          <w:rFonts w:ascii="Times New Roman" w:hAnsi="Times New Roman"/>
          <w:b w:val="0"/>
          <w:i w:val="0"/>
          <w:sz w:val="24"/>
        </w:rPr>
        <w:t>This is to certify that the project entitled “SMART HOUSEHOLD ENERGY MANAGER”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w:t>
      </w:r>
      <w:r w:rsidR="00B75235">
        <w:rPr>
          <w:rFonts w:ascii="Times New Roman" w:eastAsia="Times New Roman" w:hAnsi="Times New Roman" w:cs="Times New Roman"/>
          <w:color w:val="000000"/>
          <w:sz w:val="26"/>
          <w:szCs w:val="26"/>
        </w:rPr>
        <w:t xml:space="preserve">artment: </w:t>
      </w:r>
      <w:r w:rsidRPr="00036EA1">
        <w:rPr>
          <w:rFonts w:ascii="Times New Roman" w:eastAsia="Times New Roman" w:hAnsi="Times New Roman" w:cs="Times New Roman"/>
          <w:color w:val="000000"/>
          <w:sz w:val="26"/>
          <w:szCs w:val="26"/>
        </w:rPr>
        <w:t xml:space="preserve">Data Engineering.                                    </w:t>
      </w:r>
      <w:r w:rsidR="00B75235">
        <w:rPr>
          <w:rFonts w:ascii="Times New Roman" w:eastAsia="Times New Roman" w:hAnsi="Times New Roman" w:cs="Times New Roman"/>
          <w:color w:val="000000"/>
          <w:sz w:val="26"/>
          <w:szCs w:val="26"/>
        </w:rPr>
        <w:t xml:space="preserve">Department: </w:t>
      </w:r>
      <w:r w:rsidRPr="00036EA1">
        <w:rPr>
          <w:rFonts w:ascii="Times New Roman" w:eastAsia="Times New Roman" w:hAnsi="Times New Roman" w:cs="Times New Roman"/>
          <w:color w:val="000000"/>
          <w:sz w:val="26"/>
          <w:szCs w:val="26"/>
        </w:rPr>
        <w:t>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spacing w:line="360" w:lineRule="auto" w:before="0" w:after="120"/>
        <w:jc w:val="center"/>
        <w:rPr>
          <w:rFonts w:ascii="Times New Roman" w:hAnsi="Times New Roman" w:cs="Times New Roman"/>
          <w:b/>
          <w:smallCaps/>
          <w:color w:val="000000" w:themeColor="text1"/>
          <w:kern w:val="28"/>
          <w:sz w:val="24"/>
          <w:szCs w:val="24"/>
        </w:rPr>
      </w:pPr>
      <w:r/>
      <w:r>
        <w:rPr>
          <w:rFonts w:ascii="Times New Roman" w:hAnsi="Times New Roman"/>
          <w:b/>
          <w:i w:val="0"/>
          <w:sz w:val="32"/>
        </w:rPr>
        <w:t>We hereby declare that the work done on the dissertation entitled “SMART HOUSEHOLD ENERGY MANAGER”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CHUKKA HARIKA</w:t>
      </w:r>
    </w:p>
    <w:p w14:paraId="0494C68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(24331A4223)</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ARANGI LIKHITHA</w:t>
      </w:r>
    </w:p>
    <w:p w14:paraId="3500BF39"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(24331A4206)</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IJJU HEMANTH KUMAR</w:t>
      </w:r>
    </w:p>
    <w:p w14:paraId="4AF419BE"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(24331A4235)</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KUNA GOVARDHAN RAO</w:t>
      </w:r>
    </w:p>
    <w:p w14:paraId="458359E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(24331A4256)</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w:t>
      </w:r>
      <w:r w:rsidR="009821E0">
        <w:rPr>
          <w:rFonts w:ascii="Times New Roman" w:eastAsiaTheme="minorHAnsi" w:hAnsi="Times New Roman" w:cs="Times New Roman"/>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r w:rsidR="009821E0">
        <w:rPr>
          <w:rFonts w:ascii="Times New Roman" w:eastAsiaTheme="minorHAnsi" w:hAnsi="Times New Roman" w:cs="Times New Roman"/>
          <w:b/>
          <w:bCs/>
          <w:color w:val="000000" w:themeColor="text1"/>
          <w:sz w:val="24"/>
          <w:szCs w:val="24"/>
          <w:lang w:val="en-IN"/>
        </w:rPr>
        <w:t>______________________</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xml:space="preserve">. Finally, we appreciate the contributions of all those who directly or indirectly contributed to the successful execution of this </w:t>
      </w:r>
      <w:r w:rsidR="009821E0">
        <w:rPr>
          <w:rFonts w:ascii="Times New Roman" w:eastAsiaTheme="minorHAnsi" w:hAnsi="Times New Roman" w:cs="Times New Roman"/>
          <w:color w:val="000000" w:themeColor="text1"/>
          <w:sz w:val="24"/>
          <w:szCs w:val="24"/>
          <w:lang w:val="en-IN"/>
        </w:rPr>
        <w:t>endeavor</w:t>
      </w:r>
      <w:r w:rsidRPr="00036EA1">
        <w:rPr>
          <w:rFonts w:ascii="Times New Roman" w:eastAsiaTheme="minorHAnsi" w:hAnsi="Times New Roman" w:cs="Times New Roman"/>
          <w:color w:val="000000" w:themeColor="text1"/>
          <w:sz w:val="24"/>
          <w:szCs w:val="24"/>
          <w:lang w:val="en-IN"/>
        </w:rPr>
        <w:t>.</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
        <w:rPr>
          <w:rFonts w:ascii="Times New Roman" w:hAnsi="Times New Roman"/>
          <w:b w:val="0"/>
          <w:i w:val="0"/>
          <w:sz w:val="22"/>
        </w:rPr>
        <w:t xml:space="preserve">                                                                                                     CHUKKA HARIKA (24331A4223)</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ARANGI LIKHITHA (24331A4206)</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IJJU HEMANTH KUMAR (24331A4235)</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KUNA GOVARDHAN RAO (24331A4256)</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spacing w:line="360" w:lineRule="auto" w:before="0" w:after="120"/>
        <w:jc w:val="both"/>
        <w:rPr>
          <w:rFonts w:ascii="Times New Roman" w:eastAsia="Times New Roman" w:hAnsi="Times New Roman" w:cs="Times New Roman"/>
          <w:b/>
          <w:sz w:val="26"/>
          <w:szCs w:val="26"/>
        </w:rPr>
      </w:pPr>
      <w:r/>
      <w:r>
        <w:rPr>
          <w:rFonts w:ascii="Times New Roman" w:hAnsi="Times New Roman"/>
          <w:b w:val="0"/>
          <w:i w:val="0"/>
          <w:sz w:val="24"/>
        </w:rPr>
        <w:t>In the wake of rapid global urbanization, escalating climate variability, and the subsequent expansion of residential electricity consumption, domestic energy management has transitioned into a highly critical societal concern. Residential consumers are often hindered by a profound information gap; standard monthly utility invoices provide merely retrospective aggregated cost totals, offering no breakdown of where, when, and how energy is consumed. To resolve this persistent structural challenge, this project presents the "Smart Household Energy Manager", a secure, serverless single-page web dashboard designed to empower homeowners with granular energy intelligence and data-driven decision agency. Developed using React 19, TypeScript, and Tailwind CSS v4, and integrated with Google Firebase Cloud services, the system introduces a client-side Optical Character Recognition (OCR) pipeline driven by pdfjs-dist and Tesseract.js running inside background browser Web Workers. This pipeline processes scanned image and PDF invoices offline to protect user privacy. To safeguard backend credentials, the system proxies extraction structures to the Gemini API utilizing secure server-side Firebase Callable Cloud Functions. Key application features include an interactive appliance auditing wizard that models age-based mechanical efficiency degradation, a regional DISCOM tariff slab calculator synchronized with Cloud Firestore for real-time cost updates, and a PM Surya Ghar solar rooftop simulator. The solar module integrates a canvas-based 3D roof orientation and shading visualizer with a 25-year compounding ROI timeline that maps annual panel degradation, grid rate inflation, and battery chemistry lifecycles. Furthermore, a voice-enabled, context-aware AI chatbot provides hands-free support by querying active session variables and DISCOM settings to deliver custom advisories. The methodology was validated through an empirical baseline survey of 30 domestic connections under the APSPDCL zone, demonstrating that structured appliance auditing and load scheduling shift optimizations can scale cost savings from ₹250 to over ₹1,000 monthly. Ultimately, this software provides a highly engaging, responsive utility dashboard that accelerates solar adoption and mitigates domestic carbon emissions.</w:t>
      </w: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6FCD7831" w14:textId="77777777" w:rsidR="0010739D" w:rsidRDefault="0010739D">
      <w:pPr>
        <w:rPr>
          <w:rFonts w:ascii="Times New Roman" w:eastAsia="Times New Roman" w:hAnsi="Times New Roman" w:cs="Times New Roman"/>
          <w:b/>
          <w:sz w:val="26"/>
          <w:szCs w:val="26"/>
        </w:rPr>
      </w:pPr>
    </w:p>
    <w:p w14:paraId="7843E9EB" w14:textId="77777777" w:rsidR="0010739D" w:rsidRDefault="0010739D">
      <w:pPr>
        <w:rPr>
          <w:rFonts w:ascii="Times New Roman" w:eastAsia="Times New Roman" w:hAnsi="Times New Roman" w:cs="Times New Roman"/>
          <w:b/>
          <w:sz w:val="26"/>
          <w:szCs w:val="26"/>
        </w:rPr>
      </w:pPr>
    </w:p>
    <w:p w14:paraId="0947BAAD" w14:textId="77777777" w:rsidR="0010739D" w:rsidRDefault="0010739D">
      <w:pPr>
        <w:rPr>
          <w:rFonts w:ascii="Times New Roman" w:eastAsia="Times New Roman" w:hAnsi="Times New Roman" w:cs="Times New Roman"/>
          <w:b/>
          <w:sz w:val="26"/>
          <w:szCs w:val="26"/>
        </w:rPr>
      </w:pPr>
    </w:p>
    <w:p w14:paraId="371A109C" w14:textId="77777777" w:rsidR="0010739D" w:rsidRDefault="0010739D">
      <w:pPr>
        <w:rPr>
          <w:rFonts w:ascii="Times New Roman" w:eastAsia="Times New Roman" w:hAnsi="Times New Roman" w:cs="Times New Roman"/>
          <w:b/>
          <w:sz w:val="26"/>
          <w:szCs w:val="26"/>
        </w:rPr>
      </w:pPr>
    </w:p>
    <w:p w14:paraId="48F577B8" w14:textId="77777777" w:rsidR="0010739D" w:rsidRDefault="0010739D">
      <w:pPr>
        <w:rPr>
          <w:rFonts w:ascii="Times New Roman" w:eastAsia="Times New Roman" w:hAnsi="Times New Roman" w:cs="Times New Roman"/>
          <w:b/>
          <w:sz w:val="26"/>
          <w:szCs w:val="26"/>
        </w:rPr>
      </w:pPr>
    </w:p>
    <w:p w14:paraId="43A1B42D" w14:textId="77777777" w:rsidR="0010739D" w:rsidRDefault="0010739D">
      <w:pPr>
        <w:rPr>
          <w:rFonts w:ascii="Times New Roman" w:eastAsia="Times New Roman" w:hAnsi="Times New Roman" w:cs="Times New Roman"/>
          <w:b/>
          <w:sz w:val="26"/>
          <w:szCs w:val="26"/>
        </w:rPr>
      </w:pPr>
    </w:p>
    <w:p w14:paraId="23293D44" w14:textId="77777777" w:rsidR="0010739D" w:rsidRDefault="0010739D">
      <w:pPr>
        <w:rPr>
          <w:rFonts w:ascii="Times New Roman" w:eastAsia="Times New Roman" w:hAnsi="Times New Roman" w:cs="Times New Roman"/>
          <w:b/>
          <w:sz w:val="26"/>
          <w:szCs w:val="26"/>
        </w:rPr>
      </w:pPr>
    </w:p>
    <w:p w14:paraId="6997E484" w14:textId="77777777" w:rsidR="0010739D" w:rsidRDefault="0010739D">
      <w:pPr>
        <w:rPr>
          <w:rFonts w:ascii="Times New Roman" w:eastAsia="Times New Roman" w:hAnsi="Times New Roman" w:cs="Times New Roman"/>
          <w:b/>
          <w:sz w:val="26"/>
          <w:szCs w:val="26"/>
        </w:rPr>
      </w:pPr>
    </w:p>
    <w:p w14:paraId="7B0DCCEA" w14:textId="77777777" w:rsidR="0010739D" w:rsidRDefault="0010739D">
      <w:pPr>
        <w:rPr>
          <w:rFonts w:ascii="Times New Roman" w:eastAsia="Times New Roman" w:hAnsi="Times New Roman" w:cs="Times New Roman"/>
          <w:b/>
          <w:sz w:val="26"/>
          <w:szCs w:val="26"/>
        </w:rPr>
      </w:pPr>
    </w:p>
    <w:p w14:paraId="1E5766BF" w14:textId="77777777" w:rsidR="0010739D" w:rsidRDefault="0010739D">
      <w:pPr>
        <w:rPr>
          <w:rFonts w:ascii="Times New Roman" w:eastAsia="Times New Roman" w:hAnsi="Times New Roman" w:cs="Times New Roman"/>
          <w:b/>
          <w:sz w:val="26"/>
          <w:szCs w:val="26"/>
        </w:rPr>
      </w:pPr>
    </w:p>
    <w:p w14:paraId="0DD9B501" w14:textId="77777777" w:rsidR="0010739D" w:rsidRDefault="0010739D">
      <w:pPr>
        <w:rPr>
          <w:rFonts w:ascii="Times New Roman" w:eastAsia="Times New Roman" w:hAnsi="Times New Roman" w:cs="Times New Roman"/>
          <w:b/>
          <w:sz w:val="26"/>
          <w:szCs w:val="26"/>
        </w:rPr>
      </w:pPr>
    </w:p>
    <w:p w14:paraId="058E3E09" w14:textId="77777777" w:rsidR="0010739D" w:rsidRPr="00036EA1"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9821E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9821E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9821E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9821E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9821E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9821E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9821E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9821E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9821E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9821E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9821E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9821E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9821E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9821E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9821E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9821E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9821E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9821E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9821E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9821E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9821E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9821E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proofErr w:type="spellStart"/>
            <w:r w:rsidR="00644D5B" w:rsidRPr="00DF64BE">
              <w:rPr>
                <w:rFonts w:ascii="Times New Roman" w:eastAsia="Times New Roman" w:hAnsi="Times New Roman" w:cs="Times New Roman"/>
                <w:sz w:val="24"/>
                <w:szCs w:val="24"/>
                <w:lang w:val="en-IN"/>
              </w:rPr>
              <w:t>x.x</w:t>
            </w:r>
            <w:proofErr w:type="spellEnd"/>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proofErr w:type="spellStart"/>
            <w:r w:rsidRPr="00DF64BE">
              <w:rPr>
                <w:sz w:val="24"/>
                <w:szCs w:val="24"/>
                <w:lang w:val="en-IN"/>
              </w:rPr>
              <w:t>x.x</w:t>
            </w:r>
            <w:proofErr w:type="spellEnd"/>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pPr>
        <w:spacing w:line="360" w:lineRule="auto" w:before="360" w:after="240"/>
        <w:jc w:val="center"/>
        <w:keepNext/>
      </w:pPr>
      <w:r>
        <w:rPr>
          <w:rFonts w:ascii="Times New Roman" w:hAnsi="Times New Roman"/>
          <w:b/>
          <w:i w:val="0"/>
          <w:sz w:val="32"/>
        </w:rPr>
        <w:t>CHAPTER 1: INTRODUCTION</w:t>
      </w:r>
    </w:p>
    <w:p>
      <w:pPr>
        <w:spacing w:line="360" w:lineRule="auto" w:before="240" w:after="120"/>
        <w:jc w:val="left"/>
        <w:keepNext/>
      </w:pPr>
      <w:r>
        <w:rPr>
          <w:rFonts w:ascii="Times New Roman" w:hAnsi="Times New Roman"/>
          <w:b/>
          <w:i w:val="0"/>
          <w:sz w:val="28"/>
        </w:rPr>
        <w:t>1.1 Background of the Project</w:t>
      </w:r>
    </w:p>
    <w:p>
      <w:pPr>
        <w:spacing w:line="360" w:lineRule="auto" w:before="0" w:after="120"/>
        <w:jc w:val="both"/>
      </w:pPr>
      <w:r>
        <w:rPr>
          <w:rFonts w:ascii="Times New Roman" w:hAnsi="Times New Roman"/>
          <w:b w:val="0"/>
          <w:i w:val="0"/>
          <w:sz w:val="24"/>
        </w:rPr>
        <w:t>In the contemporary era of rapid urbanization, technological integration, and climate awareness, residential energy management has emerged as a critical domain of study. Globally, residential buildings account for a substantial percentage of total electricity consumption and greenhouse gas emissions. However, despite the criticality of domestic energy footprint reduction, residential consumers continue to experience a severe information deficit regarding their energy use. The standard monthly utility bill represents an aggregated, retrospective invoice. It details the total energy consumed in kilowatt-hours (kWh) and the final financial amount due, but it fails to provide any granular insight into where, when, and how this energy was utilized.</w:t>
      </w:r>
    </w:p>
    <w:p>
      <w:pPr>
        <w:spacing w:line="360" w:lineRule="auto" w:before="0" w:after="120"/>
        <w:jc w:val="both"/>
      </w:pPr>
      <w:r>
        <w:rPr>
          <w:rFonts w:ascii="Times New Roman" w:hAnsi="Times New Roman"/>
          <w:b w:val="0"/>
          <w:i w:val="0"/>
          <w:sz w:val="24"/>
        </w:rPr>
        <w:t>From the perspective of a consumer, a utility bill is an abstract financial obligation. There is a complete lack of visibility regarding individual appliance footprints, mechanical efficiency deterioration of older appliances, and the progressive math of tier-based electricity tariff rates. Furthermore, while the adoption of solar energy systems has been heavily incentivized by national initiatives (such as the PM Surya Ghar Muft Bijli Yojana), residential users are forced to rely on sales representatives or static, oversimplified online calculators to estimate solar feasibility. These estimators typically use flat average unit rates (e.g., flat ₹8 per unit) and assume uniform solar generation throughout the 25-year lifecycle. In reality, solar ROI is highly sensitive to multi-slab progressive domestic tariffs, system component degradation, regional panel orientations, local shading offsets, and rising maintenance costs.</w:t>
      </w:r>
    </w:p>
    <w:p>
      <w:pPr>
        <w:spacing w:line="360" w:lineRule="auto" w:before="0" w:after="120"/>
        <w:jc w:val="both"/>
      </w:pPr>
      <w:r>
        <w:rPr>
          <w:rFonts w:ascii="Times New Roman" w:hAnsi="Times New Roman"/>
          <w:b w:val="0"/>
          <w:i w:val="0"/>
          <w:sz w:val="24"/>
        </w:rPr>
        <w:t>To bridge this information asymmetry and empower homeowners with data-driven energy agency, the "Smart Household Energy Manager" project has been designed and implemented. It serves as a premium, secure, and interactive single-page application dashboard. The system integrates automated utility bill analysis, manual appliance load profiling, voice-activated context-aware AI chatbot consultation, dynamic 3D roof canvas visualizations, and a real-time database-driven regional tariff slab editor. By offering these features, the application shifts the paradigm from passive energy billing consumption to active conservation, load scheduling, and renewable energy adoption.</w:t>
      </w:r>
    </w:p>
    <w:p>
      <w:pPr>
        <w:spacing w:line="360" w:lineRule="auto" w:before="240" w:after="120"/>
        <w:jc w:val="left"/>
        <w:keepNext/>
      </w:pPr>
      <w:r>
        <w:rPr>
          <w:rFonts w:ascii="Times New Roman" w:hAnsi="Times New Roman"/>
          <w:b/>
          <w:i w:val="0"/>
          <w:sz w:val="28"/>
        </w:rPr>
        <w:t>1.2 Problem Statement</w:t>
      </w:r>
    </w:p>
    <w:p>
      <w:pPr>
        <w:spacing w:line="360" w:lineRule="auto" w:before="0" w:after="120"/>
        <w:jc w:val="both"/>
      </w:pPr>
      <w:r>
        <w:rPr>
          <w:rFonts w:ascii="Times New Roman" w:hAnsi="Times New Roman"/>
          <w:b w:val="0"/>
          <w:i w:val="0"/>
          <w:sz w:val="24"/>
        </w:rPr>
        <w:t>The domestic residential electricity sector is characterized by structural gaps in billing transparently and auditing capabilities: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Lack of Consumption Visibility:</w:t>
      </w:r>
      <w:r>
        <w:rPr>
          <w:rFonts w:ascii="Times New Roman" w:hAnsi="Times New Roman"/>
          <w:b w:val="0"/>
          <w:i w:val="0"/>
          <w:sz w:val="24"/>
        </w:rPr>
        <w:t xml:space="preserve"> Standard billing structures do not decompose total household consumption. Homeowners cannot distinguish between the baseline consumption of continuous appliances (like refrigerators) and the periodic loads of high-draw appliances (like air conditioners, water pumps, and space heaters). This prevents consumers from identifying "energy hogs" and modifying their usage schedules.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Appliance Mechanical Decay Ignored:</w:t>
      </w:r>
      <w:r>
        <w:rPr>
          <w:rFonts w:ascii="Times New Roman" w:hAnsi="Times New Roman"/>
          <w:b w:val="0"/>
          <w:i w:val="0"/>
          <w:sz w:val="24"/>
        </w:rPr>
        <w:t xml:space="preserve"> High-load motor-driven appliances, specifically compressors in refrigerators and air conditioners, degrade in efficiency as they age due to mechanical wear and tear, coil dust accumulation, and refrigerant pressure decay. Existing calculators use static nominal wattages, thereby ignoring the dynamic efficiency decay which can increase real consumption by 2% to 5% annually, leading to unexpected utility bill hikes.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Complex Multi-Slab Tariff Progressive Calculations:</w:t>
      </w:r>
      <w:r>
        <w:rPr>
          <w:rFonts w:ascii="Times New Roman" w:hAnsi="Times New Roman"/>
          <w:b w:val="0"/>
          <w:i w:val="0"/>
          <w:sz w:val="24"/>
        </w:rPr>
        <w:t xml:space="preserve"> State electricity distribution companies (DISCOMs) implement progressive, tier-based billing structures where unit rates scale exponentially with total consumption. For instance, the rate under a typical DISCOM like APSPDCL or TSSPDCL may be ₹3 per unit for the first 50 units but scale to ₹8 or ₹10 per unit once consumption exceeds 200 units. Additionally, fixed meter charges, dynamic fuel cost adjustments (FCA), and electricity duties make manual calculations extremely complex.</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Oversimplified Solar Feasibility Assessments:</w:t>
      </w:r>
      <w:r>
        <w:rPr>
          <w:rFonts w:ascii="Times New Roman" w:hAnsi="Times New Roman"/>
          <w:b w:val="0"/>
          <w:i w:val="0"/>
          <w:sz w:val="24"/>
        </w:rPr>
        <w:t xml:space="preserve"> Standard solar estimators ignore local physical parameters (such as roof orientation, tilt angles, and panel shading factors) and financial compounding factors (such as panel efficiency degradation, utility rate inflation, and battery chemistry costs). This leads to highly inaccurate payback estimates, creating hesitation in solar investment.</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Inefficient Load Scheduling:</w:t>
      </w:r>
      <w:r>
        <w:rPr>
          <w:rFonts w:ascii="Times New Roman" w:hAnsi="Times New Roman"/>
          <w:b w:val="0"/>
          <w:i w:val="0"/>
          <w:sz w:val="24"/>
        </w:rPr>
        <w:t xml:space="preserve"> Residential users typically run heavy loads during peak hours (e.g. evening geyser and AC usage), placing severe strain on the local electrical grid and forcing the user into the highest progressive billing slabs. There is no automated advisory mechanism to suggest time-of-day (TOD) scheduling shifts to reduce costs.</w:t>
      </w:r>
    </w:p>
    <w:p>
      <w:pPr>
        <w:spacing w:line="360" w:lineRule="auto" w:before="240" w:after="120"/>
        <w:jc w:val="left"/>
        <w:keepNext/>
      </w:pPr>
      <w:r>
        <w:rPr>
          <w:rFonts w:ascii="Times New Roman" w:hAnsi="Times New Roman"/>
          <w:b/>
          <w:i w:val="0"/>
          <w:sz w:val="28"/>
        </w:rPr>
        <w:t>1.3 Proposed System</w:t>
      </w:r>
    </w:p>
    <w:p>
      <w:pPr>
        <w:spacing w:line="360" w:lineRule="auto" w:before="0" w:after="120"/>
        <w:jc w:val="both"/>
      </w:pPr>
      <w:r>
        <w:rPr>
          <w:rFonts w:ascii="Times New Roman" w:hAnsi="Times New Roman"/>
          <w:b w:val="0"/>
          <w:i w:val="0"/>
          <w:sz w:val="24"/>
        </w:rPr>
        <w:t>The proposed "Smart Household Energy Manager" is a premium, web-based software dashboard that resolves these operational challenges through a modular, client-side single-page application architecture integrated with Cloud Firebase services. The core components of the system include: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Interactive Appliance Audit Wizard:</w:t>
      </w:r>
      <w:r>
        <w:rPr>
          <w:rFonts w:ascii="Times New Roman" w:hAnsi="Times New Roman"/>
          <w:b w:val="0"/>
          <w:i w:val="0"/>
          <w:sz w:val="24"/>
        </w:rPr>
        <w:t xml:space="preserve"> A step-by-step assistant that guides the user in logging household appliances, quantities, age, and hours of use. The underlying engine computes energy health indexes, ranks energy hogs, and projects baseline bills.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Smart Solar ROI Calculator:</w:t>
      </w:r>
      <w:r>
        <w:rPr>
          <w:rFonts w:ascii="Times New Roman" w:hAnsi="Times New Roman"/>
          <w:b w:val="0"/>
          <w:i w:val="0"/>
          <w:sz w:val="24"/>
        </w:rPr>
        <w:t xml:space="preserve"> A dynamic financial forecasting compiler that computes 25-year cash flows, modeling compounding variables such as annual panel degradation, utility rate inflation, maintenance escalations, and battery chemistry lifecycle costs. It includes an interactive 3D roof canvas to visualize layout and orientation.</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 Bill Analyzer:</w:t>
      </w:r>
      <w:r>
        <w:rPr>
          <w:rFonts w:ascii="Times New Roman" w:hAnsi="Times New Roman"/>
          <w:b w:val="0"/>
          <w:i w:val="0"/>
          <w:sz w:val="24"/>
        </w:rPr>
        <w:t xml:space="preserve"> An upload portal utilizing client-side Optical Character Recognition (OCR) via Tesseract.js and PDF text extraction via PDF.js. It extracts billing metadata and passes the cleaned string to the Gemini API (via a secure Firebase Callable function proxy) to return structured JSON data representing slab breakdowns and carbon footprint offsets.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Regional DISCOM Tariff Manager:</w:t>
      </w:r>
      <w:r>
        <w:rPr>
          <w:rFonts w:ascii="Times New Roman" w:hAnsi="Times New Roman"/>
          <w:b w:val="0"/>
          <w:i w:val="0"/>
          <w:sz w:val="24"/>
        </w:rPr>
        <w:t xml:space="preserve"> An administrative interface connected to a Cloud Firestore database, allowing real-time modification of slab rates, fixed charges, taxes, and subsidies. The application context automatically synchronized updates to all users without requiring a codebase rebuild.</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Voice-Enabled Context-Aware AI Chatbot:</w:t>
      </w:r>
      <w:r>
        <w:rPr>
          <w:rFonts w:ascii="Times New Roman" w:hAnsi="Times New Roman"/>
          <w:b w:val="0"/>
          <w:i w:val="0"/>
          <w:sz w:val="24"/>
        </w:rPr>
        <w:t xml:space="preserve"> A speech-integrated conversational assistant that reads active session parameters (e.g., active billing units or appliance configuration) and Firestore configurations to answer queries and read advice aloud.</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Multi-Route Architecture:</w:t>
      </w:r>
      <w:r>
        <w:rPr>
          <w:rFonts w:ascii="Times New Roman" w:hAnsi="Times New Roman"/>
          <w:b w:val="0"/>
          <w:i w:val="0"/>
          <w:sz w:val="24"/>
        </w:rPr>
        <w:t xml:space="preserve"> Built with React Router DOM v7 and protected routing guards, wrapped individually with React Error Boundaries for robust application fault-recovery.</w:t>
      </w:r>
    </w:p>
    <w:p>
      <w:pPr>
        <w:spacing w:line="360" w:lineRule="auto" w:before="240" w:after="120"/>
        <w:jc w:val="left"/>
        <w:keepNext/>
      </w:pPr>
      <w:r>
        <w:rPr>
          <w:rFonts w:ascii="Times New Roman" w:hAnsi="Times New Roman"/>
          <w:b/>
          <w:i w:val="0"/>
          <w:sz w:val="28"/>
        </w:rPr>
        <w:t>1.4 Project Objectives</w:t>
      </w:r>
    </w:p>
    <w:p>
      <w:pPr>
        <w:spacing w:line="360" w:lineRule="auto" w:before="0" w:after="120"/>
        <w:jc w:val="both"/>
      </w:pPr>
      <w:r>
        <w:rPr>
          <w:rFonts w:ascii="Times New Roman" w:hAnsi="Times New Roman"/>
          <w:b w:val="0"/>
          <w:i w:val="0"/>
          <w:sz w:val="24"/>
        </w:rPr>
        <w:t>The primary objectives of the Smart Household Energy Manager project are:</w:t>
      </w:r>
    </w:p>
    <w:p>
      <w:pPr>
        <w:spacing w:line="360" w:lineRule="auto" w:before="80" w:after="80"/>
        <w:jc w:val="both"/>
      </w:pPr>
      <w:r>
        <w:rPr>
          <w:rFonts w:ascii="Times New Roman" w:hAnsi="Times New Roman"/>
          <w:b w:val="0"/>
          <w:i w:val="0"/>
          <w:sz w:val="24"/>
        </w:rPr>
        <w:t>1. To design and implement a high-fidelity, responsive, glassmorphic single-page application that simplifies domestic energy management for residential homeowners.</w:t>
      </w:r>
    </w:p>
    <w:p>
      <w:pPr>
        <w:spacing w:line="360" w:lineRule="auto" w:before="80" w:after="80"/>
        <w:jc w:val="both"/>
      </w:pPr>
      <w:r>
        <w:rPr>
          <w:rFonts w:ascii="Times New Roman" w:hAnsi="Times New Roman"/>
          <w:b w:val="0"/>
          <w:i w:val="0"/>
          <w:sz w:val="24"/>
        </w:rPr>
        <w:t>2. To build a client-side Optical Character Recognition (OCR) pipeline using Tesseract.js and PDF.js to extract billing parameters from scanned invoices and PDFs in under 10 seconds.</w:t>
      </w:r>
    </w:p>
    <w:p>
      <w:pPr>
        <w:spacing w:line="360" w:lineRule="auto" w:before="80" w:after="80"/>
        <w:jc w:val="both"/>
      </w:pPr>
      <w:r>
        <w:rPr>
          <w:rFonts w:ascii="Times New Roman" w:hAnsi="Times New Roman"/>
          <w:b w:val="0"/>
          <w:i w:val="0"/>
          <w:sz w:val="24"/>
        </w:rPr>
        <w:t>3. To develop a progressive slab-rate calculation engine that models regional DISCOM tariff rules, subsidies, fixed meter fees, and electricity taxes with 100% mathematical precision.</w:t>
      </w:r>
    </w:p>
    <w:p>
      <w:pPr>
        <w:spacing w:line="360" w:lineRule="auto" w:before="80" w:after="80"/>
        <w:jc w:val="both"/>
      </w:pPr>
      <w:r>
        <w:rPr>
          <w:rFonts w:ascii="Times New Roman" w:hAnsi="Times New Roman"/>
          <w:b w:val="0"/>
          <w:i w:val="0"/>
          <w:sz w:val="24"/>
        </w:rPr>
        <w:t>4. To implement a 25-year solar ROI forecasting model that compound annual panel degradation (0.5% to 2%), utility rate inflation (0% to 15%), and maintenance indexes to calculate payback break-even timelines.</w:t>
      </w:r>
    </w:p>
    <w:p>
      <w:pPr>
        <w:spacing w:line="360" w:lineRule="auto" w:before="80" w:after="80"/>
        <w:jc w:val="both"/>
      </w:pPr>
      <w:r>
        <w:rPr>
          <w:rFonts w:ascii="Times New Roman" w:hAnsi="Times New Roman"/>
          <w:b w:val="0"/>
          <w:i w:val="0"/>
          <w:sz w:val="24"/>
        </w:rPr>
        <w:t>5. To create a 3D visual roof canvas using WebGL/Canvas to simulate solar panel placement, tilt angles, orientation (South, East, West), and shading offsets.</w:t>
      </w:r>
    </w:p>
    <w:p>
      <w:pPr>
        <w:spacing w:line="360" w:lineRule="auto" w:before="80" w:after="80"/>
        <w:jc w:val="both"/>
      </w:pPr>
      <w:r>
        <w:rPr>
          <w:rFonts w:ascii="Times New Roman" w:hAnsi="Times New Roman"/>
          <w:b w:val="0"/>
          <w:i w:val="0"/>
          <w:sz w:val="24"/>
        </w:rPr>
        <w:t>6. To design an appliance load auditing wizard that incorporates age-based efficiency decay and outputs prioritized conservation strategies sorted by difficulty and savings.</w:t>
      </w:r>
    </w:p>
    <w:p>
      <w:pPr>
        <w:spacing w:line="360" w:lineRule="auto" w:before="80" w:after="80"/>
        <w:jc w:val="both"/>
      </w:pPr>
      <w:r>
        <w:rPr>
          <w:rFonts w:ascii="Times New Roman" w:hAnsi="Times New Roman"/>
          <w:b w:val="0"/>
          <w:i w:val="0"/>
          <w:sz w:val="24"/>
        </w:rPr>
        <w:t>7. To integrate an AI chatbot that utilizes natural language processing and Web Speech synthesis to deliver context-aware, voice-enabled energy saving advisories.</w:t>
      </w:r>
    </w:p>
    <w:p>
      <w:pPr>
        <w:spacing w:line="360" w:lineRule="auto" w:before="80" w:after="80"/>
        <w:jc w:val="both"/>
      </w:pPr>
      <w:r>
        <w:rPr>
          <w:rFonts w:ascii="Times New Roman" w:hAnsi="Times New Roman"/>
          <w:b w:val="0"/>
          <w:i w:val="0"/>
          <w:sz w:val="24"/>
        </w:rPr>
        <w:t>8. To secure user data collections using Firebase Authentication and Firestore Security Rules, ensuring isolated document read/write boundaries.</w:t>
      </w:r>
    </w:p>
    <w:p>
      <w:pPr>
        <w:spacing w:line="360" w:lineRule="auto" w:before="240" w:after="120"/>
        <w:jc w:val="left"/>
        <w:keepNext/>
      </w:pPr>
      <w:r>
        <w:rPr>
          <w:rFonts w:ascii="Times New Roman" w:hAnsi="Times New Roman"/>
          <w:b/>
          <w:i w:val="0"/>
          <w:sz w:val="28"/>
        </w:rPr>
        <w:t>1.5 Scope of the Project</w:t>
      </w:r>
    </w:p>
    <w:p>
      <w:pPr>
        <w:spacing w:line="360" w:lineRule="auto" w:before="0" w:after="120"/>
        <w:jc w:val="both"/>
      </w:pPr>
      <w:r>
        <w:rPr>
          <w:rFonts w:ascii="Times New Roman" w:hAnsi="Times New Roman"/>
          <w:b w:val="0"/>
          <w:i w:val="0"/>
          <w:sz w:val="24"/>
        </w:rPr>
        <w:t>The scope of the project encompasses the design, development, local testing, and hosting deployment of the Smart Household Energy Manager: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Target Users:</w:t>
      </w:r>
      <w:r>
        <w:rPr>
          <w:rFonts w:ascii="Times New Roman" w:hAnsi="Times New Roman"/>
          <w:b w:val="0"/>
          <w:i w:val="0"/>
          <w:sz w:val="24"/>
        </w:rPr>
        <w:t xml:space="preserve"> Homeowners, tenants, energy consultants, rooftop solar installation companies, and community energy auditors.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Supported Platforms:</w:t>
      </w:r>
      <w:r>
        <w:rPr>
          <w:rFonts w:ascii="Times New Roman" w:hAnsi="Times New Roman"/>
          <w:b w:val="0"/>
          <w:i w:val="0"/>
          <w:sz w:val="24"/>
        </w:rPr>
        <w:t xml:space="preserve"> Responsive design optimized for modern browsers (Chrome, Edge, Safari, Firefox) on desktop monitors, laptops, tablets, and mobile smartphones.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Database Architecture:</w:t>
      </w:r>
      <w:r>
        <w:rPr>
          <w:rFonts w:ascii="Times New Roman" w:hAnsi="Times New Roman"/>
          <w:b w:val="0"/>
          <w:i w:val="0"/>
          <w:sz w:val="24"/>
        </w:rPr>
        <w:t xml:space="preserve"> Serverless document database (Firebase Firestore) managing read/write synchronization of tariff lists, user settings, audit logs, and bill histories.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Mathematical Modeling:</w:t>
      </w:r>
      <w:r>
        <w:rPr>
          <w:rFonts w:ascii="Times New Roman" w:hAnsi="Times New Roman"/>
          <w:b w:val="0"/>
          <w:i w:val="0"/>
          <w:sz w:val="24"/>
        </w:rPr>
        <w:t xml:space="preserve"> Extraction of 25-year ROI compounding calculations, appliance age-based power consumption modeling, and carbon footprint CO2 emissions offsets.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Client-Side Heavy Processing:</w:t>
      </w:r>
      <w:r>
        <w:rPr>
          <w:rFonts w:ascii="Times New Roman" w:hAnsi="Times New Roman"/>
          <w:b w:val="0"/>
          <w:i w:val="0"/>
          <w:sz w:val="24"/>
        </w:rPr>
        <w:t xml:space="preserve"> Web Worker-based OCR text recognition, client-side PDF document parsing, and canvas-based 3D panel rendering.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Security Scope:</w:t>
      </w:r>
      <w:r>
        <w:rPr>
          <w:rFonts w:ascii="Times New Roman" w:hAnsi="Times New Roman"/>
          <w:b w:val="0"/>
          <w:i w:val="0"/>
          <w:sz w:val="24"/>
        </w:rPr>
        <w:t xml:space="preserve"> SSL encryption, Firestore access tokens, secure server-side Firebase Cloud Function proxying for the Gemini API key, and class-based React Error Boundaries to prevent runtime crashes.</w:t>
      </w:r>
    </w:p>
    <w:p>
      <w:pPr>
        <w:spacing w:line="360" w:lineRule="auto" w:before="240" w:after="120"/>
        <w:jc w:val="left"/>
        <w:keepNext/>
      </w:pPr>
      <w:r>
        <w:rPr>
          <w:rFonts w:ascii="Times New Roman" w:hAnsi="Times New Roman"/>
          <w:b/>
          <w:i w:val="0"/>
          <w:sz w:val="28"/>
        </w:rPr>
        <w:t>1.6 Advantages of the System</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Premium Glassmorphic UI:</w:t>
      </w:r>
      <w:r>
        <w:rPr>
          <w:rFonts w:ascii="Times New Roman" w:hAnsi="Times New Roman"/>
          <w:b w:val="0"/>
          <w:i w:val="0"/>
          <w:sz w:val="24"/>
        </w:rPr>
        <w:t xml:space="preserve"> Visual appearance designed with modern styling guidelines (Tailwind CSS, custom mesh gradients, specular overlays, sliding spring highlights) to increase engagement.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Zero Server Costs:</w:t>
      </w:r>
      <w:r>
        <w:rPr>
          <w:rFonts w:ascii="Times New Roman" w:hAnsi="Times New Roman"/>
          <w:b w:val="0"/>
          <w:i w:val="0"/>
          <w:sz w:val="24"/>
        </w:rPr>
        <w:t xml:space="preserve"> Built using a client-side architecture and serverless Firebase backend, making deployment scalable and cost-free.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Real-Time Calculations:</w:t>
      </w:r>
      <w:r>
        <w:rPr>
          <w:rFonts w:ascii="Times New Roman" w:hAnsi="Times New Roman"/>
          <w:b w:val="0"/>
          <w:i w:val="0"/>
          <w:sz w:val="24"/>
        </w:rPr>
        <w:t xml:space="preserve"> React's reactive state handles recalculations instantly when sliders are dragged, providing immediate visual feedback.</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Offline Sandboxing Fallback:</w:t>
      </w:r>
      <w:r>
        <w:rPr>
          <w:rFonts w:ascii="Times New Roman" w:hAnsi="Times New Roman"/>
          <w:b w:val="0"/>
          <w:i w:val="0"/>
          <w:sz w:val="24"/>
        </w:rPr>
        <w:t xml:space="preserve"> Automatically detects missing network keys and switches to local-storage mocking, enabling offline development and testing.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Actionable Advisory:</w:t>
      </w:r>
      <w:r>
        <w:rPr>
          <w:rFonts w:ascii="Times New Roman" w:hAnsi="Times New Roman"/>
          <w:b w:val="0"/>
          <w:i w:val="0"/>
          <w:sz w:val="24"/>
        </w:rPr>
        <w:t xml:space="preserve"> Translates raw kilowatt-hours into concrete, sorted instructions (High/Medium/Low priority saving tasks) accompanied by annual savings in rupees.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API Architecture:</w:t>
      </w:r>
      <w:r>
        <w:rPr>
          <w:rFonts w:ascii="Times New Roman" w:hAnsi="Times New Roman"/>
          <w:b w:val="0"/>
          <w:i w:val="0"/>
          <w:sz w:val="24"/>
        </w:rPr>
        <w:t xml:space="preserve"> Ensures VITE_GEMINI_API_KEY is not exposed in production client bundles by utilizing a Cloud Function proxy on the Blaze plan.</w:t>
      </w:r>
    </w:p>
    <w:p>
      <w:pPr>
        <w:spacing w:line="360" w:lineRule="auto" w:before="240" w:after="120"/>
        <w:jc w:val="left"/>
        <w:keepNext/>
      </w:pPr>
      <w:r>
        <w:rPr>
          <w:rFonts w:ascii="Times New Roman" w:hAnsi="Times New Roman"/>
          <w:b/>
          <w:i w:val="0"/>
          <w:sz w:val="28"/>
        </w:rPr>
        <w:t>1.7 Limitations of the Project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Hardware Integration Gaps:</w:t>
      </w:r>
      <w:r>
        <w:rPr>
          <w:rFonts w:ascii="Times New Roman" w:hAnsi="Times New Roman"/>
          <w:b w:val="0"/>
          <w:i w:val="0"/>
          <w:sz w:val="24"/>
        </w:rPr>
        <w:t xml:space="preserve"> The system is software-based and relies on manual appliance logging or bill uploads rather than real-time IoT smart plug telemetry.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Static Solar Generation Assumptions:</w:t>
      </w:r>
      <w:r>
        <w:rPr>
          <w:rFonts w:ascii="Times New Roman" w:hAnsi="Times New Roman"/>
          <w:b w:val="0"/>
          <w:i w:val="0"/>
          <w:sz w:val="24"/>
        </w:rPr>
        <w:t xml:space="preserve"> Regional solar generation estimates are modeled based on standard solar coefficients rather than integrating real-time regional weather APIs.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Tesseract OCR Limits:</w:t>
      </w:r>
      <w:r>
        <w:rPr>
          <w:rFonts w:ascii="Times New Roman" w:hAnsi="Times New Roman"/>
          <w:b w:val="0"/>
          <w:i w:val="0"/>
          <w:sz w:val="24"/>
        </w:rPr>
        <w:t xml:space="preserve"> Scanned bills must be of moderate legibility; heavily crumpled, low-contrast, or blurred photos may require manual correction.</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Browser Web Speech Support:</w:t>
      </w:r>
      <w:r>
        <w:rPr>
          <w:rFonts w:ascii="Times New Roman" w:hAnsi="Times New Roman"/>
          <w:b w:val="0"/>
          <w:i w:val="0"/>
          <w:sz w:val="24"/>
        </w:rPr>
        <w:t xml:space="preserve"> Speech synthesis and recognition rely on native browser Web Speech API implementations, which vary across mobile browsers.</w:t>
      </w:r>
    </w:p>
    <w:p>
      <w:pPr>
        <w:spacing w:line="360" w:lineRule="auto" w:before="240" w:after="120"/>
        <w:jc w:val="left"/>
        <w:keepNext/>
      </w:pPr>
      <w:r>
        <w:rPr>
          <w:rFonts w:ascii="Times New Roman" w:hAnsi="Times New Roman"/>
          <w:b/>
          <w:i w:val="0"/>
          <w:sz w:val="28"/>
        </w:rPr>
        <w:t>1.8 Organization of the Report</w:t>
      </w:r>
    </w:p>
    <w:p>
      <w:pPr>
        <w:spacing w:line="360" w:lineRule="auto" w:before="0" w:after="120"/>
        <w:jc w:val="both"/>
      </w:pPr>
      <w:r>
        <w:rPr>
          <w:rFonts w:ascii="Times New Roman" w:hAnsi="Times New Roman"/>
          <w:b w:val="0"/>
          <w:i w:val="0"/>
          <w:sz w:val="24"/>
        </w:rPr>
        <w:t>This report is structured into ten comprehensive chapters: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 (Introduction):</w:t>
      </w:r>
      <w:r>
        <w:rPr>
          <w:rFonts w:ascii="Times New Roman" w:hAnsi="Times New Roman"/>
          <w:b w:val="0"/>
          <w:i w:val="0"/>
          <w:sz w:val="24"/>
        </w:rPr>
        <w:t xml:space="preserve"> Introduces the background, core problem statements, proposed software architecture, project objectives, advantages, and limitations.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2 (Literature Survey):</w:t>
      </w:r>
      <w:r>
        <w:rPr>
          <w:rFonts w:ascii="Times New Roman" w:hAnsi="Times New Roman"/>
          <w:b w:val="0"/>
          <w:i w:val="0"/>
          <w:sz w:val="24"/>
        </w:rPr>
        <w:t xml:space="preserve"> Reviews current hardware monitors, online solar calculators, and DISCOM portals, outlining their features and limitations in a comparative matrix.</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3 (Data Used &amp; Requirements):</w:t>
      </w:r>
      <w:r>
        <w:rPr>
          <w:rFonts w:ascii="Times New Roman" w:hAnsi="Times New Roman"/>
          <w:b w:val="0"/>
          <w:i w:val="0"/>
          <w:sz w:val="24"/>
        </w:rPr>
        <w:t xml:space="preserve"> Details data gathering surveys, functional and non-functional requirements, and tech stack comparison tables.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4 (Methodology / System Design):</w:t>
      </w:r>
      <w:r>
        <w:rPr>
          <w:rFonts w:ascii="Times New Roman" w:hAnsi="Times New Roman"/>
          <w:b w:val="0"/>
          <w:i w:val="0"/>
          <w:sz w:val="24"/>
        </w:rPr>
        <w:t xml:space="preserve"> Explains system architecture, DFDs, ERDs, Firestore schemas, 3D roof canvas math, and ROI compounding equations.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5 (Implementation):</w:t>
      </w:r>
      <w:r>
        <w:rPr>
          <w:rFonts w:ascii="Times New Roman" w:hAnsi="Times New Roman"/>
          <w:b w:val="0"/>
          <w:i w:val="0"/>
          <w:sz w:val="24"/>
        </w:rPr>
        <w:t xml:space="preserve"> Deconstructs individual pages and component code, covering Authentication, Dashboard, Solar ROI, OCR Parser, Settings, and Chatbot.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6 (Results / Outputs):</w:t>
      </w:r>
      <w:r>
        <w:rPr>
          <w:rFonts w:ascii="Times New Roman" w:hAnsi="Times New Roman"/>
          <w:b w:val="0"/>
          <w:i w:val="0"/>
          <w:sz w:val="24"/>
        </w:rPr>
        <w:t xml:space="preserve"> Illustrates the user interface pages with embedded screenshots and walkthrough descriptions of calculations.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7 (Impact Assessment):</w:t>
      </w:r>
      <w:r>
        <w:rPr>
          <w:rFonts w:ascii="Times New Roman" w:hAnsi="Times New Roman"/>
          <w:b w:val="0"/>
          <w:i w:val="0"/>
          <w:sz w:val="24"/>
        </w:rPr>
        <w:t xml:space="preserve"> Analyzes the social, environmental (carbon footprint reductions), and financial impacts of household audits.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8 (Challenges &amp; Testing):</w:t>
      </w:r>
      <w:r>
        <w:rPr>
          <w:rFonts w:ascii="Times New Roman" w:hAnsi="Times New Roman"/>
          <w:b w:val="0"/>
          <w:i w:val="0"/>
          <w:sz w:val="24"/>
        </w:rPr>
        <w:t xml:space="preserve"> Outlines technical hurdles (state sync, re-render lag) and presents a comprehensive table of test cases and validation scripts.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9 (Conclusion):</w:t>
      </w:r>
      <w:r>
        <w:rPr>
          <w:rFonts w:ascii="Times New Roman" w:hAnsi="Times New Roman"/>
          <w:b w:val="0"/>
          <w:i w:val="0"/>
          <w:sz w:val="24"/>
        </w:rPr>
        <w:t xml:space="preserve"> Summarizes findings, system achievements, and project results.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10 (Future Work):</w:t>
      </w:r>
      <w:r>
        <w:rPr>
          <w:rFonts w:ascii="Times New Roman" w:hAnsi="Times New Roman"/>
          <w:b w:val="0"/>
          <w:i w:val="0"/>
          <w:sz w:val="24"/>
        </w:rPr>
        <w:t xml:space="preserve"> Proposes future improvements (IoT plugs, live API syncing, and advanced 3D shading).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Appendices &amp; References:</w:t>
      </w:r>
      <w:r>
        <w:rPr>
          <w:rFonts w:ascii="Times New Roman" w:hAnsi="Times New Roman"/>
          <w:b w:val="0"/>
          <w:i w:val="0"/>
          <w:sz w:val="24"/>
        </w:rPr>
        <w:t xml:space="preserve"> Contains IEEE reference listings, package lists, and App.tsx router code.</w:t>
      </w:r>
    </w:p>
    <w:p>
      <w:pPr>
        <w:spacing w:line="360" w:lineRule="auto" w:before="360" w:after="240"/>
        <w:jc w:val="center"/>
        <w:keepNext/>
      </w:pPr>
      <w:r>
        <w:rPr>
          <w:rFonts w:ascii="Times New Roman" w:hAnsi="Times New Roman"/>
          <w:b/>
          <w:i w:val="0"/>
          <w:sz w:val="32"/>
        </w:rPr>
        <w:t>CHAPTER 2: LITERATURE SURVEY</w:t>
      </w:r>
    </w:p>
    <w:p>
      <w:pPr>
        <w:spacing w:line="360" w:lineRule="auto" w:before="240" w:after="120"/>
        <w:jc w:val="left"/>
        <w:keepNext/>
      </w:pPr>
      <w:r>
        <w:rPr>
          <w:rFonts w:ascii="Times New Roman" w:hAnsi="Times New Roman"/>
          <w:b/>
          <w:i w:val="0"/>
          <w:sz w:val="28"/>
        </w:rPr>
        <w:t>2.1 Overview of Existing Systems</w:t>
      </w:r>
    </w:p>
    <w:p>
      <w:pPr>
        <w:spacing w:line="360" w:lineRule="auto" w:before="0" w:after="120"/>
        <w:jc w:val="both"/>
      </w:pPr>
      <w:r>
        <w:rPr>
          <w:rFonts w:ascii="Times New Roman" w:hAnsi="Times New Roman"/>
          <w:b w:val="0"/>
          <w:i w:val="0"/>
          <w:sz w:val="24"/>
        </w:rPr>
        <w:t>To contextualize the development of the Smart Household Energy Manager, a comprehensive literature survey was conducted to evaluate existing energy monitoring, auditing, and solar ROI estimation tools. These systems generally fall into three main categories: hardware-based energy monitors, utility-provided consumer portals, and static online solar ROI calculators. We analyze their features, architectural structures, advantages, and limitations below.</w:t>
      </w:r>
    </w:p>
    <w:p>
      <w:pPr>
        <w:spacing w:line="360" w:lineRule="auto" w:before="120" w:after="80"/>
        <w:jc w:val="left"/>
        <w:keepNext/>
      </w:pPr>
      <w:r>
        <w:rPr>
          <w:rFonts w:ascii="Times New Roman" w:hAnsi="Times New Roman"/>
          <w:b/>
          <w:i w:val="0"/>
          <w:sz w:val="24"/>
        </w:rPr>
        <w:t>2.1.1 Hardware-Based Energy Monitors (IoT Solutions)</w:t>
      </w:r>
    </w:p>
    <w:p>
      <w:pPr>
        <w:spacing w:line="360" w:lineRule="auto" w:before="0" w:after="120"/>
        <w:jc w:val="both"/>
      </w:pPr>
      <w:r>
        <w:rPr>
          <w:rFonts w:ascii="Times New Roman" w:hAnsi="Times New Roman"/>
          <w:b w:val="0"/>
          <w:i w:val="0"/>
          <w:sz w:val="24"/>
        </w:rPr>
        <w:t xml:space="preserve">Hardware energy monitors, such as the </w:t>
      </w:r>
      <w:r>
        <w:rPr>
          <w:rFonts w:ascii="Times New Roman" w:hAnsi="Times New Roman"/>
          <w:b/>
          <w:i w:val="0"/>
          <w:sz w:val="24"/>
        </w:rPr>
        <w:t>Sense Home Energy Monitor</w:t>
      </w:r>
      <w:r>
        <w:rPr>
          <w:rFonts w:ascii="Times New Roman" w:hAnsi="Times New Roman"/>
          <w:b w:val="0"/>
          <w:i w:val="0"/>
          <w:sz w:val="24"/>
        </w:rPr>
        <w:t xml:space="preserve"> or the </w:t>
      </w:r>
      <w:r>
        <w:rPr>
          <w:rFonts w:ascii="Times New Roman" w:hAnsi="Times New Roman"/>
          <w:b/>
          <w:i w:val="0"/>
          <w:sz w:val="24"/>
        </w:rPr>
        <w:t>Emporia Vue Smart Home Energy Monitor</w:t>
      </w:r>
      <w:r>
        <w:rPr>
          <w:rFonts w:ascii="Times New Roman" w:hAnsi="Times New Roman"/>
          <w:b w:val="0"/>
          <w:i w:val="0"/>
          <w:sz w:val="24"/>
        </w:rPr>
        <w:t>, represent the state-of-the-art in physical consumption tracking. These systems are installed directly inside the homeowner's main electrical breaker panel.</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They utilize current transformers (CT clamps) wrapped around the main electrical service lines and individual circuit breakers. The Sense monitor uses advanced machine learning and high-frequency sampling (up to 1 MHz) to detect the distinct electrical signatures (transient noise and harmonic distortion) of different appliances as they turn on and off. This allows the system to identify appliance load profiles without requiring individual smart plugs.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near real-time telemetry (sub-second sampling), extremely high accuracy for total energy draw, and automated appliance discovery.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High Cost:</w:t>
      </w:r>
      <w:r>
        <w:rPr>
          <w:rFonts w:ascii="Times New Roman" w:hAnsi="Times New Roman"/>
          <w:b w:val="0"/>
          <w:i w:val="0"/>
          <w:sz w:val="24"/>
        </w:rPr>
        <w:t xml:space="preserve"> These hardware units cost between $150 to $300 (₹12,000 to ₹25,000), making them financially inaccessible for the average household.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Safety &amp; Installation Complexity:</w:t>
      </w:r>
      <w:r>
        <w:rPr>
          <w:rFonts w:ascii="Times New Roman" w:hAnsi="Times New Roman"/>
          <w:b w:val="0"/>
          <w:i w:val="0"/>
          <w:sz w:val="24"/>
        </w:rPr>
        <w:t xml:space="preserve"> Installation requires opening the main electrical service panel and working around live mains wiring. This poses a severe electrocution hazard, necessitating the hire of a certified electrician, which further increases the upfront cost.</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Lack of Tariff Modeling:</w:t>
      </w:r>
      <w:r>
        <w:rPr>
          <w:rFonts w:ascii="Times New Roman" w:hAnsi="Times New Roman"/>
          <w:b w:val="0"/>
          <w:i w:val="0"/>
          <w:sz w:val="24"/>
        </w:rPr>
        <w:t xml:space="preserve"> These systems do not incorporate localized, multi-slab progressive domestic utility tariffs. They multiply the total kilowatt-hours by a flat, user-defined average rate, leading to highly inaccurate utility bill estimations.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Solar ROI Forecasting:</w:t>
      </w:r>
      <w:r>
        <w:rPr>
          <w:rFonts w:ascii="Times New Roman" w:hAnsi="Times New Roman"/>
          <w:b w:val="0"/>
          <w:i w:val="0"/>
          <w:sz w:val="24"/>
        </w:rPr>
        <w:t xml:space="preserve"> They only track real-time solar generation; they do not provide 25-year financial simulations, panel sizing tables, or degradation modeling to assist in upfront purchasing decisions.</w:t>
      </w:r>
    </w:p>
    <w:p>
      <w:pPr>
        <w:spacing w:line="360" w:lineRule="auto" w:before="120" w:after="80"/>
        <w:jc w:val="left"/>
        <w:keepNext/>
      </w:pPr>
      <w:r>
        <w:rPr>
          <w:rFonts w:ascii="Times New Roman" w:hAnsi="Times New Roman"/>
          <w:b/>
          <w:i w:val="0"/>
          <w:sz w:val="24"/>
        </w:rPr>
        <w:t>2.1.2 Utility-Provided Customer Portals</w:t>
      </w:r>
    </w:p>
    <w:p>
      <w:pPr>
        <w:spacing w:line="360" w:lineRule="auto" w:before="0" w:after="120"/>
        <w:jc w:val="both"/>
      </w:pPr>
      <w:r>
        <w:rPr>
          <w:rFonts w:ascii="Times New Roman" w:hAnsi="Times New Roman"/>
          <w:b w:val="0"/>
          <w:i w:val="0"/>
          <w:sz w:val="24"/>
        </w:rPr>
        <w:t xml:space="preserve">Most major electricity distribution companies (DISCOMs), such as </w:t>
      </w:r>
      <w:r>
        <w:rPr>
          <w:rFonts w:ascii="Times New Roman" w:hAnsi="Times New Roman"/>
          <w:b/>
          <w:i w:val="0"/>
          <w:sz w:val="24"/>
        </w:rPr>
        <w:t>APSPDCL</w:t>
      </w:r>
      <w:r>
        <w:rPr>
          <w:rFonts w:ascii="Times New Roman" w:hAnsi="Times New Roman"/>
          <w:b w:val="0"/>
          <w:i w:val="0"/>
          <w:sz w:val="24"/>
        </w:rPr>
        <w:t xml:space="preserve">, </w:t>
      </w:r>
      <w:r>
        <w:rPr>
          <w:rFonts w:ascii="Times New Roman" w:hAnsi="Times New Roman"/>
          <w:b/>
          <w:i w:val="0"/>
          <w:sz w:val="24"/>
        </w:rPr>
        <w:t>BESCOM</w:t>
      </w:r>
      <w:r>
        <w:rPr>
          <w:rFonts w:ascii="Times New Roman" w:hAnsi="Times New Roman"/>
          <w:b w:val="0"/>
          <w:i w:val="0"/>
          <w:sz w:val="24"/>
        </w:rPr>
        <w:t xml:space="preserve">, </w:t>
      </w:r>
      <w:r>
        <w:rPr>
          <w:rFonts w:ascii="Times New Roman" w:hAnsi="Times New Roman"/>
          <w:b/>
          <w:i w:val="0"/>
          <w:sz w:val="24"/>
        </w:rPr>
        <w:t>TSSPDCL</w:t>
      </w:r>
      <w:r>
        <w:rPr>
          <w:rFonts w:ascii="Times New Roman" w:hAnsi="Times New Roman"/>
          <w:b w:val="0"/>
          <w:i w:val="0"/>
          <w:sz w:val="24"/>
        </w:rPr>
        <w:t xml:space="preserve">, or </w:t>
      </w:r>
      <w:r>
        <w:rPr>
          <w:rFonts w:ascii="Times New Roman" w:hAnsi="Times New Roman"/>
          <w:b/>
          <w:i w:val="0"/>
          <w:sz w:val="24"/>
        </w:rPr>
        <w:t>MSEDCL</w:t>
      </w:r>
      <w:r>
        <w:rPr>
          <w:rFonts w:ascii="Times New Roman" w:hAnsi="Times New Roman"/>
          <w:b w:val="0"/>
          <w:i w:val="0"/>
          <w:sz w:val="24"/>
        </w:rPr>
        <w:t>, provide online customer portals and mobile applications to help consumers view and pay their monthly utility bills.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These portals show historical consumption tables (usually monthly bars), active tariff categories, current readings, payment due dates, and outstanding dues.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official, legally accurate billing figures and allow direct digital payments.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Aggregated Data only:</w:t>
      </w:r>
      <w:r>
        <w:rPr>
          <w:rFonts w:ascii="Times New Roman" w:hAnsi="Times New Roman"/>
          <w:b w:val="0"/>
          <w:i w:val="0"/>
          <w:sz w:val="24"/>
        </w:rPr>
        <w:t xml:space="preserve"> The portals present only a single monthly total consumption number (e.g. 350 units). They offer no breakdown of individual appliance consumption, leaving the user completely in the dark regarding which appliances are driving their bills.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No Actionable Advice:</w:t>
      </w:r>
      <w:r>
        <w:rPr>
          <w:rFonts w:ascii="Times New Roman" w:hAnsi="Times New Roman"/>
          <w:b w:val="0"/>
          <w:i w:val="0"/>
          <w:sz w:val="24"/>
        </w:rPr>
        <w:t xml:space="preserve"> They do not provide personalized recommendations or load scheduling tips to help users reduce their consumption.</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Static Interface:</w:t>
      </w:r>
      <w:r>
        <w:rPr>
          <w:rFonts w:ascii="Times New Roman" w:hAnsi="Times New Roman"/>
          <w:b w:val="0"/>
          <w:i w:val="0"/>
          <w:sz w:val="24"/>
        </w:rPr>
        <w:t xml:space="preserve"> The user interfaces are typically flat, complex, and difficult to navigate, prioritizing transaction histories over conservation insights.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Solar Planning:</w:t>
      </w:r>
      <w:r>
        <w:rPr>
          <w:rFonts w:ascii="Times New Roman" w:hAnsi="Times New Roman"/>
          <w:b w:val="0"/>
          <w:i w:val="0"/>
          <w:sz w:val="24"/>
        </w:rPr>
        <w:t xml:space="preserve"> They do not offer tools to estimate rooftop solar feasibility or calculate return-on-investment metrics.</w:t>
      </w:r>
    </w:p>
    <w:p>
      <w:pPr>
        <w:spacing w:line="360" w:lineRule="auto" w:before="120" w:after="80"/>
        <w:jc w:val="left"/>
        <w:keepNext/>
      </w:pPr>
      <w:r>
        <w:rPr>
          <w:rFonts w:ascii="Times New Roman" w:hAnsi="Times New Roman"/>
          <w:b/>
          <w:i w:val="0"/>
          <w:sz w:val="24"/>
        </w:rPr>
        <w:t>2.1.3 Generic Rooftop Solar Calculators</w:t>
      </w:r>
    </w:p>
    <w:p>
      <w:pPr>
        <w:spacing w:line="360" w:lineRule="auto" w:before="0" w:after="120"/>
        <w:jc w:val="both"/>
      </w:pPr>
      <w:r>
        <w:rPr>
          <w:rFonts w:ascii="Times New Roman" w:hAnsi="Times New Roman"/>
          <w:b w:val="0"/>
          <w:i w:val="0"/>
          <w:sz w:val="24"/>
        </w:rPr>
        <w:t xml:space="preserve">Several online portals, including the official </w:t>
      </w:r>
      <w:r>
        <w:rPr>
          <w:rFonts w:ascii="Times New Roman" w:hAnsi="Times New Roman"/>
          <w:b/>
          <w:i w:val="0"/>
          <w:sz w:val="24"/>
        </w:rPr>
        <w:t>Ministry of New and Renewable Energy (MNRE) Solar Rooftop Portal</w:t>
      </w:r>
      <w:r>
        <w:rPr>
          <w:rFonts w:ascii="Times New Roman" w:hAnsi="Times New Roman"/>
          <w:b w:val="0"/>
          <w:i w:val="0"/>
          <w:sz w:val="24"/>
        </w:rPr>
        <w:t xml:space="preserve"> or generic calculators provided by solar installation agencies, offer basic solar estimations.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Users input their average monthly bill and available roof space. The calculators multiply these inputs by average regional solar constants (e.g. 4 kWh/kW per day) and divide by standard panel wattages to recommend a system size.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a quick, free, and non-invasive estimate of the physical area required and general installation costs.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Oversimplified Billing Assumptions:</w:t>
      </w:r>
      <w:r>
        <w:rPr>
          <w:rFonts w:ascii="Times New Roman" w:hAnsi="Times New Roman"/>
          <w:b w:val="0"/>
          <w:i w:val="0"/>
          <w:sz w:val="24"/>
        </w:rPr>
        <w:t xml:space="preserve"> They assume a flat, uniform electricity unit rate over the next 25 years. They completely ignore the progressive slab structures of domestic tariffs, meaning they fail to model how installing solar shifts the user into lower, significantly cheaper tariff tiers.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Lack of Compounding Math:</w:t>
      </w:r>
      <w:r>
        <w:rPr>
          <w:rFonts w:ascii="Times New Roman" w:hAnsi="Times New Roman"/>
          <w:b w:val="0"/>
          <w:i w:val="0"/>
          <w:sz w:val="24"/>
        </w:rPr>
        <w:t xml:space="preserve"> They do not model annual panel degradation (which drops generation by 0.5% to 1.5% annually), dynamic utility inflation (which raises grid rates by 3% to 7% annually), or compound maintenance indexes.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No 3D Visual Aids:</w:t>
      </w:r>
      <w:r>
        <w:rPr>
          <w:rFonts w:ascii="Times New Roman" w:hAnsi="Times New Roman"/>
          <w:b w:val="0"/>
          <w:i w:val="0"/>
          <w:sz w:val="24"/>
        </w:rPr>
        <w:t xml:space="preserve"> They do not allow the user to visualize panel configurations on their roof or adjust orientation and shading dynamically to see immediate mathematical feedback.</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Battery Integration:</w:t>
      </w:r>
      <w:r>
        <w:rPr>
          <w:rFonts w:ascii="Times New Roman" w:hAnsi="Times New Roman"/>
          <w:b w:val="0"/>
          <w:i w:val="0"/>
          <w:sz w:val="24"/>
        </w:rPr>
        <w:t xml:space="preserve"> They do not calculate backup sizing or differentiate between lithium and lead-acid battery lifecycle costs, which are crucial for hybrid off-grid systems.</w:t>
      </w:r>
    </w:p>
    <w:p>
      <w:pPr>
        <w:spacing w:line="360" w:lineRule="auto" w:before="240" w:after="120"/>
        <w:jc w:val="left"/>
        <w:keepNext/>
      </w:pPr>
      <w:r>
        <w:rPr>
          <w:rFonts w:ascii="Times New Roman" w:hAnsi="Times New Roman"/>
          <w:b/>
          <w:i w:val="0"/>
          <w:sz w:val="28"/>
        </w:rPr>
        <w:t>2.2 Literature Comparison Table</w:t>
      </w:r>
    </w:p>
    <w:p>
      <w:pPr>
        <w:spacing w:line="360" w:lineRule="auto" w:before="0" w:after="120"/>
        <w:jc w:val="both"/>
      </w:pPr>
      <w:r>
        <w:rPr>
          <w:rFonts w:ascii="Times New Roman" w:hAnsi="Times New Roman"/>
          <w:b w:val="0"/>
          <w:i w:val="0"/>
          <w:sz w:val="24"/>
        </w:rPr>
        <w:t xml:space="preserve">To systematically position the developed </w:t>
      </w:r>
      <w:r>
        <w:rPr>
          <w:rFonts w:ascii="Times New Roman" w:hAnsi="Times New Roman"/>
          <w:b/>
          <w:i w:val="0"/>
          <w:sz w:val="24"/>
        </w:rPr>
        <w:t>Smart Household Energy Manager</w:t>
      </w:r>
      <w:r>
        <w:rPr>
          <w:rFonts w:ascii="Times New Roman" w:hAnsi="Times New Roman"/>
          <w:b w:val="0"/>
          <w:i w:val="0"/>
          <w:sz w:val="24"/>
        </w:rPr>
        <w:t xml:space="preserve"> against existing literature and commercial tools, Table 2.1 provides a detailed comparative matrix across five core dimensions: Cost, Installation Complexity, Tariff Modeling Precision, Saving Advisories, and Solar ROI Forecasting.</w:t>
      </w:r>
    </w:p>
    <w:p>
      <w:pPr>
        <w:spacing w:line="360" w:lineRule="auto" w:before="240" w:after="120"/>
        <w:jc w:val="center"/>
      </w:pPr>
      <w:r>
        <w:rPr>
          <w:rFonts w:ascii="Times New Roman" w:hAnsi="Times New Roman"/>
          <w:b/>
          <w:i w:val="0"/>
          <w:sz w:val="24"/>
        </w:rPr>
        <w:t>Table 2.1: Literature Review &amp; Comparative Analysis of Existing Systems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2160"/>
            <w:shd w:fill="F1F5F9"/>
            <w:vAlign w:val="center"/>
          </w:tcPr>
          <w:p>
            <w:pPr>
              <w:spacing w:line="276" w:lineRule="auto" w:before="0" w:after="40"/>
              <w:jc w:val="center"/>
            </w:pPr>
            <w:r/>
            <w:r>
              <w:rPr>
                <w:rFonts w:ascii="Times New Roman" w:hAnsi="Times New Roman"/>
                <w:b/>
                <w:i w:val="0"/>
                <w:sz w:val="20"/>
              </w:rPr>
              <w:t>System Type / Existing Solutions</w:t>
            </w:r>
          </w:p>
        </w:tc>
        <w:tc>
          <w:tcPr>
            <w:tcW w:type="dxa" w:w="2880"/>
            <w:shd w:fill="F1F5F9"/>
            <w:vAlign w:val="center"/>
          </w:tcPr>
          <w:p>
            <w:pPr>
              <w:spacing w:line="276" w:lineRule="auto" w:before="0" w:after="40"/>
              <w:jc w:val="center"/>
            </w:pPr>
            <w:r/>
            <w:r>
              <w:rPr>
                <w:rFonts w:ascii="Times New Roman" w:hAnsi="Times New Roman"/>
                <w:b/>
                <w:i w:val="0"/>
                <w:sz w:val="20"/>
              </w:rPr>
              <w:t>Core Functionality</w:t>
            </w:r>
          </w:p>
        </w:tc>
        <w:tc>
          <w:tcPr>
            <w:tcW w:type="dxa" w:w="2592"/>
            <w:shd w:fill="F1F5F9"/>
            <w:vAlign w:val="center"/>
          </w:tcPr>
          <w:p>
            <w:pPr>
              <w:spacing w:line="276" w:lineRule="auto" w:before="0" w:after="40"/>
              <w:jc w:val="center"/>
            </w:pPr>
            <w:r/>
            <w:r>
              <w:rPr>
                <w:rFonts w:ascii="Times New Roman" w:hAnsi="Times New Roman"/>
                <w:b/>
                <w:i w:val="0"/>
                <w:sz w:val="20"/>
              </w:rPr>
              <w:t>Key Advantages</w:t>
            </w:r>
          </w:p>
        </w:tc>
        <w:tc>
          <w:tcPr>
            <w:tcW w:type="dxa" w:w="2592"/>
            <w:shd w:fill="F1F5F9"/>
            <w:vAlign w:val="center"/>
          </w:tcPr>
          <w:p>
            <w:pPr>
              <w:spacing w:line="276" w:lineRule="auto" w:before="0" w:after="40"/>
              <w:jc w:val="center"/>
            </w:pPr>
            <w:r/>
            <w:r>
              <w:rPr>
                <w:rFonts w:ascii="Times New Roman" w:hAnsi="Times New Roman"/>
                <w:b/>
                <w:i w:val="0"/>
                <w:sz w:val="20"/>
              </w:rPr>
              <w:t>Main Limitations &amp; Gaps</w:t>
            </w:r>
          </w:p>
        </w:tc>
      </w:tr>
      <w:tr>
        <w:tc>
          <w:tcPr>
            <w:tcW w:type="dxa" w:w="2160"/>
            <w:vAlign w:val="center"/>
          </w:tcPr>
          <w:p>
            <w:pPr>
              <w:spacing w:line="276" w:lineRule="auto" w:before="0" w:after="40"/>
              <w:jc w:val="left"/>
            </w:pPr>
            <w:r/>
            <w:r>
              <w:rPr>
                <w:rFonts w:ascii="Times New Roman" w:hAnsi="Times New Roman"/>
                <w:b w:val="0"/>
                <w:i w:val="0"/>
                <w:sz w:val="24"/>
              </w:rPr>
              <w:t>Hardware-Based IoT Monitors</w:t>
              <w:br/>
              <w:t>(e.g., Sense, Emporia Vue)</w:t>
            </w:r>
          </w:p>
        </w:tc>
        <w:tc>
          <w:tcPr>
            <w:tcW w:type="dxa" w:w="2880"/>
            <w:vAlign w:val="center"/>
          </w:tcPr>
          <w:p>
            <w:pPr>
              <w:spacing w:line="276" w:lineRule="auto" w:before="0" w:after="40"/>
              <w:jc w:val="left"/>
            </w:pPr>
            <w:r/>
            <w:r>
              <w:rPr>
                <w:rFonts w:ascii="Times New Roman" w:hAnsi="Times New Roman"/>
                <w:b w:val="0"/>
                <w:i w:val="0"/>
                <w:sz w:val="24"/>
              </w:rPr>
              <w:t>CT clamps wrap around live main feeds; high-frequency harmonic transient sampling recognizes appliance signatures.</w:t>
            </w:r>
          </w:p>
        </w:tc>
        <w:tc>
          <w:tcPr>
            <w:tcW w:type="dxa" w:w="2592"/>
            <w:vAlign w:val="center"/>
          </w:tcPr>
          <w:p>
            <w:pPr>
              <w:spacing w:line="276" w:lineRule="auto" w:before="0" w:after="40"/>
              <w:jc w:val="left"/>
            </w:pPr>
            <w:r/>
            <w:r>
              <w:rPr>
                <w:rFonts w:ascii="Times New Roman" w:hAnsi="Times New Roman"/>
                <w:b w:val="0"/>
                <w:i w:val="0"/>
                <w:sz w:val="24"/>
              </w:rPr>
              <w:t>Sub-second sampling frequency, high raw accuracy, and automated appliance detection.</w:t>
            </w:r>
          </w:p>
        </w:tc>
        <w:tc>
          <w:tcPr>
            <w:tcW w:type="dxa" w:w="2592"/>
            <w:vAlign w:val="center"/>
          </w:tcPr>
          <w:p>
            <w:pPr>
              <w:spacing w:line="276" w:lineRule="auto" w:before="0" w:after="40"/>
              <w:jc w:val="left"/>
            </w:pPr>
            <w:r/>
            <w:r>
              <w:rPr>
                <w:rFonts w:ascii="Times New Roman" w:hAnsi="Times New Roman"/>
                <w:b w:val="0"/>
                <w:i w:val="0"/>
                <w:sz w:val="24"/>
              </w:rPr>
              <w:t>High upfront cost (₹12,000+); dangerous main board installation requiring electrician; lacks localized slab tariff math.</w:t>
            </w:r>
          </w:p>
        </w:tc>
      </w:tr>
      <w:tr>
        <w:tc>
          <w:tcPr>
            <w:tcW w:type="dxa" w:w="2160"/>
            <w:vAlign w:val="center"/>
            <w:shd w:fill="F8FAFC"/>
          </w:tcPr>
          <w:p>
            <w:pPr>
              <w:spacing w:line="276" w:lineRule="auto" w:before="0" w:after="40"/>
              <w:jc w:val="left"/>
            </w:pPr>
            <w:r/>
            <w:r>
              <w:rPr>
                <w:rFonts w:ascii="Times New Roman" w:hAnsi="Times New Roman"/>
                <w:b w:val="0"/>
                <w:i w:val="0"/>
                <w:sz w:val="24"/>
              </w:rPr>
              <w:t>Utility-Provided Customer Portals</w:t>
              <w:br/>
              <w:t>(e.g., APSPDCL, BESCOM)</w:t>
            </w:r>
          </w:p>
        </w:tc>
        <w:tc>
          <w:tcPr>
            <w:tcW w:type="dxa" w:w="2880"/>
            <w:vAlign w:val="center"/>
            <w:shd w:fill="F8FAFC"/>
          </w:tcPr>
          <w:p>
            <w:pPr>
              <w:spacing w:line="276" w:lineRule="auto" w:before="0" w:after="40"/>
              <w:jc w:val="left"/>
            </w:pPr>
            <w:r/>
            <w:r>
              <w:rPr>
                <w:rFonts w:ascii="Times New Roman" w:hAnsi="Times New Roman"/>
                <w:b w:val="0"/>
                <w:i w:val="0"/>
                <w:sz w:val="24"/>
              </w:rPr>
              <w:t>Web portals displaying monthly aggregated utility bills and direct transaction payment gateways.</w:t>
            </w:r>
          </w:p>
        </w:tc>
        <w:tc>
          <w:tcPr>
            <w:tcW w:type="dxa" w:w="2592"/>
            <w:vAlign w:val="center"/>
            <w:shd w:fill="F8FAFC"/>
          </w:tcPr>
          <w:p>
            <w:pPr>
              <w:spacing w:line="276" w:lineRule="auto" w:before="0" w:after="40"/>
              <w:jc w:val="left"/>
            </w:pPr>
            <w:r/>
            <w:r>
              <w:rPr>
                <w:rFonts w:ascii="Times New Roman" w:hAnsi="Times New Roman"/>
                <w:b w:val="0"/>
                <w:i w:val="0"/>
                <w:sz w:val="24"/>
              </w:rPr>
              <w:t>Retrospective billing precision, official data portal, direct integration with payment gateways.</w:t>
            </w:r>
          </w:p>
        </w:tc>
        <w:tc>
          <w:tcPr>
            <w:tcW w:type="dxa" w:w="2592"/>
            <w:vAlign w:val="center"/>
            <w:shd w:fill="F8FAFC"/>
          </w:tcPr>
          <w:p>
            <w:pPr>
              <w:spacing w:line="276" w:lineRule="auto" w:before="0" w:after="40"/>
              <w:jc w:val="left"/>
            </w:pPr>
            <w:r/>
            <w:r>
              <w:rPr>
                <w:rFonts w:ascii="Times New Roman" w:hAnsi="Times New Roman"/>
                <w:b w:val="0"/>
                <w:i w:val="0"/>
                <w:sz w:val="24"/>
              </w:rPr>
              <w:t>Aggregated billing numbers only; no appliance load decomposition; lacks customized energy advisories.</w:t>
            </w:r>
          </w:p>
        </w:tc>
      </w:tr>
      <w:tr>
        <w:tc>
          <w:tcPr>
            <w:tcW w:type="dxa" w:w="2160"/>
            <w:vAlign w:val="center"/>
          </w:tcPr>
          <w:p>
            <w:pPr>
              <w:spacing w:line="276" w:lineRule="auto" w:before="0" w:after="40"/>
              <w:jc w:val="left"/>
            </w:pPr>
            <w:r/>
            <w:r>
              <w:rPr>
                <w:rFonts w:ascii="Times New Roman" w:hAnsi="Times New Roman"/>
                <w:b w:val="0"/>
                <w:i w:val="0"/>
                <w:sz w:val="24"/>
              </w:rPr>
              <w:t>Generic Solar Web Calculators</w:t>
              <w:br/>
              <w:t>(e.g., MNRE Portal, installer sites)</w:t>
            </w:r>
          </w:p>
        </w:tc>
        <w:tc>
          <w:tcPr>
            <w:tcW w:type="dxa" w:w="2880"/>
            <w:vAlign w:val="center"/>
          </w:tcPr>
          <w:p>
            <w:pPr>
              <w:spacing w:line="276" w:lineRule="auto" w:before="0" w:after="40"/>
              <w:jc w:val="left"/>
            </w:pPr>
            <w:r/>
            <w:r>
              <w:rPr>
                <w:rFonts w:ascii="Times New Roman" w:hAnsi="Times New Roman"/>
                <w:b w:val="0"/>
                <w:i w:val="0"/>
                <w:sz w:val="24"/>
              </w:rPr>
              <w:t>Static web form inputs multiplying average bill by fixed coefficients to estimate capacity size.</w:t>
            </w:r>
          </w:p>
        </w:tc>
        <w:tc>
          <w:tcPr>
            <w:tcW w:type="dxa" w:w="2592"/>
            <w:vAlign w:val="center"/>
          </w:tcPr>
          <w:p>
            <w:pPr>
              <w:spacing w:line="276" w:lineRule="auto" w:before="0" w:after="40"/>
              <w:jc w:val="left"/>
            </w:pPr>
            <w:r/>
            <w:r>
              <w:rPr>
                <w:rFonts w:ascii="Times New Roman" w:hAnsi="Times New Roman"/>
                <w:b w:val="0"/>
                <w:i w:val="0"/>
                <w:sz w:val="24"/>
              </w:rPr>
              <w:t>Quick, free area and general system cost estimations without requiring technical data.</w:t>
            </w:r>
          </w:p>
        </w:tc>
        <w:tc>
          <w:tcPr>
            <w:tcW w:type="dxa" w:w="2592"/>
            <w:vAlign w:val="center"/>
          </w:tcPr>
          <w:p>
            <w:pPr>
              <w:spacing w:line="276" w:lineRule="auto" w:before="0" w:after="40"/>
              <w:jc w:val="left"/>
            </w:pPr>
            <w:r/>
            <w:r>
              <w:rPr>
                <w:rFonts w:ascii="Times New Roman" w:hAnsi="Times New Roman"/>
                <w:b w:val="0"/>
                <w:i w:val="0"/>
                <w:sz w:val="24"/>
              </w:rPr>
              <w:t>Ignores dynamic slab utility changes; assumes static solar yield ignoring 25-year degradation and maintenance inflation.</w:t>
            </w:r>
          </w:p>
        </w:tc>
      </w:tr>
      <w:tr>
        <w:tc>
          <w:tcPr>
            <w:tcW w:type="dxa" w:w="2160"/>
            <w:vAlign w:val="center"/>
            <w:shd w:fill="F8FAFC"/>
          </w:tcPr>
          <w:p>
            <w:pPr>
              <w:spacing w:line="276" w:lineRule="auto" w:before="0" w:after="40"/>
              <w:jc w:val="left"/>
            </w:pPr>
            <w:r/>
            <w:r>
              <w:rPr>
                <w:rFonts w:ascii="Times New Roman" w:hAnsi="Times New Roman"/>
                <w:b w:val="0"/>
                <w:i w:val="0"/>
                <w:sz w:val="24"/>
              </w:rPr>
              <w:t>Proposed Smart Household Energy Manager</w:t>
            </w:r>
          </w:p>
        </w:tc>
        <w:tc>
          <w:tcPr>
            <w:tcW w:type="dxa" w:w="2880"/>
            <w:vAlign w:val="center"/>
            <w:shd w:fill="F8FAFC"/>
          </w:tcPr>
          <w:p>
            <w:pPr>
              <w:spacing w:line="276" w:lineRule="auto" w:before="0" w:after="40"/>
              <w:jc w:val="left"/>
            </w:pPr>
            <w:r/>
            <w:r>
              <w:rPr>
                <w:rFonts w:ascii="Times New Roman" w:hAnsi="Times New Roman"/>
                <w:b w:val="0"/>
                <w:i w:val="0"/>
                <w:sz w:val="24"/>
              </w:rPr>
              <w:t>Single-page responsive web dashboard integrating manual audits, OCR bill parsing, 3D canvases, and Firestore tariff settings.</w:t>
            </w:r>
          </w:p>
        </w:tc>
        <w:tc>
          <w:tcPr>
            <w:tcW w:type="dxa" w:w="2592"/>
            <w:vAlign w:val="center"/>
            <w:shd w:fill="F8FAFC"/>
          </w:tcPr>
          <w:p>
            <w:pPr>
              <w:spacing w:line="276" w:lineRule="auto" w:before="0" w:after="40"/>
              <w:jc w:val="left"/>
            </w:pPr>
            <w:r/>
            <w:r>
              <w:rPr>
                <w:rFonts w:ascii="Times New Roman" w:hAnsi="Times New Roman"/>
                <w:b w:val="0"/>
                <w:i w:val="0"/>
                <w:sz w:val="24"/>
              </w:rPr>
              <w:t>100% free; zero hardware; Firestore tariff synchronization; age-based appliance decay; 25-year compound ROI cash flows.</w:t>
            </w:r>
          </w:p>
        </w:tc>
        <w:tc>
          <w:tcPr>
            <w:tcW w:type="dxa" w:w="2592"/>
            <w:vAlign w:val="center"/>
            <w:shd w:fill="F8FAFC"/>
          </w:tcPr>
          <w:p>
            <w:pPr>
              <w:spacing w:line="276" w:lineRule="auto" w:before="0" w:after="40"/>
              <w:jc w:val="left"/>
            </w:pPr>
            <w:r/>
            <w:r>
              <w:rPr>
                <w:rFonts w:ascii="Times New Roman" w:hAnsi="Times New Roman"/>
                <w:b w:val="0"/>
                <w:i w:val="0"/>
                <w:sz w:val="24"/>
              </w:rPr>
              <w:t>Relies on manual profile data or OCR bill uploads rather than real-time hardware plug telemetry.</w:t>
            </w:r>
          </w:p>
        </w:tc>
      </w:tr>
    </w:tbl>
    <w:p>
      <w:pPr>
        <w:spacing w:line="360" w:lineRule="auto" w:before="120" w:after="120"/>
        <w:jc w:val="both"/>
      </w:pPr>
    </w:p>
    <w:p>
      <w:pPr>
        <w:spacing w:line="360" w:lineRule="auto" w:before="0" w:after="120"/>
        <w:jc w:val="both"/>
      </w:pPr>
      <w:r>
        <w:rPr>
          <w:rFonts w:ascii="Times New Roman" w:hAnsi="Times New Roman"/>
          <w:b w:val="0"/>
          <w:i w:val="0"/>
          <w:sz w:val="24"/>
        </w:rPr>
        <w:t xml:space="preserve">As illustrated in Table 2.1, while hardware monitors provide high raw measurement accuracy, they are restricted by financial cost and safety barriers. Utility portals are rigid and fail to offer actionable advice. Generic solar calculators are oversimplified and fail to capture real-world financial compounding. The developed </w:t>
      </w:r>
      <w:r>
        <w:rPr>
          <w:rFonts w:ascii="Times New Roman" w:hAnsi="Times New Roman"/>
          <w:b/>
          <w:i w:val="0"/>
          <w:sz w:val="24"/>
        </w:rPr>
        <w:t>Smart Household Energy Manager</w:t>
      </w:r>
      <w:r>
        <w:rPr>
          <w:rFonts w:ascii="Times New Roman" w:hAnsi="Times New Roman"/>
          <w:b w:val="0"/>
          <w:i w:val="0"/>
          <w:sz w:val="24"/>
        </w:rPr>
        <w:t xml:space="preserve"> fills this gap by offering a cost-free, software-only visual dashboard that integrates manual auditing, automated billing breakdown, solar simulations, and dynamic database-driven tariff adjustments inside a premium responsive web app.</w:t>
      </w:r>
    </w:p>
    <w:p>
      <w:pPr>
        <w:spacing w:line="360" w:lineRule="auto" w:before="360" w:after="240"/>
        <w:jc w:val="center"/>
        <w:keepNext/>
      </w:pPr>
      <w:r>
        <w:rPr>
          <w:rFonts w:ascii="Times New Roman" w:hAnsi="Times New Roman"/>
          <w:b/>
          <w:i w:val="0"/>
          <w:sz w:val="32"/>
        </w:rPr>
        <w:t>CHAPTER 3: DATA GATHERING / REQUIREMENT ANALYSIS</w:t>
      </w:r>
    </w:p>
    <w:p>
      <w:pPr>
        <w:spacing w:line="360" w:lineRule="auto" w:before="240" w:after="120"/>
        <w:jc w:val="left"/>
        <w:keepNext/>
      </w:pPr>
      <w:r>
        <w:rPr>
          <w:rFonts w:ascii="Times New Roman" w:hAnsi="Times New Roman"/>
          <w:b/>
          <w:i w:val="0"/>
          <w:sz w:val="28"/>
        </w:rPr>
        <w:t>3.1 Data Gathering &amp; Baseline Survey</w:t>
      </w:r>
    </w:p>
    <w:p>
      <w:pPr>
        <w:spacing w:line="360" w:lineRule="auto" w:before="0" w:after="120"/>
        <w:jc w:val="both"/>
      </w:pPr>
      <w:r>
        <w:rPr>
          <w:rFonts w:ascii="Times New Roman" w:hAnsi="Times New Roman"/>
          <w:b w:val="0"/>
          <w:i w:val="0"/>
          <w:sz w:val="24"/>
        </w:rPr>
        <w:t>To ensure that the math, calculations, and recommendations of the Smart Household Energy Manager reflect real-world residential scenarios, the system integrates data from three primary input vectors: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User-Uploaded Utility Bill Data:</w:t>
      </w:r>
      <w:r>
        <w:rPr>
          <w:rFonts w:ascii="Times New Roman" w:hAnsi="Times New Roman"/>
          <w:b w:val="0"/>
          <w:i w:val="0"/>
          <w:sz w:val="24"/>
        </w:rPr>
        <w:t xml:space="preserve"> Includes previous and current meter readings (in kWh), billing dates, consumer metadata (service connection number, billing name, address, tariff category), fixed installation charges, fuel adjustment costs (FCA), electricity duties, state subsidies, and total outstanding dues.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Household Appliance Profiling:</w:t>
      </w:r>
      <w:r>
        <w:rPr>
          <w:rFonts w:ascii="Times New Roman" w:hAnsi="Times New Roman"/>
          <w:b w:val="0"/>
          <w:i w:val="0"/>
          <w:sz w:val="24"/>
        </w:rPr>
        <w:t xml:space="preserve"> Users log appliance quantities, baseline power ratings (in Watts), daily running duration (in hours), and the mechanical age of each appliance (in years).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Regional DISCOM Tariffs:</w:t>
      </w:r>
      <w:r>
        <w:rPr>
          <w:rFonts w:ascii="Times New Roman" w:hAnsi="Times New Roman"/>
          <w:b w:val="0"/>
          <w:i w:val="0"/>
          <w:sz w:val="24"/>
        </w:rPr>
        <w:t xml:space="preserve"> Database tables of state-specific domestic energy rates, structured in progressive consumption tiers (slabs), fixed fees, and subsidy logic.</w:t>
      </w:r>
    </w:p>
    <w:p>
      <w:pPr>
        <w:spacing w:line="360" w:lineRule="auto" w:before="120" w:after="80"/>
        <w:jc w:val="left"/>
        <w:keepNext/>
      </w:pPr>
      <w:r>
        <w:rPr>
          <w:rFonts w:ascii="Times New Roman" w:hAnsi="Times New Roman"/>
          <w:b/>
          <w:i w:val="0"/>
          <w:sz w:val="24"/>
        </w:rPr>
        <w:t>3.1.1 Baseline Appliance Load Constants</w:t>
      </w:r>
    </w:p>
    <w:p>
      <w:pPr>
        <w:spacing w:line="360" w:lineRule="auto" w:before="0" w:after="120"/>
        <w:jc w:val="both"/>
      </w:pPr>
      <w:r>
        <w:rPr>
          <w:rFonts w:ascii="Times New Roman" w:hAnsi="Times New Roman"/>
          <w:b w:val="0"/>
          <w:i w:val="0"/>
          <w:sz w:val="24"/>
        </w:rPr>
        <w:t>For users who do not know the exact power consumption of their appliances, the system provides standard domestic load constants based on typical residential specifications. These ratings serve as the starting point for consumption calculations: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LED Bulb:</w:t>
      </w:r>
      <w:r>
        <w:rPr>
          <w:rFonts w:ascii="Times New Roman" w:hAnsi="Times New Roman"/>
          <w:b w:val="0"/>
          <w:i w:val="0"/>
          <w:sz w:val="24"/>
        </w:rPr>
        <w:t xml:space="preserve"> 9W, 12W, or 15W.</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Tube Light:</w:t>
      </w:r>
      <w:r>
        <w:rPr>
          <w:rFonts w:ascii="Times New Roman" w:hAnsi="Times New Roman"/>
          <w:b w:val="0"/>
          <w:i w:val="0"/>
          <w:sz w:val="24"/>
        </w:rPr>
        <w:t xml:space="preserve"> 18W (T5 LED) or 40W (Conventional electromagnetic ballast).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Ceiling Fan:</w:t>
      </w:r>
      <w:r>
        <w:rPr>
          <w:rFonts w:ascii="Times New Roman" w:hAnsi="Times New Roman"/>
          <w:b w:val="0"/>
          <w:i w:val="0"/>
          <w:sz w:val="24"/>
        </w:rPr>
        <w:t xml:space="preserve"> 28W (BEE 5-star BLDC) or 75W (Conventional induction motor).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Refrigerator:</w:t>
      </w:r>
      <w:r>
        <w:rPr>
          <w:rFonts w:ascii="Times New Roman" w:hAnsi="Times New Roman"/>
          <w:b w:val="0"/>
          <w:i w:val="0"/>
          <w:sz w:val="24"/>
        </w:rPr>
        <w:t xml:space="preserve"> 150W (Single-door) or 350W (Double-door).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Air Conditioner:</w:t>
      </w:r>
      <w:r>
        <w:rPr>
          <w:rFonts w:ascii="Times New Roman" w:hAnsi="Times New Roman"/>
          <w:b w:val="0"/>
          <w:i w:val="0"/>
          <w:sz w:val="24"/>
        </w:rPr>
        <w:t xml:space="preserve"> 1200W (1.0 Ton 5-Star), 1500W (1.5 Ton 5-Star), or 2000W (1.5 Ton 3-Star Non-Inverter).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Storage Geyser:</w:t>
      </w:r>
      <w:r>
        <w:rPr>
          <w:rFonts w:ascii="Times New Roman" w:hAnsi="Times New Roman"/>
          <w:b w:val="0"/>
          <w:i w:val="0"/>
          <w:sz w:val="24"/>
        </w:rPr>
        <w:t xml:space="preserve"> 2000W (15L / 25L Capacity).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Washing Machine:</w:t>
      </w:r>
      <w:r>
        <w:rPr>
          <w:rFonts w:ascii="Times New Roman" w:hAnsi="Times New Roman"/>
          <w:b w:val="0"/>
          <w:i w:val="0"/>
          <w:sz w:val="24"/>
        </w:rPr>
        <w:t xml:space="preserve"> 500W (Top-load) or 1800W (Front-load with heater).</w:t>
      </w:r>
    </w:p>
    <w:p>
      <w:pPr>
        <w:spacing w:line="360" w:lineRule="auto" w:before="240" w:after="120"/>
        <w:jc w:val="center"/>
      </w:pPr>
      <w:r>
        <w:rPr>
          <w:rFonts w:ascii="Times New Roman" w:hAnsi="Times New Roman"/>
          <w:b/>
          <w:i w:val="0"/>
          <w:sz w:val="24"/>
        </w:rPr>
        <w:t>Table 3.1: Standard Domestic Appliance Load Estimations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3168"/>
            <w:shd w:fill="F1F5F9"/>
            <w:vAlign w:val="center"/>
          </w:tcPr>
          <w:p>
            <w:pPr>
              <w:spacing w:line="276" w:lineRule="auto" w:before="0" w:after="40"/>
              <w:jc w:val="center"/>
            </w:pPr>
            <w:r/>
            <w:r>
              <w:rPr>
                <w:rFonts w:ascii="Times New Roman" w:hAnsi="Times New Roman"/>
                <w:b/>
                <w:i w:val="0"/>
                <w:sz w:val="20"/>
              </w:rPr>
              <w:t>Appliance Category / Name</w:t>
            </w:r>
          </w:p>
        </w:tc>
        <w:tc>
          <w:tcPr>
            <w:tcW w:type="dxa" w:w="2592"/>
            <w:shd w:fill="F1F5F9"/>
            <w:vAlign w:val="center"/>
          </w:tcPr>
          <w:p>
            <w:pPr>
              <w:spacing w:line="276" w:lineRule="auto" w:before="0" w:after="40"/>
              <w:jc w:val="center"/>
            </w:pPr>
            <w:r/>
            <w:r>
              <w:rPr>
                <w:rFonts w:ascii="Times New Roman" w:hAnsi="Times New Roman"/>
                <w:b/>
                <w:i w:val="0"/>
                <w:sz w:val="20"/>
              </w:rPr>
              <w:t>Nominal Power Rating (Watts)</w:t>
            </w:r>
          </w:p>
        </w:tc>
        <w:tc>
          <w:tcPr>
            <w:tcW w:type="dxa" w:w="2160"/>
            <w:shd w:fill="F1F5F9"/>
            <w:vAlign w:val="center"/>
          </w:tcPr>
          <w:p>
            <w:pPr>
              <w:spacing w:line="276" w:lineRule="auto" w:before="0" w:after="40"/>
              <w:jc w:val="center"/>
            </w:pPr>
            <w:r/>
            <w:r>
              <w:rPr>
                <w:rFonts w:ascii="Times New Roman" w:hAnsi="Times New Roman"/>
                <w:b/>
                <w:i w:val="0"/>
                <w:sz w:val="20"/>
              </w:rPr>
              <w:t>Average Daily Runtime (Hours)</w:t>
            </w:r>
          </w:p>
        </w:tc>
        <w:tc>
          <w:tcPr>
            <w:tcW w:type="dxa" w:w="2160"/>
            <w:shd w:fill="F1F5F9"/>
            <w:vAlign w:val="center"/>
          </w:tcPr>
          <w:p>
            <w:pPr>
              <w:spacing w:line="276" w:lineRule="auto" w:before="0" w:after="40"/>
              <w:jc w:val="center"/>
            </w:pPr>
            <w:r/>
            <w:r>
              <w:rPr>
                <w:rFonts w:ascii="Times New Roman" w:hAnsi="Times New Roman"/>
                <w:b/>
                <w:i w:val="0"/>
                <w:sz w:val="20"/>
              </w:rPr>
              <w:t>Efficiency Decay Index</w:t>
            </w:r>
          </w:p>
        </w:tc>
      </w:tr>
      <w:tr>
        <w:tc>
          <w:tcPr>
            <w:tcW w:type="dxa" w:w="3168"/>
            <w:vAlign w:val="center"/>
          </w:tcPr>
          <w:p>
            <w:pPr>
              <w:spacing w:line="276" w:lineRule="auto" w:before="0" w:after="40"/>
              <w:jc w:val="left"/>
            </w:pPr>
            <w:r/>
            <w:r>
              <w:rPr>
                <w:rFonts w:ascii="Times New Roman" w:hAnsi="Times New Roman"/>
                <w:b w:val="0"/>
                <w:i w:val="0"/>
                <w:sz w:val="24"/>
              </w:rPr>
              <w:t>LED Bulb (9W / 12W / 15W)</w:t>
            </w:r>
          </w:p>
        </w:tc>
        <w:tc>
          <w:tcPr>
            <w:tcW w:type="dxa" w:w="2592"/>
            <w:vAlign w:val="center"/>
          </w:tcPr>
          <w:p>
            <w:pPr>
              <w:spacing w:line="276" w:lineRule="auto" w:before="0" w:after="40"/>
              <w:jc w:val="left"/>
            </w:pPr>
            <w:r/>
            <w:r>
              <w:rPr>
                <w:rFonts w:ascii="Times New Roman" w:hAnsi="Times New Roman"/>
                <w:b w:val="0"/>
                <w:i w:val="0"/>
                <w:sz w:val="24"/>
              </w:rPr>
              <w:t>9 - 15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Negligible (solid-state logic)</w:t>
            </w:r>
          </w:p>
        </w:tc>
      </w:tr>
      <w:tr>
        <w:tc>
          <w:tcPr>
            <w:tcW w:type="dxa" w:w="3168"/>
            <w:vAlign w:val="center"/>
            <w:shd w:fill="F8FAFC"/>
          </w:tcPr>
          <w:p>
            <w:pPr>
              <w:spacing w:line="276" w:lineRule="auto" w:before="0" w:after="40"/>
              <w:jc w:val="left"/>
            </w:pPr>
            <w:r/>
            <w:r>
              <w:rPr>
                <w:rFonts w:ascii="Times New Roman" w:hAnsi="Times New Roman"/>
                <w:b w:val="0"/>
                <w:i w:val="0"/>
                <w:sz w:val="24"/>
              </w:rPr>
              <w:t>Fluorescent Tube Light (T5 LED)</w:t>
            </w:r>
          </w:p>
        </w:tc>
        <w:tc>
          <w:tcPr>
            <w:tcW w:type="dxa" w:w="2592"/>
            <w:vAlign w:val="center"/>
            <w:shd w:fill="F8FAFC"/>
          </w:tcPr>
          <w:p>
            <w:pPr>
              <w:spacing w:line="276" w:lineRule="auto" w:before="0" w:after="40"/>
              <w:jc w:val="left"/>
            </w:pPr>
            <w:r/>
            <w:r>
              <w:rPr>
                <w:rFonts w:ascii="Times New Roman" w:hAnsi="Times New Roman"/>
                <w:b w:val="0"/>
                <w:i w:val="0"/>
                <w:sz w:val="24"/>
              </w:rPr>
              <w:t>18 - 40 Watts</w:t>
            </w:r>
          </w:p>
        </w:tc>
        <w:tc>
          <w:tcPr>
            <w:tcW w:type="dxa" w:w="2160"/>
            <w:vAlign w:val="center"/>
            <w:shd w:fill="F8FAFC"/>
          </w:tcPr>
          <w:p>
            <w:pPr>
              <w:spacing w:line="276" w:lineRule="auto" w:before="0" w:after="40"/>
              <w:jc w:val="left"/>
            </w:pPr>
            <w:r/>
            <w:r>
              <w:rPr>
                <w:rFonts w:ascii="Times New Roman" w:hAnsi="Times New Roman"/>
                <w:b w:val="0"/>
                <w:i w:val="0"/>
                <w:sz w:val="24"/>
              </w:rPr>
              <w:t>4.0 - 6.0 Hours</w:t>
            </w:r>
          </w:p>
        </w:tc>
        <w:tc>
          <w:tcPr>
            <w:tcW w:type="dxa" w:w="2160"/>
            <w:vAlign w:val="center"/>
            <w:shd w:fill="F8FAFC"/>
          </w:tcPr>
          <w:p>
            <w:pPr>
              <w:spacing w:line="276" w:lineRule="auto" w:before="0" w:after="40"/>
              <w:jc w:val="left"/>
            </w:pPr>
            <w:r/>
            <w:r>
              <w:rPr>
                <w:rFonts w:ascii="Times New Roman" w:hAnsi="Times New Roman"/>
                <w:b w:val="0"/>
                <w:i w:val="0"/>
                <w:sz w:val="24"/>
              </w:rPr>
              <w:t>0.5% per year (ballast heat decay)</w:t>
            </w:r>
          </w:p>
        </w:tc>
      </w:tr>
      <w:tr>
        <w:tc>
          <w:tcPr>
            <w:tcW w:type="dxa" w:w="3168"/>
            <w:vAlign w:val="center"/>
          </w:tcPr>
          <w:p>
            <w:pPr>
              <w:spacing w:line="276" w:lineRule="auto" w:before="0" w:after="40"/>
              <w:jc w:val="left"/>
            </w:pPr>
            <w:r/>
            <w:r>
              <w:rPr>
                <w:rFonts w:ascii="Times New Roman" w:hAnsi="Times New Roman"/>
                <w:b w:val="0"/>
                <w:i w:val="0"/>
                <w:sz w:val="24"/>
              </w:rPr>
              <w:t>Ceiling Fan (Induction / BLDC)</w:t>
            </w:r>
          </w:p>
        </w:tc>
        <w:tc>
          <w:tcPr>
            <w:tcW w:type="dxa" w:w="2592"/>
            <w:vAlign w:val="center"/>
          </w:tcPr>
          <w:p>
            <w:pPr>
              <w:spacing w:line="276" w:lineRule="auto" w:before="0" w:after="40"/>
              <w:jc w:val="left"/>
            </w:pPr>
            <w:r/>
            <w:r>
              <w:rPr>
                <w:rFonts w:ascii="Times New Roman" w:hAnsi="Times New Roman"/>
                <w:b w:val="0"/>
                <w:i w:val="0"/>
                <w:sz w:val="24"/>
              </w:rPr>
              <w:t>28 - 75 Watts</w:t>
            </w:r>
          </w:p>
        </w:tc>
        <w:tc>
          <w:tcPr>
            <w:tcW w:type="dxa" w:w="2160"/>
            <w:vAlign w:val="center"/>
          </w:tcPr>
          <w:p>
            <w:pPr>
              <w:spacing w:line="276" w:lineRule="auto" w:before="0" w:after="40"/>
              <w:jc w:val="left"/>
            </w:pPr>
            <w:r/>
            <w:r>
              <w:rPr>
                <w:rFonts w:ascii="Times New Roman" w:hAnsi="Times New Roman"/>
                <w:b w:val="0"/>
                <w:i w:val="0"/>
                <w:sz w:val="24"/>
              </w:rPr>
              <w:t>8.0 - 16.0 Hours</w:t>
            </w:r>
          </w:p>
        </w:tc>
        <w:tc>
          <w:tcPr>
            <w:tcW w:type="dxa" w:w="2160"/>
            <w:vAlign w:val="center"/>
          </w:tcPr>
          <w:p>
            <w:pPr>
              <w:spacing w:line="276" w:lineRule="auto" w:before="0" w:after="40"/>
              <w:jc w:val="left"/>
            </w:pPr>
            <w:r/>
            <w:r>
              <w:rPr>
                <w:rFonts w:ascii="Times New Roman" w:hAnsi="Times New Roman"/>
                <w:b w:val="0"/>
                <w:i w:val="0"/>
                <w:sz w:val="24"/>
              </w:rPr>
              <w:t>1.0% per year (stator winding heat)</w:t>
            </w:r>
          </w:p>
        </w:tc>
      </w:tr>
      <w:tr>
        <w:tc>
          <w:tcPr>
            <w:tcW w:type="dxa" w:w="3168"/>
            <w:vAlign w:val="center"/>
            <w:shd w:fill="F8FAFC"/>
          </w:tcPr>
          <w:p>
            <w:pPr>
              <w:spacing w:line="276" w:lineRule="auto" w:before="0" w:after="40"/>
              <w:jc w:val="left"/>
            </w:pPr>
            <w:r/>
            <w:r>
              <w:rPr>
                <w:rFonts w:ascii="Times New Roman" w:hAnsi="Times New Roman"/>
                <w:b w:val="0"/>
                <w:i w:val="0"/>
                <w:sz w:val="24"/>
              </w:rPr>
              <w:t>Double-Door Refrigerator (350L)</w:t>
            </w:r>
          </w:p>
        </w:tc>
        <w:tc>
          <w:tcPr>
            <w:tcW w:type="dxa" w:w="2592"/>
            <w:vAlign w:val="center"/>
            <w:shd w:fill="F8FAFC"/>
          </w:tcPr>
          <w:p>
            <w:pPr>
              <w:spacing w:line="276" w:lineRule="auto" w:before="0" w:after="40"/>
              <w:jc w:val="left"/>
            </w:pPr>
            <w:r/>
            <w:r>
              <w:rPr>
                <w:rFonts w:ascii="Times New Roman" w:hAnsi="Times New Roman"/>
                <w:b w:val="0"/>
                <w:i w:val="0"/>
                <w:sz w:val="24"/>
              </w:rPr>
              <w:t>250 - 350 Watts</w:t>
            </w:r>
          </w:p>
        </w:tc>
        <w:tc>
          <w:tcPr>
            <w:tcW w:type="dxa" w:w="2160"/>
            <w:vAlign w:val="center"/>
            <w:shd w:fill="F8FAFC"/>
          </w:tcPr>
          <w:p>
            <w:pPr>
              <w:spacing w:line="276" w:lineRule="auto" w:before="0" w:after="40"/>
              <w:jc w:val="left"/>
            </w:pPr>
            <w:r/>
            <w:r>
              <w:rPr>
                <w:rFonts w:ascii="Times New Roman" w:hAnsi="Times New Roman"/>
                <w:b w:val="0"/>
                <w:i w:val="0"/>
                <w:sz w:val="24"/>
              </w:rPr>
              <w:t>24.0 Hours (continuous)</w:t>
            </w:r>
          </w:p>
        </w:tc>
        <w:tc>
          <w:tcPr>
            <w:tcW w:type="dxa" w:w="2160"/>
            <w:vAlign w:val="center"/>
            <w:shd w:fill="F8FAFC"/>
          </w:tcPr>
          <w:p>
            <w:pPr>
              <w:spacing w:line="276" w:lineRule="auto" w:before="0" w:after="40"/>
              <w:jc w:val="left"/>
            </w:pPr>
            <w:r/>
            <w:r>
              <w:rPr>
                <w:rFonts w:ascii="Times New Roman" w:hAnsi="Times New Roman"/>
                <w:b w:val="0"/>
                <w:i w:val="0"/>
                <w:sz w:val="24"/>
              </w:rPr>
              <w:t>1.5% per year (refrigerant decay)</w:t>
            </w:r>
          </w:p>
        </w:tc>
      </w:tr>
      <w:tr>
        <w:tc>
          <w:tcPr>
            <w:tcW w:type="dxa" w:w="3168"/>
            <w:vAlign w:val="center"/>
          </w:tcPr>
          <w:p>
            <w:pPr>
              <w:spacing w:line="276" w:lineRule="auto" w:before="0" w:after="40"/>
              <w:jc w:val="left"/>
            </w:pPr>
            <w:r/>
            <w:r>
              <w:rPr>
                <w:rFonts w:ascii="Times New Roman" w:hAnsi="Times New Roman"/>
                <w:b w:val="0"/>
                <w:i w:val="0"/>
                <w:sz w:val="24"/>
              </w:rPr>
              <w:t>Split Air Conditioner (1.5 Ton)</w:t>
            </w:r>
          </w:p>
        </w:tc>
        <w:tc>
          <w:tcPr>
            <w:tcW w:type="dxa" w:w="2592"/>
            <w:vAlign w:val="center"/>
          </w:tcPr>
          <w:p>
            <w:pPr>
              <w:spacing w:line="276" w:lineRule="auto" w:before="0" w:after="40"/>
              <w:jc w:val="left"/>
            </w:pPr>
            <w:r/>
            <w:r>
              <w:rPr>
                <w:rFonts w:ascii="Times New Roman" w:hAnsi="Times New Roman"/>
                <w:b w:val="0"/>
                <w:i w:val="0"/>
                <w:sz w:val="24"/>
              </w:rPr>
              <w:t>1200 - 2000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2.0% per year (compressor cylinder wear)</w:t>
            </w:r>
          </w:p>
        </w:tc>
      </w:tr>
      <w:tr>
        <w:tc>
          <w:tcPr>
            <w:tcW w:type="dxa" w:w="3168"/>
            <w:vAlign w:val="center"/>
            <w:shd w:fill="F8FAFC"/>
          </w:tcPr>
          <w:p>
            <w:pPr>
              <w:spacing w:line="276" w:lineRule="auto" w:before="0" w:after="40"/>
              <w:jc w:val="left"/>
            </w:pPr>
            <w:r/>
            <w:r>
              <w:rPr>
                <w:rFonts w:ascii="Times New Roman" w:hAnsi="Times New Roman"/>
                <w:b w:val="0"/>
                <w:i w:val="0"/>
                <w:sz w:val="24"/>
              </w:rPr>
              <w:t>Storage Geyser (15L / 25L)</w:t>
            </w:r>
          </w:p>
        </w:tc>
        <w:tc>
          <w:tcPr>
            <w:tcW w:type="dxa" w:w="2592"/>
            <w:vAlign w:val="center"/>
            <w:shd w:fill="F8FAFC"/>
          </w:tcPr>
          <w:p>
            <w:pPr>
              <w:spacing w:line="276" w:lineRule="auto" w:before="0" w:after="40"/>
              <w:jc w:val="left"/>
            </w:pPr>
            <w:r/>
            <w:r>
              <w:rPr>
                <w:rFonts w:ascii="Times New Roman" w:hAnsi="Times New Roman"/>
                <w:b w:val="0"/>
                <w:i w:val="0"/>
                <w:sz w:val="24"/>
              </w:rPr>
              <w:t>2000 Watts</w:t>
            </w:r>
          </w:p>
        </w:tc>
        <w:tc>
          <w:tcPr>
            <w:tcW w:type="dxa" w:w="2160"/>
            <w:vAlign w:val="center"/>
            <w:shd w:fill="F8FAFC"/>
          </w:tcPr>
          <w:p>
            <w:pPr>
              <w:spacing w:line="276" w:lineRule="auto" w:before="0" w:after="40"/>
              <w:jc w:val="left"/>
            </w:pPr>
            <w:r/>
            <w:r>
              <w:rPr>
                <w:rFonts w:ascii="Times New Roman" w:hAnsi="Times New Roman"/>
                <w:b w:val="0"/>
                <w:i w:val="0"/>
                <w:sz w:val="24"/>
              </w:rPr>
              <w:t>0.5 - 1.5 Hours</w:t>
            </w:r>
          </w:p>
        </w:tc>
        <w:tc>
          <w:tcPr>
            <w:tcW w:type="dxa" w:w="2160"/>
            <w:vAlign w:val="center"/>
            <w:shd w:fill="F8FAFC"/>
          </w:tcPr>
          <w:p>
            <w:pPr>
              <w:spacing w:line="276" w:lineRule="auto" w:before="0" w:after="40"/>
              <w:jc w:val="left"/>
            </w:pPr>
            <w:r/>
            <w:r>
              <w:rPr>
                <w:rFonts w:ascii="Times New Roman" w:hAnsi="Times New Roman"/>
                <w:b w:val="0"/>
                <w:i w:val="0"/>
                <w:sz w:val="24"/>
              </w:rPr>
              <w:t>1.0% per year (element scale buildup)</w:t>
            </w:r>
          </w:p>
        </w:tc>
      </w:tr>
      <w:tr>
        <w:tc>
          <w:tcPr>
            <w:tcW w:type="dxa" w:w="3168"/>
            <w:vAlign w:val="center"/>
          </w:tcPr>
          <w:p>
            <w:pPr>
              <w:spacing w:line="276" w:lineRule="auto" w:before="0" w:after="40"/>
              <w:jc w:val="left"/>
            </w:pPr>
            <w:r/>
            <w:r>
              <w:rPr>
                <w:rFonts w:ascii="Times New Roman" w:hAnsi="Times New Roman"/>
                <w:b w:val="0"/>
                <w:i w:val="0"/>
                <w:sz w:val="24"/>
              </w:rPr>
              <w:t>Washing Machine (Front-Load)</w:t>
            </w:r>
          </w:p>
        </w:tc>
        <w:tc>
          <w:tcPr>
            <w:tcW w:type="dxa" w:w="2592"/>
            <w:vAlign w:val="center"/>
          </w:tcPr>
          <w:p>
            <w:pPr>
              <w:spacing w:line="276" w:lineRule="auto" w:before="0" w:after="40"/>
              <w:jc w:val="left"/>
            </w:pPr>
            <w:r/>
            <w:r>
              <w:rPr>
                <w:rFonts w:ascii="Times New Roman" w:hAnsi="Times New Roman"/>
                <w:b w:val="0"/>
                <w:i w:val="0"/>
                <w:sz w:val="24"/>
              </w:rPr>
              <w:t>500 - 1800 Watts</w:t>
            </w:r>
          </w:p>
        </w:tc>
        <w:tc>
          <w:tcPr>
            <w:tcW w:type="dxa" w:w="2160"/>
            <w:vAlign w:val="center"/>
          </w:tcPr>
          <w:p>
            <w:pPr>
              <w:spacing w:line="276" w:lineRule="auto" w:before="0" w:after="40"/>
              <w:jc w:val="left"/>
            </w:pPr>
            <w:r/>
            <w:r>
              <w:rPr>
                <w:rFonts w:ascii="Times New Roman" w:hAnsi="Times New Roman"/>
                <w:b w:val="0"/>
                <w:i w:val="0"/>
                <w:sz w:val="24"/>
              </w:rPr>
              <w:t>1.0 Hour</w:t>
            </w:r>
          </w:p>
        </w:tc>
        <w:tc>
          <w:tcPr>
            <w:tcW w:type="dxa" w:w="2160"/>
            <w:vAlign w:val="center"/>
          </w:tcPr>
          <w:p>
            <w:pPr>
              <w:spacing w:line="276" w:lineRule="auto" w:before="0" w:after="40"/>
              <w:jc w:val="left"/>
            </w:pPr>
            <w:r/>
            <w:r>
              <w:rPr>
                <w:rFonts w:ascii="Times New Roman" w:hAnsi="Times New Roman"/>
                <w:b w:val="0"/>
                <w:i w:val="0"/>
                <w:sz w:val="24"/>
              </w:rPr>
              <w:t>0.5% per year (drum motor bearings)</w:t>
            </w:r>
          </w:p>
        </w:tc>
      </w:tr>
    </w:tbl>
    <w:p>
      <w:pPr>
        <w:spacing w:line="360" w:lineRule="auto" w:before="120" w:after="120"/>
        <w:jc w:val="both"/>
      </w:pPr>
    </w:p>
    <w:p>
      <w:pPr>
        <w:spacing w:line="360" w:lineRule="auto" w:before="120" w:after="80"/>
        <w:jc w:val="left"/>
        <w:keepNext/>
      </w:pPr>
      <w:r>
        <w:rPr>
          <w:rFonts w:ascii="Times New Roman" w:hAnsi="Times New Roman"/>
          <w:b/>
          <w:i w:val="0"/>
          <w:sz w:val="24"/>
        </w:rPr>
        <w:t>3.1.2 Regional Baseline Survey (30 Domestic Connections)</w:t>
      </w:r>
    </w:p>
    <w:p>
      <w:pPr>
        <w:spacing w:line="360" w:lineRule="auto" w:before="0" w:after="120"/>
        <w:jc w:val="both"/>
      </w:pPr>
      <w:r>
        <w:rPr>
          <w:rFonts w:ascii="Times New Roman" w:hAnsi="Times New Roman"/>
          <w:b w:val="0"/>
          <w:i w:val="0"/>
          <w:sz w:val="24"/>
        </w:rPr>
        <w:t>To validate the system's auditing algorithms, a regional energy survey was conducted across 30 representative domestic connections in Andhra Pradesh. These connections spanned various urban and semi-urban household sizes (ranging from 2-member apartments to 6-member multi-story homes) under the APSPDCL distribution zone.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Survey Statistics:</w:t>
      </w:r>
      <w:r>
        <w:rPr>
          <w:rFonts w:ascii="Times New Roman" w:hAnsi="Times New Roman"/>
          <w:b w:val="0"/>
          <w:i w:val="0"/>
          <w:sz w:val="24"/>
        </w:rPr>
        <w:t xml:space="preserve"> The average monthly electricity bill across the sample was ₹1,727, with a total cumulative baseline consumption of 8,100 kWh across all 30 households (an average of 270 kWh per household per month).</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Energy Hog Distribution:</w:t>
      </w:r>
      <w:r>
        <w:rPr>
          <w:rFonts w:ascii="Times New Roman" w:hAnsi="Times New Roman"/>
          <w:b w:val="0"/>
          <w:i w:val="0"/>
          <w:sz w:val="24"/>
        </w:rPr>
        <w:t xml:space="preserve"> The survey isolated appliance-level energy drivers, revealing that Air Conditioners (AC) and double-door Refrigerators dominated power consumption. Specifically, ACs were the primary energy hogs in 12 households, double-door refrigerators in 12 households, and storage geysers in 6 households.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Savings Scaling Analysis:</w:t>
      </w:r>
      <w:r>
        <w:rPr>
          <w:rFonts w:ascii="Times New Roman" w:hAnsi="Times New Roman"/>
          <w:b w:val="0"/>
          <w:i w:val="0"/>
          <w:sz w:val="24"/>
        </w:rPr>
        <w:t xml:space="preserve"> The survey analyzed the relationship between the number of appliances in a home and the potential monthly savings achievable through auditing. For a basic household with 3 primary appliances (LEDs, fan, single-door fridge), the potential savings were estimated at ₹250/month, primarily through temperature calibration (e.g. setting the fridge to medium-cool instead of maximum). However, for a larger household with 7+ appliances (multiple ACs, front-load washer, geyser, multiple ceiling fans), the potential savings scaled to over ₹1,000/month by shifting heavy laundry and pumping loads out of evening peak slots and upgrading to BLDC motor fans.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3.1: Household Survey Analytics Dashboard (30 Domestic Connections)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3.2: Energy Consumption vs. Estimated Monthly Bill Correlation Chart</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3.3: Highest Consumer Distribution &amp; Savings Potential by Appliance Load</w:t>
      </w:r>
    </w:p>
    <w:p>
      <w:pPr>
        <w:spacing w:line="360" w:lineRule="auto" w:before="240" w:after="120"/>
        <w:jc w:val="left"/>
        <w:keepNext/>
      </w:pPr>
      <w:r>
        <w:rPr>
          <w:rFonts w:ascii="Times New Roman" w:hAnsi="Times New Roman"/>
          <w:b/>
          <w:i w:val="0"/>
          <w:sz w:val="28"/>
        </w:rPr>
        <w:t>3.2 Requirement Analysis</w:t>
      </w:r>
    </w:p>
    <w:p>
      <w:pPr>
        <w:spacing w:line="360" w:lineRule="auto" w:before="0" w:after="120"/>
        <w:jc w:val="both"/>
      </w:pPr>
      <w:r>
        <w:rPr>
          <w:rFonts w:ascii="Times New Roman" w:hAnsi="Times New Roman"/>
          <w:b w:val="0"/>
          <w:i w:val="0"/>
          <w:sz w:val="24"/>
        </w:rPr>
        <w:t>The system requirements are categorized into functional specifications (what the software does) and non-functional specifications (the operational quality attributes of the system).</w:t>
      </w:r>
    </w:p>
    <w:p>
      <w:pPr>
        <w:spacing w:line="360" w:lineRule="auto" w:before="120" w:after="80"/>
        <w:jc w:val="left"/>
        <w:keepNext/>
      </w:pPr>
      <w:r>
        <w:rPr>
          <w:rFonts w:ascii="Times New Roman" w:hAnsi="Times New Roman"/>
          <w:b/>
          <w:i w:val="0"/>
          <w:sz w:val="24"/>
        </w:rPr>
        <w:t>3.2.1 Functional Requirements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User Authentication &amp; Security:</w:t>
      </w:r>
      <w:r>
        <w:rPr>
          <w:rFonts w:ascii="Times New Roman" w:hAnsi="Times New Roman"/>
          <w:b w:val="0"/>
          <w:i w:val="0"/>
          <w:sz w:val="24"/>
        </w:rPr>
        <w:t xml:space="preserve"> Users must be able to securely register accounts, log in, and request password resets. User sessions must be managed globally using authentication states, and routes must be protected so that only authenticated users can access the dashboard.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Appliance Auditing Wizard:</w:t>
      </w:r>
      <w:r>
        <w:rPr>
          <w:rFonts w:ascii="Times New Roman" w:hAnsi="Times New Roman"/>
          <w:b w:val="0"/>
          <w:i w:val="0"/>
          <w:sz w:val="24"/>
        </w:rPr>
        <w:t xml:space="preserve"> The system must provide a step-by-step diagnostic interface where users can select appliances, specify quantities, configure daily runtimes, and input appliance age. The calculation engine must apply age-based efficiency decay (e.g. 2% efficiency drop per year of age) to estimate energy footprint.</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Solar ROI Simulator:</w:t>
      </w:r>
      <w:r>
        <w:rPr>
          <w:rFonts w:ascii="Times New Roman" w:hAnsi="Times New Roman"/>
          <w:b w:val="0"/>
          <w:i w:val="0"/>
          <w:sz w:val="24"/>
        </w:rPr>
        <w:t xml:space="preserve"> The simulator must provide sliders to configure monthly bills and roof areas. It must recommend a solar capacity size (in kW), count the required panels, estimate upfront installation costs, and compile a 25-year compounding cash flow forecasting cumulative savings and break-even payback years.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3D Roof Visualizer:</w:t>
      </w:r>
      <w:r>
        <w:rPr>
          <w:rFonts w:ascii="Times New Roman" w:hAnsi="Times New Roman"/>
          <w:b w:val="0"/>
          <w:i w:val="0"/>
          <w:sz w:val="24"/>
        </w:rPr>
        <w:t xml:space="preserve"> The system must render a dynamic 3D canvas illustration of a roof showing panels. The rendering must update layout, panel count, orientation (South, East, West), and shading in response to slider selections.</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Electricity Bill OCR Analyzer:</w:t>
      </w:r>
      <w:r>
        <w:rPr>
          <w:rFonts w:ascii="Times New Roman" w:hAnsi="Times New Roman"/>
          <w:b w:val="0"/>
          <w:i w:val="0"/>
          <w:sz w:val="24"/>
        </w:rPr>
        <w:t xml:space="preserve"> The analyzer must allow users to upload images or PDFs of utility bills. It must render PDF pages onto a canvas, run OCR scanning via Tesseract.js to extract text, and parse it via Gemini AI (with a client-side regex fallback) into structured billing metadata, presenting the results in a 7-panel breakdown.</w:t>
      </w:r>
    </w:p>
    <w:p>
      <w:pPr>
        <w:spacing w:line="360" w:lineRule="auto" w:before="80" w:after="80"/>
        <w:jc w:val="both"/>
      </w:pPr>
      <w:r>
        <w:rPr>
          <w:rFonts w:ascii="Times New Roman" w:hAnsi="Times New Roman"/>
          <w:b w:val="0"/>
          <w:i w:val="0"/>
          <w:sz w:val="24"/>
        </w:rPr>
        <w:t xml:space="preserve">6.  </w:t>
      </w:r>
      <w:r>
        <w:rPr>
          <w:rFonts w:ascii="Times New Roman" w:hAnsi="Times New Roman"/>
          <w:b/>
          <w:i w:val="0"/>
          <w:sz w:val="24"/>
        </w:rPr>
        <w:t>DISCOM Slab Editor:</w:t>
      </w:r>
      <w:r>
        <w:rPr>
          <w:rFonts w:ascii="Times New Roman" w:hAnsi="Times New Roman"/>
          <w:b w:val="0"/>
          <w:i w:val="0"/>
          <w:sz w:val="24"/>
        </w:rPr>
        <w:t xml:space="preserve"> Administrators must be able to view, add, edit, and delete regional tariffs (slabs, fixed charges, taxes, subsidies) in settings. The rates must synchronize directly with Firestore, instantly updating calculations across all user sessions.</w:t>
      </w:r>
    </w:p>
    <w:p>
      <w:pPr>
        <w:spacing w:line="360" w:lineRule="auto" w:before="80" w:after="80"/>
        <w:jc w:val="both"/>
      </w:pPr>
      <w:r>
        <w:rPr>
          <w:rFonts w:ascii="Times New Roman" w:hAnsi="Times New Roman"/>
          <w:b w:val="0"/>
          <w:i w:val="0"/>
          <w:sz w:val="24"/>
        </w:rPr>
        <w:t xml:space="preserve">7.  </w:t>
      </w:r>
      <w:r>
        <w:rPr>
          <w:rFonts w:ascii="Times New Roman" w:hAnsi="Times New Roman"/>
          <w:b/>
          <w:i w:val="0"/>
          <w:sz w:val="24"/>
        </w:rPr>
        <w:t>Voice-Enabled AI Chatbot:</w:t>
      </w:r>
      <w:r>
        <w:rPr>
          <w:rFonts w:ascii="Times New Roman" w:hAnsi="Times New Roman"/>
          <w:b w:val="0"/>
          <w:i w:val="0"/>
          <w:sz w:val="24"/>
        </w:rPr>
        <w:t xml:space="preserve"> The chatbot must accept voice commands via speech recognition, retrieve the user's active billing and appliance parameters, and read conservation recommendations aloud using speech synthesis.</w:t>
      </w:r>
    </w:p>
    <w:p>
      <w:pPr>
        <w:spacing w:line="360" w:lineRule="auto" w:before="120" w:after="80"/>
        <w:jc w:val="left"/>
        <w:keepNext/>
      </w:pPr>
      <w:r>
        <w:rPr>
          <w:rFonts w:ascii="Times New Roman" w:hAnsi="Times New Roman"/>
          <w:b/>
          <w:i w:val="0"/>
          <w:sz w:val="24"/>
        </w:rPr>
        <w:t>3.2.2 Non-Functional Requirements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Security &amp; Privacy:</w:t>
      </w:r>
      <w:r>
        <w:rPr>
          <w:rFonts w:ascii="Times New Roman" w:hAnsi="Times New Roman"/>
          <w:b w:val="0"/>
          <w:i w:val="0"/>
          <w:sz w:val="24"/>
        </w:rPr>
        <w:t xml:space="preserve"> User documents must be stored securely. Cloud Firestore security rules must enforce that users can only read, write, or delete their own data collections, matching their authenticated Firebase Auth token UID.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Performance &amp; Latency:</w:t>
      </w:r>
      <w:r>
        <w:rPr>
          <w:rFonts w:ascii="Times New Roman" w:hAnsi="Times New Roman"/>
          <w:b w:val="0"/>
          <w:i w:val="0"/>
          <w:sz w:val="24"/>
        </w:rPr>
        <w:t xml:space="preserve"> The single-page application must load in under 2 seconds. State updates (recalculating the 25-year compounding ROI matrix or drawing new 3D roof panel layouts) must execute in under 100 milliseconds upon slider adjustments.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Scalability &amp; Availability:</w:t>
      </w:r>
      <w:r>
        <w:rPr>
          <w:rFonts w:ascii="Times New Roman" w:hAnsi="Times New Roman"/>
          <w:b w:val="0"/>
          <w:i w:val="0"/>
          <w:sz w:val="24"/>
        </w:rPr>
        <w:t xml:space="preserve"> The serverless architecture must handle scale fluctuations automatically. Deployed static files must be served from a global CDN (Firebase Hosting), and Firestore must scale connections dynamically without server bottlenecks.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Responsive Design:</w:t>
      </w:r>
      <w:r>
        <w:rPr>
          <w:rFonts w:ascii="Times New Roman" w:hAnsi="Times New Roman"/>
          <w:b w:val="0"/>
          <w:i w:val="0"/>
          <w:sz w:val="24"/>
        </w:rPr>
        <w:t xml:space="preserve"> The user interface must layout cleanly across multiple viewport widths (320px to 1920px). Native select elements and tables must render legibly on small mobile screens.</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Robustness &amp; Fault Tolerance:</w:t>
      </w:r>
      <w:r>
        <w:rPr>
          <w:rFonts w:ascii="Times New Roman" w:hAnsi="Times New Roman"/>
          <w:b w:val="0"/>
          <w:i w:val="0"/>
          <w:sz w:val="24"/>
        </w:rPr>
        <w:t xml:space="preserve"> The application must utilize class-based React Error Boundaries. A crash on a specific tab (such as a database fetch failure or a local WebGL error) must be caught locally, displaying a recovery card without crashing the entire application.</w:t>
      </w:r>
    </w:p>
    <w:p>
      <w:pPr>
        <w:spacing w:line="360" w:lineRule="auto" w:before="240" w:after="120"/>
        <w:jc w:val="left"/>
        <w:keepNext/>
      </w:pPr>
      <w:r>
        <w:rPr>
          <w:rFonts w:ascii="Times New Roman" w:hAnsi="Times New Roman"/>
          <w:b/>
          <w:i w:val="0"/>
          <w:sz w:val="28"/>
        </w:rPr>
        <w:t>3.3 Technology Stack Selection &amp; Comparisons</w:t>
      </w:r>
    </w:p>
    <w:p>
      <w:pPr>
        <w:spacing w:line="360" w:lineRule="auto" w:before="0" w:after="120"/>
        <w:jc w:val="both"/>
      </w:pPr>
      <w:r>
        <w:rPr>
          <w:rFonts w:ascii="Times New Roman" w:hAnsi="Times New Roman"/>
          <w:b w:val="0"/>
          <w:i w:val="0"/>
          <w:sz w:val="24"/>
        </w:rPr>
        <w:t>To justify the selected technology stack (React, Vite, TypeScript, Tailwind CSS, Firestore, Tesseract.js), we evaluate them against alternative solutions.</w:t>
      </w:r>
    </w:p>
    <w:p>
      <w:pPr>
        <w:spacing w:line="360" w:lineRule="auto" w:before="240" w:after="120"/>
        <w:jc w:val="center"/>
      </w:pPr>
      <w:r>
        <w:rPr>
          <w:rFonts w:ascii="Times New Roman" w:hAnsi="Times New Roman"/>
          <w:b/>
          <w:i w:val="0"/>
          <w:sz w:val="24"/>
        </w:rPr>
        <w:t>Table 3.2: Technology Stack Comparative Analysis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Technology Selection</w:t>
            </w:r>
          </w:p>
        </w:tc>
        <w:tc>
          <w:tcPr>
            <w:tcW w:type="dxa" w:w="2592"/>
            <w:shd w:fill="F1F5F9"/>
            <w:vAlign w:val="center"/>
          </w:tcPr>
          <w:p>
            <w:pPr>
              <w:spacing w:line="276" w:lineRule="auto" w:before="0" w:after="40"/>
              <w:jc w:val="center"/>
            </w:pPr>
            <w:r/>
            <w:r>
              <w:rPr>
                <w:rFonts w:ascii="Times New Roman" w:hAnsi="Times New Roman"/>
                <w:b/>
                <w:i w:val="0"/>
                <w:sz w:val="20"/>
              </w:rPr>
              <w:t>Alternative Options</w:t>
            </w:r>
          </w:p>
        </w:tc>
        <w:tc>
          <w:tcPr>
            <w:tcW w:type="dxa" w:w="4608"/>
            <w:shd w:fill="F1F5F9"/>
            <w:vAlign w:val="center"/>
          </w:tcPr>
          <w:p>
            <w:pPr>
              <w:spacing w:line="276" w:lineRule="auto" w:before="0" w:after="40"/>
              <w:jc w:val="center"/>
            </w:pPr>
            <w:r/>
            <w:r>
              <w:rPr>
                <w:rFonts w:ascii="Times New Roman" w:hAnsi="Times New Roman"/>
                <w:b/>
                <w:i w:val="0"/>
                <w:sz w:val="20"/>
              </w:rPr>
              <w:t>Key Technical Rationale</w:t>
            </w:r>
          </w:p>
        </w:tc>
      </w:tr>
      <w:tr>
        <w:tc>
          <w:tcPr>
            <w:tcW w:type="dxa" w:w="2880"/>
            <w:vAlign w:val="center"/>
          </w:tcPr>
          <w:p>
            <w:pPr>
              <w:spacing w:line="276" w:lineRule="auto" w:before="0" w:after="40"/>
              <w:jc w:val="left"/>
            </w:pPr>
            <w:r/>
            <w:r>
              <w:rPr>
                <w:rFonts w:ascii="Times New Roman" w:hAnsi="Times New Roman"/>
                <w:b w:val="0"/>
                <w:i w:val="0"/>
                <w:sz w:val="24"/>
              </w:rPr>
              <w:t>React 19 + TypeScript + Vite</w:t>
            </w:r>
          </w:p>
        </w:tc>
        <w:tc>
          <w:tcPr>
            <w:tcW w:type="dxa" w:w="2592"/>
            <w:vAlign w:val="center"/>
          </w:tcPr>
          <w:p>
            <w:pPr>
              <w:spacing w:line="276" w:lineRule="auto" w:before="0" w:after="40"/>
              <w:jc w:val="left"/>
            </w:pPr>
            <w:r/>
            <w:r>
              <w:rPr>
                <w:rFonts w:ascii="Times New Roman" w:hAnsi="Times New Roman"/>
                <w:b w:val="0"/>
                <w:i w:val="0"/>
                <w:sz w:val="24"/>
              </w:rPr>
              <w:t>Vue 3, Angular 17</w:t>
            </w:r>
          </w:p>
        </w:tc>
        <w:tc>
          <w:tcPr>
            <w:tcW w:type="dxa" w:w="4608"/>
            <w:vAlign w:val="center"/>
          </w:tcPr>
          <w:p>
            <w:pPr>
              <w:spacing w:line="276" w:lineRule="auto" w:before="0" w:after="40"/>
              <w:jc w:val="left"/>
            </w:pPr>
            <w:r/>
            <w:r>
              <w:rPr>
                <w:rFonts w:ascii="Times New Roman" w:hAnsi="Times New Roman"/>
                <w:b w:val="0"/>
                <w:i w:val="0"/>
                <w:sz w:val="24"/>
              </w:rPr>
              <w:t>React's Virtual DOM diffing is ideal for compiling state adjustments instantly across the 3D canvas and Recharts plots. TypeScript ensures type-safety, and Vite delivers 100ms HMR builds.</w:t>
            </w:r>
          </w:p>
        </w:tc>
      </w:tr>
      <w:tr>
        <w:tc>
          <w:tcPr>
            <w:tcW w:type="dxa" w:w="2880"/>
            <w:vAlign w:val="center"/>
            <w:shd w:fill="F8FAFC"/>
          </w:tcPr>
          <w:p>
            <w:pPr>
              <w:spacing w:line="276" w:lineRule="auto" w:before="0" w:after="40"/>
              <w:jc w:val="left"/>
            </w:pPr>
            <w:r/>
            <w:r>
              <w:rPr>
                <w:rFonts w:ascii="Times New Roman" w:hAnsi="Times New Roman"/>
                <w:b w:val="0"/>
                <w:i w:val="0"/>
                <w:sz w:val="24"/>
              </w:rPr>
              <w:t>Tailwind CSS v4</w:t>
            </w:r>
          </w:p>
        </w:tc>
        <w:tc>
          <w:tcPr>
            <w:tcW w:type="dxa" w:w="2592"/>
            <w:vAlign w:val="center"/>
            <w:shd w:fill="F8FAFC"/>
          </w:tcPr>
          <w:p>
            <w:pPr>
              <w:spacing w:line="276" w:lineRule="auto" w:before="0" w:after="40"/>
              <w:jc w:val="left"/>
            </w:pPr>
            <w:r/>
            <w:r>
              <w:rPr>
                <w:rFonts w:ascii="Times New Roman" w:hAnsi="Times New Roman"/>
                <w:b w:val="0"/>
                <w:i w:val="0"/>
                <w:sz w:val="24"/>
              </w:rPr>
              <w:t>CSS Modules, Bootstrap</w:t>
            </w:r>
          </w:p>
        </w:tc>
        <w:tc>
          <w:tcPr>
            <w:tcW w:type="dxa" w:w="4608"/>
            <w:vAlign w:val="center"/>
            <w:shd w:fill="F8FAFC"/>
          </w:tcPr>
          <w:p>
            <w:pPr>
              <w:spacing w:line="276" w:lineRule="auto" w:before="0" w:after="40"/>
              <w:jc w:val="left"/>
            </w:pPr>
            <w:r/>
            <w:r>
              <w:rPr>
                <w:rFonts w:ascii="Times New Roman" w:hAnsi="Times New Roman"/>
                <w:b w:val="0"/>
                <w:i w:val="0"/>
                <w:sz w:val="24"/>
              </w:rPr>
              <w:t>Tailwind CSS v4 supports modern layout classes, custom glassmorphism components, and responsive grid utilities out of the box.</w:t>
            </w:r>
          </w:p>
        </w:tc>
      </w:tr>
      <w:tr>
        <w:tc>
          <w:tcPr>
            <w:tcW w:type="dxa" w:w="2880"/>
            <w:vAlign w:val="center"/>
          </w:tcPr>
          <w:p>
            <w:pPr>
              <w:spacing w:line="276" w:lineRule="auto" w:before="0" w:after="40"/>
              <w:jc w:val="left"/>
            </w:pPr>
            <w:r/>
            <w:r>
              <w:rPr>
                <w:rFonts w:ascii="Times New Roman" w:hAnsi="Times New Roman"/>
                <w:b w:val="0"/>
                <w:i w:val="0"/>
                <w:sz w:val="24"/>
              </w:rPr>
              <w:t>Cloud Firestore (NoSQL)</w:t>
            </w:r>
          </w:p>
        </w:tc>
        <w:tc>
          <w:tcPr>
            <w:tcW w:type="dxa" w:w="2592"/>
            <w:vAlign w:val="center"/>
          </w:tcPr>
          <w:p>
            <w:pPr>
              <w:spacing w:line="276" w:lineRule="auto" w:before="0" w:after="40"/>
              <w:jc w:val="left"/>
            </w:pPr>
            <w:r/>
            <w:r>
              <w:rPr>
                <w:rFonts w:ascii="Times New Roman" w:hAnsi="Times New Roman"/>
                <w:b w:val="0"/>
                <w:i w:val="0"/>
                <w:sz w:val="24"/>
              </w:rPr>
              <w:t>PostgreSQL, MySQL</w:t>
            </w:r>
          </w:p>
        </w:tc>
        <w:tc>
          <w:tcPr>
            <w:tcW w:type="dxa" w:w="4608"/>
            <w:vAlign w:val="center"/>
          </w:tcPr>
          <w:p>
            <w:pPr>
              <w:spacing w:line="276" w:lineRule="auto" w:before="0" w:after="40"/>
              <w:jc w:val="left"/>
            </w:pPr>
            <w:r/>
            <w:r>
              <w:rPr>
                <w:rFonts w:ascii="Times New Roman" w:hAnsi="Times New Roman"/>
                <w:b w:val="0"/>
                <w:i w:val="0"/>
                <w:sz w:val="24"/>
              </w:rPr>
              <w:t>Firestore is serverless, operates over WebSockets for real-time synchronization, and caches client-side query documents for offline support.</w:t>
            </w:r>
          </w:p>
        </w:tc>
      </w:tr>
      <w:tr>
        <w:tc>
          <w:tcPr>
            <w:tcW w:type="dxa" w:w="2880"/>
            <w:vAlign w:val="center"/>
            <w:shd w:fill="F8FAFC"/>
          </w:tcPr>
          <w:p>
            <w:pPr>
              <w:spacing w:line="276" w:lineRule="auto" w:before="0" w:after="40"/>
              <w:jc w:val="left"/>
            </w:pPr>
            <w:r/>
            <w:r>
              <w:rPr>
                <w:rFonts w:ascii="Times New Roman" w:hAnsi="Times New Roman"/>
                <w:b w:val="0"/>
                <w:i w:val="0"/>
                <w:sz w:val="24"/>
              </w:rPr>
              <w:t>Tesseract.js (Client-Side OCR)</w:t>
            </w:r>
          </w:p>
        </w:tc>
        <w:tc>
          <w:tcPr>
            <w:tcW w:type="dxa" w:w="2592"/>
            <w:vAlign w:val="center"/>
            <w:shd w:fill="F8FAFC"/>
          </w:tcPr>
          <w:p>
            <w:pPr>
              <w:spacing w:line="276" w:lineRule="auto" w:before="0" w:after="40"/>
              <w:jc w:val="left"/>
            </w:pPr>
            <w:r/>
            <w:r>
              <w:rPr>
                <w:rFonts w:ascii="Times New Roman" w:hAnsi="Times New Roman"/>
                <w:b w:val="0"/>
                <w:i w:val="0"/>
                <w:sz w:val="24"/>
              </w:rPr>
              <w:t>Google Cloud Vision API</w:t>
            </w:r>
          </w:p>
        </w:tc>
        <w:tc>
          <w:tcPr>
            <w:tcW w:type="dxa" w:w="4608"/>
            <w:vAlign w:val="center"/>
            <w:shd w:fill="F8FAFC"/>
          </w:tcPr>
          <w:p>
            <w:pPr>
              <w:spacing w:line="276" w:lineRule="auto" w:before="0" w:after="40"/>
              <w:jc w:val="left"/>
            </w:pPr>
            <w:r/>
            <w:r>
              <w:rPr>
                <w:rFonts w:ascii="Times New Roman" w:hAnsi="Times New Roman"/>
                <w:b w:val="0"/>
                <w:i w:val="0"/>
                <w:sz w:val="24"/>
              </w:rPr>
              <w:t>Runs entirely in browser Web Workers, keeping scans offline for privacy and avoiding server API subscription fees.</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3.4 Hardware and Software Requirements</w:t>
      </w:r>
    </w:p>
    <w:p>
      <w:pPr>
        <w:spacing w:line="360" w:lineRule="auto" w:before="240" w:after="120"/>
        <w:jc w:val="center"/>
      </w:pPr>
      <w:r>
        <w:rPr>
          <w:rFonts w:ascii="Times New Roman" w:hAnsi="Times New Roman"/>
          <w:b/>
          <w:i w:val="0"/>
          <w:sz w:val="24"/>
        </w:rPr>
        <w:t>Table 3.3: Software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680"/>
        <w:gridCol w:w="4680"/>
      </w:tblGrid>
      <w:tr>
        <w:tc>
          <w:tcPr>
            <w:tcW w:type="dxa" w:w="4032"/>
            <w:shd w:fill="F1F5F9"/>
            <w:vAlign w:val="center"/>
          </w:tcPr>
          <w:p>
            <w:pPr>
              <w:spacing w:line="276" w:lineRule="auto" w:before="0" w:after="40"/>
              <w:jc w:val="center"/>
            </w:pPr>
            <w:r/>
            <w:r>
              <w:rPr>
                <w:rFonts w:ascii="Times New Roman" w:hAnsi="Times New Roman"/>
                <w:b/>
                <w:i w:val="0"/>
                <w:sz w:val="20"/>
              </w:rPr>
              <w:t>Software Environment Layer</w:t>
            </w:r>
          </w:p>
        </w:tc>
        <w:tc>
          <w:tcPr>
            <w:tcW w:type="dxa" w:w="6048"/>
            <w:shd w:fill="F1F5F9"/>
            <w:vAlign w:val="center"/>
          </w:tcPr>
          <w:p>
            <w:pPr>
              <w:spacing w:line="276" w:lineRule="auto" w:before="0" w:after="40"/>
              <w:jc w:val="center"/>
            </w:pPr>
            <w:r/>
            <w:r>
              <w:rPr>
                <w:rFonts w:ascii="Times New Roman" w:hAnsi="Times New Roman"/>
                <w:b/>
                <w:i w:val="0"/>
                <w:sz w:val="20"/>
              </w:rPr>
              <w:t>Minimum Specification Required</w:t>
            </w:r>
          </w:p>
        </w:tc>
      </w:tr>
      <w:tr>
        <w:tc>
          <w:tcPr>
            <w:tcW w:type="dxa" w:w="4032"/>
            <w:vAlign w:val="center"/>
          </w:tcPr>
          <w:p>
            <w:pPr>
              <w:spacing w:line="276" w:lineRule="auto" w:before="0" w:after="40"/>
              <w:jc w:val="left"/>
            </w:pPr>
            <w:r/>
            <w:r>
              <w:rPr>
                <w:rFonts w:ascii="Times New Roman" w:hAnsi="Times New Roman"/>
                <w:b w:val="0"/>
                <w:i w:val="0"/>
                <w:sz w:val="24"/>
              </w:rPr>
              <w:t>Operating System</w:t>
            </w:r>
          </w:p>
        </w:tc>
        <w:tc>
          <w:tcPr>
            <w:tcW w:type="dxa" w:w="6048"/>
            <w:vAlign w:val="center"/>
          </w:tcPr>
          <w:p>
            <w:pPr>
              <w:spacing w:line="276" w:lineRule="auto" w:before="0" w:after="40"/>
              <w:jc w:val="left"/>
            </w:pPr>
            <w:r/>
            <w:r>
              <w:rPr>
                <w:rFonts w:ascii="Times New Roman" w:hAnsi="Times New Roman"/>
                <w:b w:val="0"/>
                <w:i w:val="0"/>
                <w:sz w:val="24"/>
              </w:rPr>
              <w:t>Windows 10/11, macOS Catalina or higher, Ubuntu 20.04 LTS+</w:t>
            </w:r>
          </w:p>
        </w:tc>
      </w:tr>
      <w:tr>
        <w:tc>
          <w:tcPr>
            <w:tcW w:type="dxa" w:w="4032"/>
            <w:vAlign w:val="center"/>
            <w:shd w:fill="F8FAFC"/>
          </w:tcPr>
          <w:p>
            <w:pPr>
              <w:spacing w:line="276" w:lineRule="auto" w:before="0" w:after="40"/>
              <w:jc w:val="left"/>
            </w:pPr>
            <w:r/>
            <w:r>
              <w:rPr>
                <w:rFonts w:ascii="Times New Roman" w:hAnsi="Times New Roman"/>
                <w:b w:val="0"/>
                <w:i w:val="0"/>
                <w:sz w:val="24"/>
              </w:rPr>
              <w:t>Node.js Runtime</w:t>
            </w:r>
          </w:p>
        </w:tc>
        <w:tc>
          <w:tcPr>
            <w:tcW w:type="dxa" w:w="6048"/>
            <w:vAlign w:val="center"/>
            <w:shd w:fill="F8FAFC"/>
          </w:tcPr>
          <w:p>
            <w:pPr>
              <w:spacing w:line="276" w:lineRule="auto" w:before="0" w:after="40"/>
              <w:jc w:val="left"/>
            </w:pPr>
            <w:r/>
            <w:r>
              <w:rPr>
                <w:rFonts w:ascii="Times New Roman" w:hAnsi="Times New Roman"/>
                <w:b w:val="0"/>
                <w:i w:val="0"/>
                <w:sz w:val="24"/>
              </w:rPr>
              <w:t>Node.js v18.0.0 or higher (LTS recommended)</w:t>
            </w:r>
          </w:p>
        </w:tc>
      </w:tr>
      <w:tr>
        <w:tc>
          <w:tcPr>
            <w:tcW w:type="dxa" w:w="4032"/>
            <w:vAlign w:val="center"/>
          </w:tcPr>
          <w:p>
            <w:pPr>
              <w:spacing w:line="276" w:lineRule="auto" w:before="0" w:after="40"/>
              <w:jc w:val="left"/>
            </w:pPr>
            <w:r/>
            <w:r>
              <w:rPr>
                <w:rFonts w:ascii="Times New Roman" w:hAnsi="Times New Roman"/>
                <w:b w:val="0"/>
                <w:i w:val="0"/>
                <w:sz w:val="24"/>
              </w:rPr>
              <w:t>TypeScript Compiler</w:t>
            </w:r>
          </w:p>
        </w:tc>
        <w:tc>
          <w:tcPr>
            <w:tcW w:type="dxa" w:w="6048"/>
            <w:vAlign w:val="center"/>
          </w:tcPr>
          <w:p>
            <w:pPr>
              <w:spacing w:line="276" w:lineRule="auto" w:before="0" w:after="40"/>
              <w:jc w:val="left"/>
            </w:pPr>
            <w:r/>
            <w:r>
              <w:rPr>
                <w:rFonts w:ascii="Times New Roman" w:hAnsi="Times New Roman"/>
                <w:b w:val="0"/>
                <w:i w:val="0"/>
                <w:sz w:val="24"/>
              </w:rPr>
              <w:t>TypeScript v5.0.0+</w:t>
            </w:r>
          </w:p>
        </w:tc>
      </w:tr>
      <w:tr>
        <w:tc>
          <w:tcPr>
            <w:tcW w:type="dxa" w:w="4032"/>
            <w:vAlign w:val="center"/>
            <w:shd w:fill="F8FAFC"/>
          </w:tcPr>
          <w:p>
            <w:pPr>
              <w:spacing w:line="276" w:lineRule="auto" w:before="0" w:after="40"/>
              <w:jc w:val="left"/>
            </w:pPr>
            <w:r/>
            <w:r>
              <w:rPr>
                <w:rFonts w:ascii="Times New Roman" w:hAnsi="Times New Roman"/>
                <w:b w:val="0"/>
                <w:i w:val="0"/>
                <w:sz w:val="24"/>
              </w:rPr>
              <w:t>Package Manager</w:t>
            </w:r>
          </w:p>
        </w:tc>
        <w:tc>
          <w:tcPr>
            <w:tcW w:type="dxa" w:w="6048"/>
            <w:vAlign w:val="center"/>
            <w:shd w:fill="F8FAFC"/>
          </w:tcPr>
          <w:p>
            <w:pPr>
              <w:spacing w:line="276" w:lineRule="auto" w:before="0" w:after="40"/>
              <w:jc w:val="left"/>
            </w:pPr>
            <w:r/>
            <w:r>
              <w:rPr>
                <w:rFonts w:ascii="Times New Roman" w:hAnsi="Times New Roman"/>
                <w:b w:val="0"/>
                <w:i w:val="0"/>
                <w:sz w:val="24"/>
              </w:rPr>
              <w:t>npm v10.0.0+</w:t>
            </w:r>
          </w:p>
        </w:tc>
      </w:tr>
      <w:tr>
        <w:tc>
          <w:tcPr>
            <w:tcW w:type="dxa" w:w="4032"/>
            <w:vAlign w:val="center"/>
          </w:tcPr>
          <w:p>
            <w:pPr>
              <w:spacing w:line="276" w:lineRule="auto" w:before="0" w:after="40"/>
              <w:jc w:val="left"/>
            </w:pPr>
            <w:r/>
            <w:r>
              <w:rPr>
                <w:rFonts w:ascii="Times New Roman" w:hAnsi="Times New Roman"/>
                <w:b w:val="0"/>
                <w:i w:val="0"/>
                <w:sz w:val="24"/>
              </w:rPr>
              <w:t>Database Server</w:t>
            </w:r>
          </w:p>
        </w:tc>
        <w:tc>
          <w:tcPr>
            <w:tcW w:type="dxa" w:w="6048"/>
            <w:vAlign w:val="center"/>
          </w:tcPr>
          <w:p>
            <w:pPr>
              <w:spacing w:line="276" w:lineRule="auto" w:before="0" w:after="40"/>
              <w:jc w:val="left"/>
            </w:pPr>
            <w:r/>
            <w:r>
              <w:rPr>
                <w:rFonts w:ascii="Times New Roman" w:hAnsi="Times New Roman"/>
                <w:b w:val="0"/>
                <w:i w:val="0"/>
                <w:sz w:val="24"/>
              </w:rPr>
              <w:t>Google Firebase Cloud Firestore (Serverless Document Db)</w:t>
            </w:r>
          </w:p>
        </w:tc>
      </w:tr>
      <w:tr>
        <w:tc>
          <w:tcPr>
            <w:tcW w:type="dxa" w:w="4032"/>
            <w:vAlign w:val="center"/>
            <w:shd w:fill="F8FAFC"/>
          </w:tcPr>
          <w:p>
            <w:pPr>
              <w:spacing w:line="276" w:lineRule="auto" w:before="0" w:after="40"/>
              <w:jc w:val="left"/>
            </w:pPr>
            <w:r/>
            <w:r>
              <w:rPr>
                <w:rFonts w:ascii="Times New Roman" w:hAnsi="Times New Roman"/>
                <w:b w:val="0"/>
                <w:i w:val="0"/>
                <w:sz w:val="24"/>
              </w:rPr>
              <w:t>Web Browser Client</w:t>
            </w:r>
          </w:p>
        </w:tc>
        <w:tc>
          <w:tcPr>
            <w:tcW w:type="dxa" w:w="6048"/>
            <w:vAlign w:val="center"/>
            <w:shd w:fill="F8FAFC"/>
          </w:tcPr>
          <w:p>
            <w:pPr>
              <w:spacing w:line="276" w:lineRule="auto" w:before="0" w:after="40"/>
              <w:jc w:val="left"/>
            </w:pPr>
            <w:r/>
            <w:r>
              <w:rPr>
                <w:rFonts w:ascii="Times New Roman" w:hAnsi="Times New Roman"/>
                <w:b w:val="0"/>
                <w:i w:val="0"/>
                <w:sz w:val="24"/>
              </w:rPr>
              <w:t>Google Chrome 110+, Microsoft Edge 110+, Mozilla Firefox 110+, Safari 16+</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3.4: Hardware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Hardware Component</w:t>
            </w:r>
          </w:p>
        </w:tc>
        <w:tc>
          <w:tcPr>
            <w:tcW w:type="dxa" w:w="3600"/>
            <w:shd w:fill="F1F5F9"/>
            <w:vAlign w:val="center"/>
          </w:tcPr>
          <w:p>
            <w:pPr>
              <w:spacing w:line="276" w:lineRule="auto" w:before="0" w:after="40"/>
              <w:jc w:val="center"/>
            </w:pPr>
            <w:r/>
            <w:r>
              <w:rPr>
                <w:rFonts w:ascii="Times New Roman" w:hAnsi="Times New Roman"/>
                <w:b/>
                <w:i w:val="0"/>
                <w:sz w:val="20"/>
              </w:rPr>
              <w:t>Minimum Development System</w:t>
            </w:r>
          </w:p>
        </w:tc>
        <w:tc>
          <w:tcPr>
            <w:tcW w:type="dxa" w:w="3600"/>
            <w:shd w:fill="F1F5F9"/>
            <w:vAlign w:val="center"/>
          </w:tcPr>
          <w:p>
            <w:pPr>
              <w:spacing w:line="276" w:lineRule="auto" w:before="0" w:after="40"/>
              <w:jc w:val="center"/>
            </w:pPr>
            <w:r/>
            <w:r>
              <w:rPr>
                <w:rFonts w:ascii="Times New Roman" w:hAnsi="Times New Roman"/>
                <w:b/>
                <w:i w:val="0"/>
                <w:sz w:val="20"/>
              </w:rPr>
              <w:t>Minimum Client User Device</w:t>
            </w:r>
          </w:p>
        </w:tc>
      </w:tr>
      <w:tr>
        <w:tc>
          <w:tcPr>
            <w:tcW w:type="dxa" w:w="2880"/>
            <w:vAlign w:val="center"/>
          </w:tcPr>
          <w:p>
            <w:pPr>
              <w:spacing w:line="276" w:lineRule="auto" w:before="0" w:after="40"/>
              <w:jc w:val="left"/>
            </w:pPr>
            <w:r/>
            <w:r>
              <w:rPr>
                <w:rFonts w:ascii="Times New Roman" w:hAnsi="Times New Roman"/>
                <w:b w:val="0"/>
                <w:i w:val="0"/>
                <w:sz w:val="24"/>
              </w:rPr>
              <w:t>Processor (CPU)</w:t>
            </w:r>
          </w:p>
        </w:tc>
        <w:tc>
          <w:tcPr>
            <w:tcW w:type="dxa" w:w="3600"/>
            <w:vAlign w:val="center"/>
          </w:tcPr>
          <w:p>
            <w:pPr>
              <w:spacing w:line="276" w:lineRule="auto" w:before="0" w:after="40"/>
              <w:jc w:val="left"/>
            </w:pPr>
            <w:r/>
            <w:r>
              <w:rPr>
                <w:rFonts w:ascii="Times New Roman" w:hAnsi="Times New Roman"/>
                <w:b w:val="0"/>
                <w:i w:val="0"/>
                <w:sz w:val="24"/>
              </w:rPr>
              <w:t>Intel Core i5 / AMD Ryzen 5 (Quad-Core)</w:t>
            </w:r>
          </w:p>
        </w:tc>
        <w:tc>
          <w:tcPr>
            <w:tcW w:type="dxa" w:w="3600"/>
            <w:vAlign w:val="center"/>
          </w:tcPr>
          <w:p>
            <w:pPr>
              <w:spacing w:line="276" w:lineRule="auto" w:before="0" w:after="40"/>
              <w:jc w:val="left"/>
            </w:pPr>
            <w:r/>
            <w:r>
              <w:rPr>
                <w:rFonts w:ascii="Times New Roman" w:hAnsi="Times New Roman"/>
                <w:b w:val="0"/>
                <w:i w:val="0"/>
                <w:sz w:val="24"/>
              </w:rPr>
              <w:t>Dual-Core ARM (Mobile) / Intel Celeron</w:t>
            </w:r>
          </w:p>
        </w:tc>
      </w:tr>
      <w:tr>
        <w:tc>
          <w:tcPr>
            <w:tcW w:type="dxa" w:w="2880"/>
            <w:vAlign w:val="center"/>
            <w:shd w:fill="F8FAFC"/>
          </w:tcPr>
          <w:p>
            <w:pPr>
              <w:spacing w:line="276" w:lineRule="auto" w:before="0" w:after="40"/>
              <w:jc w:val="left"/>
            </w:pPr>
            <w:r/>
            <w:r>
              <w:rPr>
                <w:rFonts w:ascii="Times New Roman" w:hAnsi="Times New Roman"/>
                <w:b w:val="0"/>
                <w:i w:val="0"/>
                <w:sz w:val="24"/>
              </w:rPr>
              <w:t>Memory (RAM)</w:t>
            </w:r>
          </w:p>
        </w:tc>
        <w:tc>
          <w:tcPr>
            <w:tcW w:type="dxa" w:w="3600"/>
            <w:vAlign w:val="center"/>
            <w:shd w:fill="F8FAFC"/>
          </w:tcPr>
          <w:p>
            <w:pPr>
              <w:spacing w:line="276" w:lineRule="auto" w:before="0" w:after="40"/>
              <w:jc w:val="left"/>
            </w:pPr>
            <w:r/>
            <w:r>
              <w:rPr>
                <w:rFonts w:ascii="Times New Roman" w:hAnsi="Times New Roman"/>
                <w:b w:val="0"/>
                <w:i w:val="0"/>
                <w:sz w:val="24"/>
              </w:rPr>
              <w:t>8 GB DDR4 RAM</w:t>
            </w:r>
          </w:p>
        </w:tc>
        <w:tc>
          <w:tcPr>
            <w:tcW w:type="dxa" w:w="3600"/>
            <w:vAlign w:val="center"/>
            <w:shd w:fill="F8FAFC"/>
          </w:tcPr>
          <w:p>
            <w:pPr>
              <w:spacing w:line="276" w:lineRule="auto" w:before="0" w:after="40"/>
              <w:jc w:val="left"/>
            </w:pPr>
            <w:r/>
            <w:r>
              <w:rPr>
                <w:rFonts w:ascii="Times New Roman" w:hAnsi="Times New Roman"/>
                <w:b w:val="0"/>
                <w:i w:val="0"/>
                <w:sz w:val="24"/>
              </w:rPr>
              <w:t>2 GB System RAM</w:t>
            </w:r>
          </w:p>
        </w:tc>
      </w:tr>
      <w:tr>
        <w:tc>
          <w:tcPr>
            <w:tcW w:type="dxa" w:w="2880"/>
            <w:vAlign w:val="center"/>
          </w:tcPr>
          <w:p>
            <w:pPr>
              <w:spacing w:line="276" w:lineRule="auto" w:before="0" w:after="40"/>
              <w:jc w:val="left"/>
            </w:pPr>
            <w:r/>
            <w:r>
              <w:rPr>
                <w:rFonts w:ascii="Times New Roman" w:hAnsi="Times New Roman"/>
                <w:b w:val="0"/>
                <w:i w:val="0"/>
                <w:sz w:val="24"/>
              </w:rPr>
              <w:t>Disk Storage</w:t>
            </w:r>
          </w:p>
        </w:tc>
        <w:tc>
          <w:tcPr>
            <w:tcW w:type="dxa" w:w="3600"/>
            <w:vAlign w:val="center"/>
          </w:tcPr>
          <w:p>
            <w:pPr>
              <w:spacing w:line="276" w:lineRule="auto" w:before="0" w:after="40"/>
              <w:jc w:val="left"/>
            </w:pPr>
            <w:r/>
            <w:r>
              <w:rPr>
                <w:rFonts w:ascii="Times New Roman" w:hAnsi="Times New Roman"/>
                <w:b w:val="0"/>
                <w:i w:val="0"/>
                <w:sz w:val="24"/>
              </w:rPr>
              <w:t>500 MB free space (Repo build)</w:t>
            </w:r>
          </w:p>
        </w:tc>
        <w:tc>
          <w:tcPr>
            <w:tcW w:type="dxa" w:w="3600"/>
            <w:vAlign w:val="center"/>
          </w:tcPr>
          <w:p>
            <w:pPr>
              <w:spacing w:line="276" w:lineRule="auto" w:before="0" w:after="40"/>
              <w:jc w:val="left"/>
            </w:pPr>
            <w:r/>
            <w:r>
              <w:rPr>
                <w:rFonts w:ascii="Times New Roman" w:hAnsi="Times New Roman"/>
                <w:b w:val="0"/>
                <w:i w:val="0"/>
                <w:sz w:val="24"/>
              </w:rPr>
              <w:t>50 MB browser cache memory space</w:t>
            </w:r>
          </w:p>
        </w:tc>
      </w:tr>
      <w:tr>
        <w:tc>
          <w:tcPr>
            <w:tcW w:type="dxa" w:w="2880"/>
            <w:vAlign w:val="center"/>
            <w:shd w:fill="F8FAFC"/>
          </w:tcPr>
          <w:p>
            <w:pPr>
              <w:spacing w:line="276" w:lineRule="auto" w:before="0" w:after="40"/>
              <w:jc w:val="left"/>
            </w:pPr>
            <w:r/>
            <w:r>
              <w:rPr>
                <w:rFonts w:ascii="Times New Roman" w:hAnsi="Times New Roman"/>
                <w:b w:val="0"/>
                <w:i w:val="0"/>
                <w:sz w:val="24"/>
              </w:rPr>
              <w:t>Display Resolution</w:t>
            </w:r>
          </w:p>
        </w:tc>
        <w:tc>
          <w:tcPr>
            <w:tcW w:type="dxa" w:w="3600"/>
            <w:vAlign w:val="center"/>
            <w:shd w:fill="F8FAFC"/>
          </w:tcPr>
          <w:p>
            <w:pPr>
              <w:spacing w:line="276" w:lineRule="auto" w:before="0" w:after="40"/>
              <w:jc w:val="left"/>
            </w:pPr>
            <w:r/>
            <w:r>
              <w:rPr>
                <w:rFonts w:ascii="Times New Roman" w:hAnsi="Times New Roman"/>
                <w:b w:val="0"/>
                <w:i w:val="0"/>
                <w:sz w:val="24"/>
              </w:rPr>
              <w:t>1920x1080 (Full HD recommended)</w:t>
            </w:r>
          </w:p>
        </w:tc>
        <w:tc>
          <w:tcPr>
            <w:tcW w:type="dxa" w:w="3600"/>
            <w:vAlign w:val="center"/>
            <w:shd w:fill="F8FAFC"/>
          </w:tcPr>
          <w:p>
            <w:pPr>
              <w:spacing w:line="276" w:lineRule="auto" w:before="0" w:after="40"/>
              <w:jc w:val="left"/>
            </w:pPr>
            <w:r/>
            <w:r>
              <w:rPr>
                <w:rFonts w:ascii="Times New Roman" w:hAnsi="Times New Roman"/>
                <w:b w:val="0"/>
                <w:i w:val="0"/>
                <w:sz w:val="24"/>
              </w:rPr>
              <w:t>320x568 (Mobile portrait minimum)</w:t>
            </w:r>
          </w:p>
        </w:tc>
      </w:tr>
      <w:tr>
        <w:tc>
          <w:tcPr>
            <w:tcW w:type="dxa" w:w="2880"/>
            <w:vAlign w:val="center"/>
          </w:tcPr>
          <w:p>
            <w:pPr>
              <w:spacing w:line="276" w:lineRule="auto" w:before="0" w:after="40"/>
              <w:jc w:val="left"/>
            </w:pPr>
            <w:r/>
            <w:r>
              <w:rPr>
                <w:rFonts w:ascii="Times New Roman" w:hAnsi="Times New Roman"/>
                <w:b w:val="0"/>
                <w:i w:val="0"/>
                <w:sz w:val="24"/>
              </w:rPr>
              <w:t>Graphics (GPU)</w:t>
            </w:r>
          </w:p>
        </w:tc>
        <w:tc>
          <w:tcPr>
            <w:tcW w:type="dxa" w:w="3600"/>
            <w:vAlign w:val="center"/>
          </w:tcPr>
          <w:p>
            <w:pPr>
              <w:spacing w:line="276" w:lineRule="auto" w:before="0" w:after="40"/>
              <w:jc w:val="left"/>
            </w:pPr>
            <w:r/>
            <w:r>
              <w:rPr>
                <w:rFonts w:ascii="Times New Roman" w:hAnsi="Times New Roman"/>
                <w:b w:val="0"/>
                <w:i w:val="0"/>
                <w:sz w:val="24"/>
              </w:rPr>
              <w:t>WebGL compatible integrated GPU</w:t>
            </w:r>
          </w:p>
        </w:tc>
        <w:tc>
          <w:tcPr>
            <w:tcW w:type="dxa" w:w="3600"/>
            <w:vAlign w:val="center"/>
          </w:tcPr>
          <w:p>
            <w:pPr>
              <w:spacing w:line="276" w:lineRule="auto" w:before="0" w:after="40"/>
              <w:jc w:val="left"/>
            </w:pPr>
            <w:r/>
            <w:r>
              <w:rPr>
                <w:rFonts w:ascii="Times New Roman" w:hAnsi="Times New Roman"/>
                <w:b w:val="0"/>
                <w:i w:val="0"/>
                <w:sz w:val="24"/>
              </w:rPr>
              <w:t>WebGL compatible mobile graphic chip</w:t>
            </w:r>
          </w:p>
        </w:tc>
      </w:tr>
    </w:tbl>
    <w:p>
      <w:pPr>
        <w:spacing w:line="360" w:lineRule="auto" w:before="120" w:after="120"/>
        <w:jc w:val="both"/>
      </w:pPr>
    </w:p>
    <w:p>
      <w:pPr>
        <w:spacing w:line="360" w:lineRule="auto" w:before="360" w:after="240"/>
        <w:jc w:val="center"/>
        <w:keepNext/>
      </w:pPr>
      <w:r>
        <w:rPr>
          <w:rFonts w:ascii="Times New Roman" w:hAnsi="Times New Roman"/>
          <w:b/>
          <w:i w:val="0"/>
          <w:sz w:val="32"/>
        </w:rPr>
        <w:t>CHAPTER 4: METHODOLOGY AND SYSTEM DESIGN</w:t>
      </w:r>
    </w:p>
    <w:p>
      <w:pPr>
        <w:spacing w:line="360" w:lineRule="auto" w:before="240" w:after="120"/>
        <w:jc w:val="left"/>
        <w:keepNext/>
      </w:pPr>
      <w:r>
        <w:rPr>
          <w:rFonts w:ascii="Times New Roman" w:hAnsi="Times New Roman"/>
          <w:b/>
          <w:i w:val="0"/>
          <w:sz w:val="28"/>
        </w:rPr>
        <w:t>4.1 System Architecture Overview</w:t>
      </w:r>
    </w:p>
    <w:p>
      <w:pPr>
        <w:spacing w:line="360" w:lineRule="auto" w:before="0" w:after="120"/>
        <w:jc w:val="both"/>
      </w:pPr>
      <w:r>
        <w:rPr>
          <w:rFonts w:ascii="Times New Roman" w:hAnsi="Times New Roman"/>
          <w:b w:val="0"/>
          <w:i w:val="0"/>
          <w:sz w:val="24"/>
        </w:rPr>
        <w:t>The Smart Household Energy Manager is designed around a modern, serverless, single-page application (SPA) architecture that emphasizes client-side processing to minimize server latency and operational costs. The frontend is built using React 19, TypeScript, and Tailwind CSS v4, compiled via the Vite build tool. The backend leverages Google Firebase, specifically Firebase Authentication for session management, and Cloud Firestore as a real-time NoSQL document database.</w:t>
      </w:r>
    </w:p>
    <w:p>
      <w:pPr>
        <w:spacing w:line="360" w:lineRule="auto" w:before="0" w:after="120"/>
        <w:jc w:val="both"/>
      </w:pPr>
      <w:r>
        <w:rPr>
          <w:rFonts w:ascii="Times New Roman" w:hAnsi="Times New Roman"/>
          <w:b w:val="0"/>
          <w:i w:val="0"/>
          <w:sz w:val="24"/>
        </w:rPr>
        <w:t>The architecture is divided into three primary layers: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Presentation Layer (User Interface):</w:t>
      </w:r>
      <w:r>
        <w:rPr>
          <w:rFonts w:ascii="Times New Roman" w:hAnsi="Times New Roman"/>
          <w:b w:val="0"/>
          <w:i w:val="0"/>
          <w:sz w:val="24"/>
        </w:rPr>
        <w:t xml:space="preserve"> A responsive, glassmorphic dashboard interface that handles user interactions, slider dragging, file uploads, and voice commands. It is styled with custom mesh gradient backgrounds and translucent card layouts, implementing custom spring animations via Framer Motion.</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Application Logic Layer (Calculations and OCR):</w:t>
      </w:r>
      <w:r>
        <w:rPr>
          <w:rFonts w:ascii="Times New Roman" w:hAnsi="Times New Roman"/>
          <w:b w:val="0"/>
          <w:i w:val="0"/>
          <w:sz w:val="24"/>
        </w:rPr>
        <w:t xml:space="preserve"> Client-side modules that execute high-performance calculations. These include the progressive tariff slab billing engine, the 25-year compounding solar ROI timeline forecaster, WebGL/Canvas-based 3D roof panel renderer, and browser Web Speech Speech Recognition and Synthesis engines. It also manages a client-side OCR pipeline using pdfjs-dist and Tesseract.js running inside browser Web Workers to extract text from bills.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Data and Services Layer (Backend):</w:t>
      </w:r>
      <w:r>
        <w:rPr>
          <w:rFonts w:ascii="Times New Roman" w:hAnsi="Times New Roman"/>
          <w:b w:val="0"/>
          <w:i w:val="0"/>
          <w:sz w:val="24"/>
        </w:rPr>
        <w:t xml:space="preserve"> Consists of Firebase Auth for authentication, Cloud Firestore for synchronizing DISCOM tariffs and user settings in real-time, and a Firebase Cloud Function proxy to safely route Gemini API requests without exposing the VITE_GEMINI_API_KEY in the client browser bundle.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4.1: Smart Household Energy Manager System Architecture Block Diagram</w:t>
      </w:r>
    </w:p>
    <w:p>
      <w:pPr>
        <w:spacing w:line="360" w:lineRule="auto" w:before="240" w:after="120"/>
        <w:jc w:val="left"/>
        <w:keepNext/>
      </w:pPr>
      <w:r>
        <w:rPr>
          <w:rFonts w:ascii="Times New Roman" w:hAnsi="Times New Roman"/>
          <w:b/>
          <w:i w:val="0"/>
          <w:sz w:val="28"/>
        </w:rPr>
        <w:t>4.2 System Data Flows &amp; Workflows</w:t>
      </w:r>
    </w:p>
    <w:p>
      <w:pPr>
        <w:spacing w:line="360" w:lineRule="auto" w:before="0" w:after="120"/>
        <w:jc w:val="both"/>
      </w:pPr>
      <w:r>
        <w:rPr>
          <w:rFonts w:ascii="Times New Roman" w:hAnsi="Times New Roman"/>
          <w:b w:val="0"/>
          <w:i w:val="0"/>
          <w:sz w:val="24"/>
        </w:rPr>
        <w:t>To map out the operational data pathways within the system, we define the data flows at different abstraction levels:</w:t>
      </w:r>
    </w:p>
    <w:p>
      <w:pPr>
        <w:spacing w:line="360" w:lineRule="auto" w:before="40" w:after="80"/>
        <w:ind w:left="360" w:hanging="360"/>
        <w:jc w:val="both"/>
      </w:pPr>
      <w:r>
        <w:t>•</w:t>
        <w:tab/>
      </w:r>
      <w:r>
        <w:rPr>
          <w:rFonts w:ascii="Times New Roman" w:hAnsi="Times New Roman"/>
          <w:b/>
          <w:i w:val="0"/>
          <w:sz w:val="24"/>
        </w:rPr>
        <w:t>DFD Level 0 (Context Diagram):</w:t>
      </w:r>
      <w:r>
        <w:rPr>
          <w:rFonts w:ascii="Times New Roman" w:hAnsi="Times New Roman"/>
          <w:b w:val="0"/>
          <w:i w:val="0"/>
          <w:sz w:val="24"/>
        </w:rPr>
        <w:t xml:space="preserve"> The user interacts with the single-page application by inputting appliance audit details, uploading bills, adjusting solar parameters, or executing voice queries. The application reads and writes regional tariff slabs from Google Firestore and proxies OCR text strings to the Gemini API Cloud Function, returning structured savings reports and conversational replies.</w:t>
      </w:r>
    </w:p>
    <w:p>
      <w:pPr>
        <w:spacing w:line="360" w:lineRule="auto" w:before="40" w:after="80"/>
        <w:ind w:left="360" w:hanging="360"/>
        <w:jc w:val="both"/>
      </w:pPr>
      <w:r>
        <w:t>•</w:t>
        <w:tab/>
      </w:r>
      <w:r>
        <w:rPr>
          <w:rFonts w:ascii="Times New Roman" w:hAnsi="Times New Roman"/>
          <w:b/>
          <w:i w:val="0"/>
          <w:sz w:val="24"/>
        </w:rPr>
        <w:t>DFD Level 1 (Process Breakdown):</w:t>
      </w:r>
      <w:r>
        <w:rPr>
          <w:rFonts w:ascii="Times New Roman" w:hAnsi="Times New Roman"/>
          <w:b w:val="0"/>
          <w:i w:val="0"/>
          <w:sz w:val="24"/>
        </w:rPr>
        <w:t xml:space="preserve"> The system breaks down into five independent subprocesses:</w:t>
      </w:r>
    </w:p>
    <w:p>
      <w:pPr>
        <w:spacing w:line="360" w:lineRule="auto" w:before="80" w:after="80"/>
        <w:jc w:val="both"/>
      </w:pPr>
      <w:r>
        <w:rPr>
          <w:rFonts w:ascii="Times New Roman" w:hAnsi="Times New Roman"/>
          <w:b w:val="0"/>
          <w:i w:val="0"/>
          <w:sz w:val="24"/>
        </w:rPr>
        <w:t>1. *Authentication Process:* Registers and logs users, creating a user profile in Firestore.</w:t>
      </w:r>
    </w:p>
    <w:p>
      <w:pPr>
        <w:spacing w:line="360" w:lineRule="auto" w:before="80" w:after="80"/>
        <w:jc w:val="both"/>
      </w:pPr>
      <w:r>
        <w:rPr>
          <w:rFonts w:ascii="Times New Roman" w:hAnsi="Times New Roman"/>
          <w:b w:val="0"/>
          <w:i w:val="0"/>
          <w:sz w:val="24"/>
        </w:rPr>
        <w:t>2. *Auditing Process:* Takes appliance specifications, calculates hourly/monthly consumption, applies age decay, and generates savings prioritized tasks.</w:t>
      </w:r>
    </w:p>
    <w:p>
      <w:pPr>
        <w:spacing w:line="360" w:lineRule="auto" w:before="80" w:after="80"/>
        <w:jc w:val="both"/>
      </w:pPr>
      <w:r>
        <w:rPr>
          <w:rFonts w:ascii="Times New Roman" w:hAnsi="Times New Roman"/>
          <w:b w:val="0"/>
          <w:i w:val="0"/>
          <w:sz w:val="24"/>
        </w:rPr>
        <w:t>3. *OCR Bill Processing:* Converts image/PDF uploads to canvas pixels, extracts text via Tesseract Web Worker, formats via Gemini proxy, and populates the 7-card analyzer dashboard.</w:t>
      </w:r>
    </w:p>
    <w:p>
      <w:pPr>
        <w:spacing w:line="360" w:lineRule="auto" w:before="80" w:after="80"/>
        <w:jc w:val="both"/>
      </w:pPr>
      <w:r>
        <w:rPr>
          <w:rFonts w:ascii="Times New Roman" w:hAnsi="Times New Roman"/>
          <w:b w:val="0"/>
          <w:i w:val="0"/>
          <w:sz w:val="24"/>
        </w:rPr>
        <w:t>4. *Solar Simulation:* Takes roof size and monthly bill, runs mathematical sizing caps, and calculates 25-year ROI timelines and 3D coordinate mapping.</w:t>
      </w:r>
    </w:p>
    <w:p>
      <w:pPr>
        <w:spacing w:line="360" w:lineRule="auto" w:before="80" w:after="80"/>
        <w:jc w:val="both"/>
      </w:pPr>
      <w:r>
        <w:rPr>
          <w:rFonts w:ascii="Times New Roman" w:hAnsi="Times New Roman"/>
          <w:b w:val="0"/>
          <w:i w:val="0"/>
          <w:sz w:val="24"/>
        </w:rPr>
        <w:t>5. *Administration Process:* Allows real-time CRUD operations on DISCOM tariff slab parameters stored in Firestore.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4.2: DFD Level 1 Process Flowchart for Energy Audit and Bill Analysis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4.3: Interactive User Workflow Flowchart of the Saving Simulator and Solar ROI Planner</w:t>
      </w:r>
    </w:p>
    <w:p>
      <w:pPr>
        <w:spacing w:line="360" w:lineRule="auto" w:before="240" w:after="120"/>
        <w:jc w:val="left"/>
        <w:keepNext/>
      </w:pPr>
      <w:r>
        <w:rPr>
          <w:rFonts w:ascii="Times New Roman" w:hAnsi="Times New Roman"/>
          <w:b/>
          <w:i w:val="0"/>
          <w:sz w:val="28"/>
        </w:rPr>
        <w:t>4.3 Database Design &amp; Schemas</w:t>
      </w:r>
    </w:p>
    <w:p>
      <w:pPr>
        <w:spacing w:line="360" w:lineRule="auto" w:before="0" w:after="120"/>
        <w:jc w:val="both"/>
      </w:pPr>
      <w:r>
        <w:rPr>
          <w:rFonts w:ascii="Times New Roman" w:hAnsi="Times New Roman"/>
          <w:b w:val="0"/>
          <w:i w:val="0"/>
          <w:sz w:val="24"/>
        </w:rPr>
        <w:t>The database is structured as a document-oriented NoSQL schema in Cloud Firestore. This provides real-time client synchronization and offline support. The three primary collections are detailed below.</w:t>
      </w:r>
    </w:p>
    <w:p>
      <w:pPr>
        <w:spacing w:line="360" w:lineRule="auto" w:before="240" w:after="120"/>
        <w:jc w:val="center"/>
      </w:pPr>
      <w:r>
        <w:rPr>
          <w:rFonts w:ascii="Times New Roman" w:hAnsi="Times New Roman"/>
          <w:b/>
          <w:i w:val="0"/>
          <w:sz w:val="24"/>
        </w:rPr>
        <w:t>Table 4.1: Firestore 'users' Collection Schema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Unique authentication identifier from Firebase Auth.</w:t>
            </w:r>
          </w:p>
        </w:tc>
      </w:tr>
      <w:tr>
        <w:tc>
          <w:tcPr>
            <w:tcW w:type="dxa" w:w="2880"/>
            <w:vAlign w:val="center"/>
            <w:shd w:fill="F8FAFC"/>
          </w:tcPr>
          <w:p>
            <w:pPr>
              <w:spacing w:line="276" w:lineRule="auto" w:before="0" w:after="40"/>
              <w:jc w:val="left"/>
            </w:pPr>
            <w:r/>
            <w:r>
              <w:rPr>
                <w:rFonts w:ascii="Times New Roman" w:hAnsi="Times New Roman"/>
                <w:b w:val="0"/>
                <w:i w:val="0"/>
                <w:sz w:val="24"/>
              </w:rPr>
              <w:t>email</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Registered email address of the household user.</w:t>
            </w:r>
          </w:p>
        </w:tc>
      </w:tr>
      <w:tr>
        <w:tc>
          <w:tcPr>
            <w:tcW w:type="dxa" w:w="2880"/>
            <w:vAlign w:val="center"/>
          </w:tcPr>
          <w:p>
            <w:pPr>
              <w:spacing w:line="276" w:lineRule="auto" w:before="0" w:after="40"/>
              <w:jc w:val="left"/>
            </w:pPr>
            <w:r/>
            <w:r>
              <w:rPr>
                <w:rFonts w:ascii="Times New Roman" w:hAnsi="Times New Roman"/>
                <w:b w:val="0"/>
                <w:i w:val="0"/>
                <w:sz w:val="24"/>
              </w:rPr>
              <w:t>displayName</w:t>
            </w:r>
          </w:p>
        </w:tc>
        <w:tc>
          <w:tcPr>
            <w:tcW w:type="dxa" w:w="2880"/>
            <w:vAlign w:val="center"/>
          </w:tcPr>
          <w:p>
            <w:pPr>
              <w:spacing w:line="276" w:lineRule="auto" w:before="0" w:after="40"/>
              <w:jc w:val="left"/>
            </w:pPr>
            <w:r/>
            <w:r>
              <w:rPr>
                <w:rFonts w:ascii="Times New Roman" w:hAnsi="Times New Roman"/>
                <w:b w:val="0"/>
                <w:i w:val="0"/>
                <w:sz w:val="24"/>
              </w:rPr>
              <w:t>String</w:t>
            </w:r>
          </w:p>
        </w:tc>
        <w:tc>
          <w:tcPr>
            <w:tcW w:type="dxa" w:w="5040"/>
            <w:vAlign w:val="center"/>
          </w:tcPr>
          <w:p>
            <w:pPr>
              <w:spacing w:line="276" w:lineRule="auto" w:before="0" w:after="40"/>
              <w:jc w:val="left"/>
            </w:pPr>
            <w:r/>
            <w:r>
              <w:rPr>
                <w:rFonts w:ascii="Times New Roman" w:hAnsi="Times New Roman"/>
                <w:b w:val="0"/>
                <w:i w:val="0"/>
                <w:sz w:val="24"/>
              </w:rPr>
              <w:t>Full name profile entry of the user.</w:t>
            </w:r>
          </w:p>
        </w:tc>
      </w:tr>
      <w:tr>
        <w:tc>
          <w:tcPr>
            <w:tcW w:type="dxa" w:w="2880"/>
            <w:vAlign w:val="center"/>
            <w:shd w:fill="F8FAFC"/>
          </w:tcPr>
          <w:p>
            <w:pPr>
              <w:spacing w:line="276" w:lineRule="auto" w:before="0" w:after="40"/>
              <w:jc w:val="left"/>
            </w:pPr>
            <w:r/>
            <w:r>
              <w:rPr>
                <w:rFonts w:ascii="Times New Roman" w:hAnsi="Times New Roman"/>
                <w:b w:val="0"/>
                <w:i w:val="0"/>
                <w:sz w:val="24"/>
              </w:rPr>
              <w:t>createdAt</w:t>
            </w:r>
          </w:p>
        </w:tc>
        <w:tc>
          <w:tcPr>
            <w:tcW w:type="dxa" w:w="2880"/>
            <w:vAlign w:val="center"/>
            <w:shd w:fill="F8FAFC"/>
          </w:tcPr>
          <w:p>
            <w:pPr>
              <w:spacing w:line="276" w:lineRule="auto" w:before="0" w:after="40"/>
              <w:jc w:val="left"/>
            </w:pPr>
            <w:r/>
            <w:r>
              <w:rPr>
                <w:rFonts w:ascii="Times New Roman" w:hAnsi="Times New Roman"/>
                <w:b w:val="0"/>
                <w:i w:val="0"/>
                <w:sz w:val="24"/>
              </w:rPr>
              <w:t>Timestamp</w:t>
            </w:r>
          </w:p>
        </w:tc>
        <w:tc>
          <w:tcPr>
            <w:tcW w:type="dxa" w:w="5040"/>
            <w:vAlign w:val="center"/>
            <w:shd w:fill="F8FAFC"/>
          </w:tcPr>
          <w:p>
            <w:pPr>
              <w:spacing w:line="276" w:lineRule="auto" w:before="0" w:after="40"/>
              <w:jc w:val="left"/>
            </w:pPr>
            <w:r/>
            <w:r>
              <w:rPr>
                <w:rFonts w:ascii="Times New Roman" w:hAnsi="Times New Roman"/>
                <w:b w:val="0"/>
                <w:i w:val="0"/>
                <w:sz w:val="24"/>
              </w:rPr>
              <w:t>Date and time when the user profile was registered.</w:t>
            </w:r>
          </w:p>
        </w:tc>
      </w:tr>
      <w:tr>
        <w:tc>
          <w:tcPr>
            <w:tcW w:type="dxa" w:w="2880"/>
            <w:vAlign w:val="center"/>
          </w:tcPr>
          <w:p>
            <w:pPr>
              <w:spacing w:line="276" w:lineRule="auto" w:before="0" w:after="40"/>
              <w:jc w:val="left"/>
            </w:pPr>
            <w:r/>
            <w:r>
              <w:rPr>
                <w:rFonts w:ascii="Times New Roman" w:hAnsi="Times New Roman"/>
                <w:b w:val="0"/>
                <w:i w:val="0"/>
                <w:sz w:val="24"/>
              </w:rPr>
              <w:t>lastLogin</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Timestamp tracking the user's most recent dashboard session.</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4.2: Firestore 'tariffs' Collection Schema (Regional DISCOM Rates)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592"/>
            <w:shd w:fill="F1F5F9"/>
            <w:vAlign w:val="center"/>
          </w:tcPr>
          <w:p>
            <w:pPr>
              <w:spacing w:line="276" w:lineRule="auto" w:before="0" w:after="40"/>
              <w:jc w:val="center"/>
            </w:pPr>
            <w:r/>
            <w:r>
              <w:rPr>
                <w:rFonts w:ascii="Times New Roman" w:hAnsi="Times New Roman"/>
                <w:b/>
                <w:i w:val="0"/>
                <w:sz w:val="20"/>
              </w:rPr>
              <w:t>Data Type</w:t>
            </w:r>
          </w:p>
        </w:tc>
        <w:tc>
          <w:tcPr>
            <w:tcW w:type="dxa" w:w="5328"/>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state_discom</w:t>
            </w:r>
          </w:p>
        </w:tc>
        <w:tc>
          <w:tcPr>
            <w:tcW w:type="dxa" w:w="2592"/>
            <w:vAlign w:val="center"/>
          </w:tcPr>
          <w:p>
            <w:pPr>
              <w:spacing w:line="276" w:lineRule="auto" w:before="0" w:after="40"/>
              <w:jc w:val="left"/>
            </w:pPr>
            <w:r/>
            <w:r>
              <w:rPr>
                <w:rFonts w:ascii="Times New Roman" w:hAnsi="Times New Roman"/>
                <w:b w:val="0"/>
                <w:i w:val="0"/>
                <w:sz w:val="24"/>
              </w:rPr>
              <w:t>String (Document ID)</w:t>
            </w:r>
          </w:p>
        </w:tc>
        <w:tc>
          <w:tcPr>
            <w:tcW w:type="dxa" w:w="5328"/>
            <w:vAlign w:val="center"/>
          </w:tcPr>
          <w:p>
            <w:pPr>
              <w:spacing w:line="276" w:lineRule="auto" w:before="0" w:after="40"/>
              <w:jc w:val="left"/>
            </w:pPr>
            <w:r/>
            <w:r>
              <w:rPr>
                <w:rFonts w:ascii="Times New Roman" w:hAnsi="Times New Roman"/>
                <w:b w:val="0"/>
                <w:i w:val="0"/>
                <w:sz w:val="24"/>
              </w:rPr>
              <w:t>State board identifier (e.g., 'AP_APSPDCL', 'MH_MSEDCL').</w:t>
            </w:r>
          </w:p>
        </w:tc>
      </w:tr>
      <w:tr>
        <w:tc>
          <w:tcPr>
            <w:tcW w:type="dxa" w:w="2880"/>
            <w:vAlign w:val="center"/>
            <w:shd w:fill="F8FAFC"/>
          </w:tcPr>
          <w:p>
            <w:pPr>
              <w:spacing w:line="276" w:lineRule="auto" w:before="0" w:after="40"/>
              <w:jc w:val="left"/>
            </w:pPr>
            <w:r/>
            <w:r>
              <w:rPr>
                <w:rFonts w:ascii="Times New Roman" w:hAnsi="Times New Roman"/>
                <w:b w:val="0"/>
                <w:i w:val="0"/>
                <w:sz w:val="24"/>
              </w:rPr>
              <w:t>stateName</w:t>
            </w:r>
          </w:p>
        </w:tc>
        <w:tc>
          <w:tcPr>
            <w:tcW w:type="dxa" w:w="2592"/>
            <w:vAlign w:val="center"/>
            <w:shd w:fill="F8FAFC"/>
          </w:tcPr>
          <w:p>
            <w:pPr>
              <w:spacing w:line="276" w:lineRule="auto" w:before="0" w:after="40"/>
              <w:jc w:val="left"/>
            </w:pPr>
            <w:r/>
            <w:r>
              <w:rPr>
                <w:rFonts w:ascii="Times New Roman" w:hAnsi="Times New Roman"/>
                <w:b w:val="0"/>
                <w:i w:val="0"/>
                <w:sz w:val="24"/>
              </w:rPr>
              <w:t>String</w:t>
            </w:r>
          </w:p>
        </w:tc>
        <w:tc>
          <w:tcPr>
            <w:tcW w:type="dxa" w:w="5328"/>
            <w:vAlign w:val="center"/>
            <w:shd w:fill="F8FAFC"/>
          </w:tcPr>
          <w:p>
            <w:pPr>
              <w:spacing w:line="276" w:lineRule="auto" w:before="0" w:after="40"/>
              <w:jc w:val="left"/>
            </w:pPr>
            <w:r/>
            <w:r>
              <w:rPr>
                <w:rFonts w:ascii="Times New Roman" w:hAnsi="Times New Roman"/>
                <w:b w:val="0"/>
                <w:i w:val="0"/>
                <w:sz w:val="24"/>
              </w:rPr>
              <w:t>Name of the state (e.g., 'Andhra Pradesh', 'Maharashtra').</w:t>
            </w:r>
          </w:p>
        </w:tc>
      </w:tr>
      <w:tr>
        <w:tc>
          <w:tcPr>
            <w:tcW w:type="dxa" w:w="2880"/>
            <w:vAlign w:val="center"/>
          </w:tcPr>
          <w:p>
            <w:pPr>
              <w:spacing w:line="276" w:lineRule="auto" w:before="0" w:after="40"/>
              <w:jc w:val="left"/>
            </w:pPr>
            <w:r/>
            <w:r>
              <w:rPr>
                <w:rFonts w:ascii="Times New Roman" w:hAnsi="Times New Roman"/>
                <w:b w:val="0"/>
                <w:i w:val="0"/>
                <w:sz w:val="24"/>
              </w:rPr>
              <w:t>fixedCharge</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baseline connection fee charged monthly (in ₹).</w:t>
            </w:r>
          </w:p>
        </w:tc>
      </w:tr>
      <w:tr>
        <w:tc>
          <w:tcPr>
            <w:tcW w:type="dxa" w:w="2880"/>
            <w:vAlign w:val="center"/>
            <w:shd w:fill="F8FAFC"/>
          </w:tcPr>
          <w:p>
            <w:pPr>
              <w:spacing w:line="276" w:lineRule="auto" w:before="0" w:after="40"/>
              <w:jc w:val="left"/>
            </w:pPr>
            <w:r/>
            <w:r>
              <w:rPr>
                <w:rFonts w:ascii="Times New Roman" w:hAnsi="Times New Roman"/>
                <w:b w:val="0"/>
                <w:i w:val="0"/>
                <w:sz w:val="24"/>
              </w:rPr>
              <w:t>taxRate</w:t>
            </w:r>
          </w:p>
        </w:tc>
        <w:tc>
          <w:tcPr>
            <w:tcW w:type="dxa" w:w="2592"/>
            <w:vAlign w:val="center"/>
            <w:shd w:fill="F8FAFC"/>
          </w:tcPr>
          <w:p>
            <w:pPr>
              <w:spacing w:line="276" w:lineRule="auto" w:before="0" w:after="40"/>
              <w:jc w:val="left"/>
            </w:pPr>
            <w:r/>
            <w:r>
              <w:rPr>
                <w:rFonts w:ascii="Times New Roman" w:hAnsi="Times New Roman"/>
                <w:b w:val="0"/>
                <w:i w:val="0"/>
                <w:sz w:val="24"/>
              </w:rPr>
              <w:t>Number</w:t>
            </w:r>
          </w:p>
        </w:tc>
        <w:tc>
          <w:tcPr>
            <w:tcW w:type="dxa" w:w="5328"/>
            <w:vAlign w:val="center"/>
            <w:shd w:fill="F8FAFC"/>
          </w:tcPr>
          <w:p>
            <w:pPr>
              <w:spacing w:line="276" w:lineRule="auto" w:before="0" w:after="40"/>
              <w:jc w:val="left"/>
            </w:pPr>
            <w:r/>
            <w:r>
              <w:rPr>
                <w:rFonts w:ascii="Times New Roman" w:hAnsi="Times New Roman"/>
                <w:b w:val="0"/>
                <w:i w:val="0"/>
                <w:sz w:val="24"/>
              </w:rPr>
              <w:t>Government electricity tax percentage (e.g., 0.16 for 16%).</w:t>
            </w:r>
          </w:p>
        </w:tc>
      </w:tr>
      <w:tr>
        <w:tc>
          <w:tcPr>
            <w:tcW w:type="dxa" w:w="2880"/>
            <w:vAlign w:val="center"/>
          </w:tcPr>
          <w:p>
            <w:pPr>
              <w:spacing w:line="276" w:lineRule="auto" w:before="0" w:after="40"/>
              <w:jc w:val="left"/>
            </w:pPr>
            <w:r/>
            <w:r>
              <w:rPr>
                <w:rFonts w:ascii="Times New Roman" w:hAnsi="Times New Roman"/>
                <w:b w:val="0"/>
                <w:i w:val="0"/>
                <w:sz w:val="24"/>
              </w:rPr>
              <w:t>subsidyAmount</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subsidy reduction applied to domestic connections (in ₹).</w:t>
            </w:r>
          </w:p>
        </w:tc>
      </w:tr>
      <w:tr>
        <w:tc>
          <w:tcPr>
            <w:tcW w:type="dxa" w:w="2880"/>
            <w:vAlign w:val="center"/>
            <w:shd w:fill="F8FAFC"/>
          </w:tcPr>
          <w:p>
            <w:pPr>
              <w:spacing w:line="276" w:lineRule="auto" w:before="0" w:after="40"/>
              <w:jc w:val="left"/>
            </w:pPr>
            <w:r/>
            <w:r>
              <w:rPr>
                <w:rFonts w:ascii="Times New Roman" w:hAnsi="Times New Roman"/>
                <w:b w:val="0"/>
                <w:i w:val="0"/>
                <w:sz w:val="24"/>
              </w:rPr>
              <w:t>slabs</w:t>
            </w:r>
          </w:p>
        </w:tc>
        <w:tc>
          <w:tcPr>
            <w:tcW w:type="dxa" w:w="2592"/>
            <w:vAlign w:val="center"/>
            <w:shd w:fill="F8FAFC"/>
          </w:tcPr>
          <w:p>
            <w:pPr>
              <w:spacing w:line="276" w:lineRule="auto" w:before="0" w:after="40"/>
              <w:jc w:val="left"/>
            </w:pPr>
            <w:r/>
            <w:r>
              <w:rPr>
                <w:rFonts w:ascii="Times New Roman" w:hAnsi="Times New Roman"/>
                <w:b w:val="0"/>
                <w:i w:val="0"/>
                <w:sz w:val="24"/>
              </w:rPr>
              <w:t>Array of Objects</w:t>
            </w:r>
          </w:p>
        </w:tc>
        <w:tc>
          <w:tcPr>
            <w:tcW w:type="dxa" w:w="5328"/>
            <w:vAlign w:val="center"/>
            <w:shd w:fill="F8FAFC"/>
          </w:tcPr>
          <w:p>
            <w:pPr>
              <w:spacing w:line="276" w:lineRule="auto" w:before="0" w:after="40"/>
              <w:jc w:val="left"/>
            </w:pPr>
            <w:r/>
            <w:r>
              <w:rPr>
                <w:rFonts w:ascii="Times New Roman" w:hAnsi="Times New Roman"/>
                <w:b w:val="0"/>
                <w:i w:val="0"/>
                <w:sz w:val="24"/>
              </w:rPr>
              <w:t>Progressive consumption brackets containing: 'minUnits', 'maxUnits', 'rate'.</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4.3: Firestore 'settings' Collection Schema (User Preferences)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userId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UID matching the logged-in user profile.</w:t>
            </w:r>
          </w:p>
        </w:tc>
      </w:tr>
      <w:tr>
        <w:tc>
          <w:tcPr>
            <w:tcW w:type="dxa" w:w="2880"/>
            <w:vAlign w:val="center"/>
            <w:shd w:fill="F8FAFC"/>
          </w:tcPr>
          <w:p>
            <w:pPr>
              <w:spacing w:line="276" w:lineRule="auto" w:before="0" w:after="40"/>
              <w:jc w:val="left"/>
            </w:pPr>
            <w:r/>
            <w:r>
              <w:rPr>
                <w:rFonts w:ascii="Times New Roman" w:hAnsi="Times New Roman"/>
                <w:b w:val="0"/>
                <w:i w:val="0"/>
                <w:sz w:val="24"/>
              </w:rPr>
              <w:t>selectedState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Selected stateboard reference matching the 'tariffs' ID.</w:t>
            </w:r>
          </w:p>
        </w:tc>
      </w:tr>
      <w:tr>
        <w:tc>
          <w:tcPr>
            <w:tcW w:type="dxa" w:w="2880"/>
            <w:vAlign w:val="center"/>
          </w:tcPr>
          <w:p>
            <w:pPr>
              <w:spacing w:line="276" w:lineRule="auto" w:before="0" w:after="40"/>
              <w:jc w:val="left"/>
            </w:pPr>
            <w:r/>
            <w:r>
              <w:rPr>
                <w:rFonts w:ascii="Times New Roman" w:hAnsi="Times New Roman"/>
                <w:b w:val="0"/>
                <w:i w:val="0"/>
                <w:sz w:val="24"/>
              </w:rPr>
              <w:t>monthlyBudget</w:t>
            </w:r>
          </w:p>
        </w:tc>
        <w:tc>
          <w:tcPr>
            <w:tcW w:type="dxa" w:w="2880"/>
            <w:vAlign w:val="center"/>
          </w:tcPr>
          <w:p>
            <w:pPr>
              <w:spacing w:line="276" w:lineRule="auto" w:before="0" w:after="40"/>
              <w:jc w:val="left"/>
            </w:pPr>
            <w:r/>
            <w:r>
              <w:rPr>
                <w:rFonts w:ascii="Times New Roman" w:hAnsi="Times New Roman"/>
                <w:b w:val="0"/>
                <w:i w:val="0"/>
                <w:sz w:val="24"/>
              </w:rPr>
              <w:t>Number</w:t>
            </w:r>
          </w:p>
        </w:tc>
        <w:tc>
          <w:tcPr>
            <w:tcW w:type="dxa" w:w="5040"/>
            <w:vAlign w:val="center"/>
          </w:tcPr>
          <w:p>
            <w:pPr>
              <w:spacing w:line="276" w:lineRule="auto" w:before="0" w:after="40"/>
              <w:jc w:val="left"/>
            </w:pPr>
            <w:r/>
            <w:r>
              <w:rPr>
                <w:rFonts w:ascii="Times New Roman" w:hAnsi="Times New Roman"/>
                <w:b w:val="0"/>
                <w:i w:val="0"/>
                <w:sz w:val="24"/>
              </w:rPr>
              <w:t>Target spending threshold to trigger dashboard alerts (in ₹).</w:t>
            </w:r>
          </w:p>
        </w:tc>
      </w:tr>
      <w:tr>
        <w:tc>
          <w:tcPr>
            <w:tcW w:type="dxa" w:w="2880"/>
            <w:vAlign w:val="center"/>
            <w:shd w:fill="F8FAFC"/>
          </w:tcPr>
          <w:p>
            <w:pPr>
              <w:spacing w:line="276" w:lineRule="auto" w:before="0" w:after="40"/>
              <w:jc w:val="left"/>
            </w:pPr>
            <w:r/>
            <w:r>
              <w:rPr>
                <w:rFonts w:ascii="Times New Roman" w:hAnsi="Times New Roman"/>
                <w:b w:val="0"/>
                <w:i w:val="0"/>
                <w:sz w:val="24"/>
              </w:rPr>
              <w:t>themePreference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UI appearance selector ('light' or 'dark').</w:t>
            </w:r>
          </w:p>
        </w:tc>
      </w:tr>
      <w:tr>
        <w:tc>
          <w:tcPr>
            <w:tcW w:type="dxa" w:w="2880"/>
            <w:vAlign w:val="center"/>
          </w:tcPr>
          <w:p>
            <w:pPr>
              <w:spacing w:line="276" w:lineRule="auto" w:before="0" w:after="40"/>
              <w:jc w:val="left"/>
            </w:pPr>
            <w:r/>
            <w:r>
              <w:rPr>
                <w:rFonts w:ascii="Times New Roman" w:hAnsi="Times New Roman"/>
                <w:b w:val="0"/>
                <w:i w:val="0"/>
                <w:sz w:val="24"/>
              </w:rPr>
              <w:t>lastAuditTimestamp</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Date when the user last completed a full appliance audit wizard.</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4.4 Mathematical Models and Algorithmic Computations</w:t>
      </w:r>
    </w:p>
    <w:p>
      <w:pPr>
        <w:spacing w:line="360" w:lineRule="auto" w:before="0" w:after="120"/>
        <w:jc w:val="both"/>
      </w:pPr>
      <w:r>
        <w:rPr>
          <w:rFonts w:ascii="Times New Roman" w:hAnsi="Times New Roman"/>
          <w:b w:val="0"/>
          <w:i w:val="0"/>
          <w:sz w:val="24"/>
        </w:rPr>
        <w:t>To deliver precise billing audits and solar projections, the application utilizes structured mathematical formulations.</w:t>
      </w:r>
    </w:p>
    <w:p>
      <w:pPr>
        <w:spacing w:line="360" w:lineRule="auto" w:before="120" w:after="80"/>
        <w:jc w:val="left"/>
        <w:keepNext/>
      </w:pPr>
      <w:r>
        <w:rPr>
          <w:rFonts w:ascii="Times New Roman" w:hAnsi="Times New Roman"/>
          <w:b/>
          <w:i w:val="0"/>
          <w:sz w:val="24"/>
        </w:rPr>
        <w:t>4.4.1 Progressive Slab-Rate Billing Computation</w:t>
      </w:r>
    </w:p>
    <w:p>
      <w:pPr>
        <w:spacing w:line="360" w:lineRule="auto" w:before="0" w:after="120"/>
        <w:jc w:val="both"/>
      </w:pPr>
      <w:r>
        <w:rPr>
          <w:rFonts w:ascii="Times New Roman" w:hAnsi="Times New Roman"/>
          <w:b w:val="0"/>
          <w:i w:val="0"/>
          <w:sz w:val="24"/>
        </w:rPr>
        <w:t>Electricity distribution companies implement progressive tier rates to penalize heavy consumption. The billing engine calculates total cost using progressive limits:</w:t>
      </w:r>
    </w:p>
    <w:p>
      <w:pPr>
        <w:spacing w:line="360" w:lineRule="auto" w:before="0" w:after="120"/>
        <w:jc w:val="both"/>
      </w:pPr>
      <w:r>
        <w:rPr>
          <w:rFonts w:ascii="Times New Roman" w:hAnsi="Times New Roman"/>
          <w:b w:val="0"/>
          <w:i w:val="0"/>
          <w:sz w:val="24"/>
        </w:rPr>
        <w:t>For total monthly consumption C (in kWh), and tier slabs defined by boundaries B_i (where B_0 = 0) and corresponding unit rates R_i for i = 1 to k:</w:t>
      </w:r>
    </w:p>
    <w:p>
      <w:pPr>
        <w:spacing w:line="360" w:lineRule="auto" w:before="0" w:after="120"/>
        <w:jc w:val="both"/>
      </w:pPr>
      <w:r>
        <w:rPr>
          <w:rFonts w:ascii="Times New Roman" w:hAnsi="Times New Roman"/>
          <w:b w:val="0"/>
          <w:i w:val="0"/>
          <w:sz w:val="24"/>
        </w:rPr>
        <w:t>$$\text{Energy Charge} = \sum_{i=1}^{k} \max\left(0, \min\left(C - B_{i-1}, B_i - B_{i-1}\right)\right) \times R_i$$</w:t>
      </w:r>
    </w:p>
    <w:p>
      <w:pPr>
        <w:spacing w:line="360" w:lineRule="auto" w:before="0" w:after="120"/>
        <w:jc w:val="both"/>
      </w:pPr>
      <w:r>
        <w:rPr>
          <w:rFonts w:ascii="Times New Roman" w:hAnsi="Times New Roman"/>
          <w:b w:val="0"/>
          <w:i w:val="0"/>
          <w:sz w:val="24"/>
        </w:rPr>
        <w:t>$$\text{Total Bill} = (\text{Energy Charge} + \text{Fixed Charge} - \text{Subsidy}) \times (1 + \text{Tax Rate})$$</w:t>
      </w:r>
    </w:p>
    <w:p>
      <w:pPr>
        <w:spacing w:line="360" w:lineRule="auto" w:before="0" w:after="120"/>
        <w:jc w:val="both"/>
      </w:pPr>
      <w:r>
        <w:rPr>
          <w:rFonts w:ascii="Times New Roman" w:hAnsi="Times New Roman"/>
          <w:b w:val="0"/>
          <w:i w:val="0"/>
          <w:sz w:val="24"/>
        </w:rPr>
        <w:t>For example, if a consumer consumes 250 kWh, and the slabs are 0-100 units at ₹3.00, 101-200 units at ₹5.00, and 200+ units at ₹8.00:</w:t>
      </w:r>
    </w:p>
    <w:p>
      <w:pPr>
        <w:spacing w:line="360" w:lineRule="auto" w:before="40" w:after="80"/>
        <w:ind w:left="360" w:hanging="360"/>
        <w:jc w:val="both"/>
      </w:pPr>
      <w:r>
        <w:t>•</w:t>
        <w:tab/>
      </w:r>
      <w:r>
        <w:rPr>
          <w:rFonts w:ascii="Times New Roman" w:hAnsi="Times New Roman"/>
          <w:b w:val="0"/>
          <w:i w:val="0"/>
          <w:sz w:val="24"/>
        </w:rPr>
        <w:t>Tier 1 Units: min(250, 100) = 100 kWh * ₹3 = ₹300</w:t>
      </w:r>
    </w:p>
    <w:p>
      <w:pPr>
        <w:spacing w:line="360" w:lineRule="auto" w:before="40" w:after="80"/>
        <w:ind w:left="360" w:hanging="360"/>
        <w:jc w:val="both"/>
      </w:pPr>
      <w:r>
        <w:t>•</w:t>
        <w:tab/>
      </w:r>
      <w:r>
        <w:rPr>
          <w:rFonts w:ascii="Times New Roman" w:hAnsi="Times New Roman"/>
          <w:b w:val="0"/>
          <w:i w:val="0"/>
          <w:sz w:val="24"/>
        </w:rPr>
        <w:t>Tier 2 Units: min(250-100, 100) = 100 kWh * ₹5 = ₹500</w:t>
      </w:r>
    </w:p>
    <w:p>
      <w:pPr>
        <w:spacing w:line="360" w:lineRule="auto" w:before="40" w:after="80"/>
        <w:ind w:left="360" w:hanging="360"/>
        <w:jc w:val="both"/>
      </w:pPr>
      <w:r>
        <w:t>•</w:t>
        <w:tab/>
      </w:r>
      <w:r>
        <w:rPr>
          <w:rFonts w:ascii="Times New Roman" w:hAnsi="Times New Roman"/>
          <w:b w:val="0"/>
          <w:i w:val="0"/>
          <w:sz w:val="24"/>
        </w:rPr>
        <w:t>Tier 3 Units: max(0, 250-200) = 50 kWh * ₹8 = ₹400</w:t>
      </w:r>
    </w:p>
    <w:p>
      <w:pPr>
        <w:spacing w:line="360" w:lineRule="auto" w:before="40" w:after="80"/>
        <w:ind w:left="360" w:hanging="360"/>
        <w:jc w:val="both"/>
      </w:pPr>
      <w:r>
        <w:t>•</w:t>
        <w:tab/>
      </w:r>
      <w:r>
        <w:rPr>
          <w:rFonts w:ascii="Times New Roman" w:hAnsi="Times New Roman"/>
          <w:b w:val="0"/>
          <w:i w:val="0"/>
          <w:sz w:val="24"/>
        </w:rPr>
        <w:t>Total Energy Charge: ₹300 + ₹500 + ₹400 = ₹1200.</w:t>
      </w:r>
    </w:p>
    <w:p>
      <w:pPr>
        <w:spacing w:line="360" w:lineRule="auto" w:before="120" w:after="80"/>
        <w:jc w:val="left"/>
        <w:keepNext/>
      </w:pPr>
      <w:r>
        <w:rPr>
          <w:rFonts w:ascii="Times New Roman" w:hAnsi="Times New Roman"/>
          <w:b/>
          <w:i w:val="0"/>
          <w:sz w:val="24"/>
        </w:rPr>
        <w:t>4.4.2 Solar Recommended Capacity Sizing Cap</w:t>
      </w:r>
    </w:p>
    <w:p>
      <w:pPr>
        <w:spacing w:line="360" w:lineRule="auto" w:before="0" w:after="120"/>
        <w:jc w:val="both"/>
      </w:pPr>
      <w:r>
        <w:rPr>
          <w:rFonts w:ascii="Times New Roman" w:hAnsi="Times New Roman"/>
          <w:b w:val="0"/>
          <w:i w:val="0"/>
          <w:sz w:val="24"/>
        </w:rPr>
        <w:t>The recommended solar system capacity S_kW is calculated based on monthly energy demand, capped by the user's physical roof area to prevent unfeasible recommendations:</w:t>
      </w:r>
    </w:p>
    <w:p>
      <w:pPr>
        <w:spacing w:line="360" w:lineRule="auto" w:before="0" w:after="120"/>
        <w:jc w:val="both"/>
      </w:pPr>
      <w:r>
        <w:rPr>
          <w:rFonts w:ascii="Times New Roman" w:hAnsi="Times New Roman"/>
          <w:b w:val="0"/>
          <w:i w:val="0"/>
          <w:sz w:val="24"/>
        </w:rPr>
        <w:t>$$S_{\text{kW}} = \min\left( \frac{\text{Average Monthly Bill}}{\text{Average Unit Rate} \times 120}, \frac{A_{\text{roof}} \times \text{Panel Wattage} \times \eta_{\text{panel}}}{1000 \times A_{\text{panel}}} \right)$$</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A_roof is the available roof area in square meters.</w:t>
      </w:r>
    </w:p>
    <w:p>
      <w:pPr>
        <w:spacing w:line="360" w:lineRule="auto" w:before="40" w:after="80"/>
        <w:ind w:left="360" w:hanging="360"/>
        <w:jc w:val="both"/>
      </w:pPr>
      <w:r>
        <w:t>•</w:t>
        <w:tab/>
      </w:r>
      <w:r>
        <w:rPr>
          <w:rFonts w:ascii="Times New Roman" w:hAnsi="Times New Roman"/>
          <w:b w:val="0"/>
          <w:i w:val="0"/>
          <w:sz w:val="24"/>
        </w:rPr>
        <w:t>Panel Wattage is the rating of a single module (default 540W).</w:t>
      </w:r>
    </w:p>
    <w:p>
      <w:pPr>
        <w:spacing w:line="360" w:lineRule="auto" w:before="40" w:after="80"/>
        <w:ind w:left="360" w:hanging="360"/>
        <w:jc w:val="both"/>
      </w:pPr>
      <w:r>
        <w:t>•</w:t>
        <w:tab/>
      </w:r>
      <w:r>
        <w:rPr>
          <w:rFonts w:ascii="Times New Roman" w:hAnsi="Times New Roman"/>
          <w:b w:val="0"/>
          <w:i w:val="0"/>
          <w:sz w:val="24"/>
        </w:rPr>
        <w:t>A_panel is the physical area of a single module (default 2.58 square meters).</w:t>
      </w:r>
    </w:p>
    <w:p>
      <w:pPr>
        <w:spacing w:line="360" w:lineRule="auto" w:before="40" w:after="80"/>
        <w:ind w:left="360" w:hanging="360"/>
        <w:jc w:val="both"/>
      </w:pPr>
      <w:r>
        <w:t>•</w:t>
        <w:tab/>
      </w:r>
      <w:r>
        <w:rPr>
          <w:rFonts w:ascii="Times New Roman" w:hAnsi="Times New Roman"/>
          <w:b w:val="0"/>
          <w:i w:val="0"/>
          <w:sz w:val="24"/>
        </w:rPr>
        <w:t>\eta_panel is the solar panel efficiency multiplier (default 0.85).</w:t>
      </w:r>
    </w:p>
    <w:p>
      <w:pPr>
        <w:spacing w:line="360" w:lineRule="auto" w:before="40" w:after="80"/>
        <w:ind w:left="360" w:hanging="360"/>
        <w:jc w:val="both"/>
      </w:pPr>
      <w:r>
        <w:t>•</w:t>
        <w:tab/>
      </w:r>
      <w:r>
        <w:rPr>
          <w:rFonts w:ascii="Times New Roman" w:hAnsi="Times New Roman"/>
          <w:b w:val="0"/>
          <w:i w:val="0"/>
          <w:sz w:val="24"/>
        </w:rPr>
        <w:t>120 is the empirical conversion factor representing average monthly kWh generated by 1 kW of solar panels in India.</w:t>
      </w:r>
    </w:p>
    <w:p>
      <w:pPr>
        <w:spacing w:line="360" w:lineRule="auto" w:before="120" w:after="80"/>
        <w:jc w:val="left"/>
        <w:keepNext/>
      </w:pPr>
      <w:r>
        <w:rPr>
          <w:rFonts w:ascii="Times New Roman" w:hAnsi="Times New Roman"/>
          <w:b/>
          <w:i w:val="0"/>
          <w:sz w:val="24"/>
        </w:rPr>
        <w:t>4.4.3 Solar Generation Model with Shading and Orientation</w:t>
      </w:r>
    </w:p>
    <w:p>
      <w:pPr>
        <w:spacing w:line="360" w:lineRule="auto" w:before="0" w:after="120"/>
        <w:jc w:val="both"/>
      </w:pPr>
      <w:r>
        <w:rPr>
          <w:rFonts w:ascii="Times New Roman" w:hAnsi="Times New Roman"/>
          <w:b w:val="0"/>
          <w:i w:val="0"/>
          <w:sz w:val="24"/>
        </w:rPr>
        <w:t>The actual solar generation yield G_kWh per month is modeled using local physical layout parameters:</w:t>
      </w:r>
    </w:p>
    <w:p>
      <w:pPr>
        <w:spacing w:line="360" w:lineRule="auto" w:before="0" w:after="120"/>
        <w:jc w:val="both"/>
      </w:pPr>
      <w:r>
        <w:rPr>
          <w:rFonts w:ascii="Times New Roman" w:hAnsi="Times New Roman"/>
          <w:b w:val="0"/>
          <w:i w:val="0"/>
          <w:sz w:val="24"/>
        </w:rPr>
        <w:t>$$G_{\text{kWh}} = S_{\text{kW}} \times \text{Peak Sun Hours} \times 30 \times F_{\text{orientation}} \times F_{\text{tilt}} \times (1 - F_{\text{shading}}) \times \eta_{\text{system}}$$</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Peak Sun Hours represents regional daily solar insolation (default 4.5 hours/day).</w:t>
      </w:r>
    </w:p>
    <w:p>
      <w:pPr>
        <w:spacing w:line="360" w:lineRule="auto" w:before="40" w:after="80"/>
        <w:ind w:left="360" w:hanging="360"/>
        <w:jc w:val="both"/>
      </w:pPr>
      <w:r>
        <w:t>•</w:t>
        <w:tab/>
      </w:r>
      <w:r>
        <w:rPr>
          <w:rFonts w:ascii="Times New Roman" w:hAnsi="Times New Roman"/>
          <w:b w:val="0"/>
          <w:i w:val="0"/>
          <w:sz w:val="24"/>
        </w:rPr>
        <w:t>F_orientation is the orientation multiplier (South = 1.0, East/West = 0.85).</w:t>
      </w:r>
    </w:p>
    <w:p>
      <w:pPr>
        <w:spacing w:line="360" w:lineRule="auto" w:before="40" w:after="80"/>
        <w:ind w:left="360" w:hanging="360"/>
        <w:jc w:val="both"/>
      </w:pPr>
      <w:r>
        <w:t>•</w:t>
        <w:tab/>
      </w:r>
      <w:r>
        <w:rPr>
          <w:rFonts w:ascii="Times New Roman" w:hAnsi="Times New Roman"/>
          <w:b w:val="0"/>
          <w:i w:val="0"/>
          <w:sz w:val="24"/>
        </w:rPr>
        <w:t>F_tilt is the tilt angle multiplier (optimized tilt = 1.0, sub-optimal = 0.90).</w:t>
      </w:r>
    </w:p>
    <w:p>
      <w:pPr>
        <w:spacing w:line="360" w:lineRule="auto" w:before="40" w:after="80"/>
        <w:ind w:left="360" w:hanging="360"/>
        <w:jc w:val="both"/>
      </w:pPr>
      <w:r>
        <w:t>•</w:t>
        <w:tab/>
      </w:r>
      <w:r>
        <w:rPr>
          <w:rFonts w:ascii="Times New Roman" w:hAnsi="Times New Roman"/>
          <w:b w:val="0"/>
          <w:i w:val="0"/>
          <w:sz w:val="24"/>
        </w:rPr>
        <w:t>F_shading is the shading percentage configured by the user slider (0.0 to 1.0).</w:t>
      </w:r>
    </w:p>
    <w:p>
      <w:pPr>
        <w:spacing w:line="360" w:lineRule="auto" w:before="40" w:after="80"/>
        <w:ind w:left="360" w:hanging="360"/>
        <w:jc w:val="both"/>
      </w:pPr>
      <w:r>
        <w:t>•</w:t>
        <w:tab/>
      </w:r>
      <w:r>
        <w:rPr>
          <w:rFonts w:ascii="Times New Roman" w:hAnsi="Times New Roman"/>
          <w:b w:val="0"/>
          <w:i w:val="0"/>
          <w:sz w:val="24"/>
        </w:rPr>
        <w:t>\eta_system is the systemic inverter and wiring efficiency factor (default 0.82).</w:t>
      </w:r>
    </w:p>
    <w:p>
      <w:pPr>
        <w:spacing w:line="360" w:lineRule="auto" w:before="120" w:after="80"/>
        <w:jc w:val="left"/>
        <w:keepNext/>
      </w:pPr>
      <w:r>
        <w:rPr>
          <w:rFonts w:ascii="Times New Roman" w:hAnsi="Times New Roman"/>
          <w:b/>
          <w:i w:val="0"/>
          <w:sz w:val="24"/>
        </w:rPr>
        <w:t>4.4.4 25-Year Compounding ROI Timeline</w:t>
      </w:r>
    </w:p>
    <w:p>
      <w:pPr>
        <w:spacing w:line="360" w:lineRule="auto" w:before="0" w:after="120"/>
        <w:jc w:val="both"/>
      </w:pPr>
      <w:r>
        <w:rPr>
          <w:rFonts w:ascii="Times New Roman" w:hAnsi="Times New Roman"/>
          <w:b w:val="0"/>
          <w:i w:val="0"/>
          <w:sz w:val="24"/>
        </w:rPr>
        <w:t>The return-on-investment timeline compiles annual savings while compounding panel degradation, utility rate inflation, and maintenance inflation. Let:</w:t>
      </w:r>
    </w:p>
    <w:p>
      <w:pPr>
        <w:spacing w:line="360" w:lineRule="auto" w:before="40" w:after="80"/>
        <w:ind w:left="360" w:hanging="360"/>
        <w:jc w:val="both"/>
      </w:pPr>
      <w:r>
        <w:t>•</w:t>
        <w:tab/>
      </w:r>
      <w:r>
        <w:rPr>
          <w:rFonts w:ascii="Times New Roman" w:hAnsi="Times New Roman"/>
          <w:b w:val="0"/>
          <w:i w:val="0"/>
          <w:sz w:val="24"/>
        </w:rPr>
        <w:t>I_util be the annual utility grid rate inflation index (default 5% per year).</w:t>
      </w:r>
    </w:p>
    <w:p>
      <w:pPr>
        <w:spacing w:line="360" w:lineRule="auto" w:before="40" w:after="80"/>
        <w:ind w:left="360" w:hanging="360"/>
        <w:jc w:val="both"/>
      </w:pPr>
      <w:r>
        <w:t>•</w:t>
        <w:tab/>
      </w:r>
      <w:r>
        <w:rPr>
          <w:rFonts w:ascii="Times New Roman" w:hAnsi="Times New Roman"/>
          <w:b w:val="0"/>
          <w:i w:val="0"/>
          <w:sz w:val="24"/>
        </w:rPr>
        <w:t>I_maint be the annual maintenance inflation index (default 3% per year).</w:t>
      </w:r>
    </w:p>
    <w:p>
      <w:pPr>
        <w:spacing w:line="360" w:lineRule="auto" w:before="40" w:after="80"/>
        <w:ind w:left="360" w:hanging="360"/>
        <w:jc w:val="both"/>
      </w:pPr>
      <w:r>
        <w:t>•</w:t>
        <w:tab/>
      </w:r>
      <w:r>
        <w:rPr>
          <w:rFonts w:ascii="Times New Roman" w:hAnsi="Times New Roman"/>
          <w:b w:val="0"/>
          <w:i w:val="0"/>
          <w:sz w:val="24"/>
        </w:rPr>
        <w:t>d be the annual solar panel efficiency degradation rate (default 0.8% per year).</w:t>
      </w:r>
    </w:p>
    <w:p>
      <w:pPr>
        <w:spacing w:line="360" w:lineRule="auto" w:before="40" w:after="80"/>
        <w:ind w:left="360" w:hanging="360"/>
        <w:jc w:val="both"/>
      </w:pPr>
      <w:r>
        <w:t>•</w:t>
        <w:tab/>
      </w:r>
      <w:r>
        <w:rPr>
          <w:rFonts w:ascii="Times New Roman" w:hAnsi="Times New Roman"/>
          <w:b w:val="0"/>
          <w:i w:val="0"/>
          <w:sz w:val="24"/>
        </w:rPr>
        <w:t>C_y be the grid electricity cost in year y if solar was not installed.</w:t>
      </w:r>
    </w:p>
    <w:p>
      <w:pPr>
        <w:spacing w:line="360" w:lineRule="auto" w:before="40" w:after="80"/>
        <w:ind w:left="360" w:hanging="360"/>
        <w:jc w:val="both"/>
      </w:pPr>
      <w:r>
        <w:t>•</w:t>
        <w:tab/>
      </w:r>
      <w:r>
        <w:rPr>
          <w:rFonts w:ascii="Times New Roman" w:hAnsi="Times New Roman"/>
          <w:b w:val="0"/>
          <w:i w:val="0"/>
          <w:sz w:val="24"/>
        </w:rPr>
        <w:t>S_y be the net financial savings generated by the solar system in year y.</w:t>
      </w:r>
    </w:p>
    <w:p>
      <w:pPr>
        <w:spacing w:line="360" w:lineRule="auto" w:before="0" w:after="120"/>
        <w:jc w:val="both"/>
      </w:pPr>
      <w:r>
        <w:rPr>
          <w:rFonts w:ascii="Times New Roman" w:hAnsi="Times New Roman"/>
          <w:b w:val="0"/>
          <w:i w:val="0"/>
          <w:sz w:val="24"/>
        </w:rPr>
        <w:t>$$C_y = C_0 \times (1 + I_{\text{util}})^y$$</w:t>
      </w:r>
    </w:p>
    <w:p>
      <w:pPr>
        <w:spacing w:line="360" w:lineRule="auto" w:before="0" w:after="120"/>
        <w:jc w:val="both"/>
      </w:pPr>
      <w:r>
        <w:rPr>
          <w:rFonts w:ascii="Times New Roman" w:hAnsi="Times New Roman"/>
          <w:b w:val="0"/>
          <w:i w:val="0"/>
          <w:sz w:val="24"/>
        </w:rPr>
        <w:t>$$S_y = C_y \times (1 - d)^y - M_0 \times (1 + I_{\text{maint}})^y$$</w:t>
      </w:r>
    </w:p>
    <w:p>
      <w:pPr>
        <w:spacing w:line="360" w:lineRule="auto" w:before="0" w:after="120"/>
        <w:jc w:val="both"/>
      </w:pPr>
      <w:r>
        <w:rPr>
          <w:rFonts w:ascii="Times New Roman" w:hAnsi="Times New Roman"/>
          <w:b w:val="0"/>
          <w:i w:val="0"/>
          <w:sz w:val="24"/>
        </w:rPr>
        <w:t>$$\text{Cumulative Balance}_Y = \sum_{y=1}^{Y} S_y - \text{Upfront Cost} + \text{Subsidy}$$</w:t>
      </w:r>
    </w:p>
    <w:p>
      <w:pPr>
        <w:spacing w:line="360" w:lineRule="auto" w:before="0" w:after="120"/>
        <w:jc w:val="both"/>
      </w:pPr>
      <w:r>
        <w:rPr>
          <w:rFonts w:ascii="Times New Roman" w:hAnsi="Times New Roman"/>
          <w:b w:val="0"/>
          <w:i w:val="0"/>
          <w:sz w:val="24"/>
        </w:rPr>
        <w:t>The payback period (break-even year) is defined as the minimum year Y where the Cumulative Balance is greater than or equal to zero.</w:t>
      </w:r>
    </w:p>
    <w:p>
      <w:pPr>
        <w:spacing w:line="360" w:lineRule="auto" w:before="120" w:after="80"/>
        <w:jc w:val="left"/>
        <w:keepNext/>
      </w:pPr>
      <w:r>
        <w:rPr>
          <w:rFonts w:ascii="Times New Roman" w:hAnsi="Times New Roman"/>
          <w:b/>
          <w:i w:val="0"/>
          <w:sz w:val="24"/>
        </w:rPr>
        <w:t>4.4.5 Carbon Footprint and Tree Equivalents</w:t>
      </w:r>
    </w:p>
    <w:p>
      <w:pPr>
        <w:spacing w:line="360" w:lineRule="auto" w:before="0" w:after="120"/>
        <w:jc w:val="both"/>
      </w:pPr>
      <w:r>
        <w:rPr>
          <w:rFonts w:ascii="Times New Roman" w:hAnsi="Times New Roman"/>
          <w:b w:val="0"/>
          <w:i w:val="0"/>
          <w:sz w:val="24"/>
        </w:rPr>
        <w:t>The environmental offset translates energy savings into concrete ecological metrics:</w:t>
      </w:r>
    </w:p>
    <w:p>
      <w:pPr>
        <w:spacing w:line="360" w:lineRule="auto" w:before="0" w:after="120"/>
        <w:jc w:val="both"/>
      </w:pPr>
      <w:r>
        <w:rPr>
          <w:rFonts w:ascii="Times New Roman" w:hAnsi="Times New Roman"/>
          <w:b w:val="0"/>
          <w:i w:val="0"/>
          <w:sz w:val="24"/>
        </w:rPr>
        <w:t>$$\text{CO2 Emissions Offset (kg)} = \Delta E_{\text{saved (kWh)}} \times \text{Grid Emission Factor}$$</w:t>
      </w:r>
    </w:p>
    <w:p>
      <w:pPr>
        <w:spacing w:line="360" w:lineRule="auto" w:before="0" w:after="120"/>
        <w:jc w:val="both"/>
      </w:pPr>
      <w:r>
        <w:rPr>
          <w:rFonts w:ascii="Times New Roman" w:hAnsi="Times New Roman"/>
          <w:b w:val="0"/>
          <w:i w:val="0"/>
          <w:sz w:val="24"/>
        </w:rPr>
        <w:t>$$\text{Tree Offset (Count)} = \frac{\text{CO2 Emissions Offset}}{\text{Average Tree Absorption Factor}}$$</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Grid Emission Factor is the regional carbon intensity of grid electricity (default 0.82 kg CO2 per kWh for India).</w:t>
      </w:r>
    </w:p>
    <w:p>
      <w:pPr>
        <w:spacing w:line="360" w:lineRule="auto" w:before="40" w:after="80"/>
        <w:ind w:left="360" w:hanging="360"/>
        <w:jc w:val="both"/>
      </w:pPr>
      <w:r>
        <w:t>•</w:t>
        <w:tab/>
      </w:r>
      <w:r>
        <w:rPr>
          <w:rFonts w:ascii="Times New Roman" w:hAnsi="Times New Roman"/>
          <w:b w:val="0"/>
          <w:i w:val="0"/>
          <w:sz w:val="24"/>
        </w:rPr>
        <w:t>Average Tree Absorption Factor represents the carbon dioxide sequestered by a mature tree annually (default 22 kg CO2 per tree per year).</w:t>
      </w:r>
    </w:p>
    <w:p>
      <w:pPr>
        <w:spacing w:line="360" w:lineRule="auto" w:before="40" w:after="80"/>
        <w:ind w:left="360" w:hanging="360"/>
        <w:jc w:val="both"/>
      </w:pPr>
      <w:r>
        <w:t>•</w:t>
        <w:tab/>
      </w:r>
      <w:r>
        <w:rPr>
          <w:rFonts w:ascii="Times New Roman" w:hAnsi="Times New Roman"/>
          <w:b w:val="0"/>
          <w:i w:val="0"/>
          <w:sz w:val="24"/>
        </w:rPr>
        <w:t>\Delta E_saved is the cumulative energy saved through auditing or solar generation.</w:t>
      </w:r>
    </w:p>
    <w:p>
      <w:pPr>
        <w:spacing w:line="360" w:lineRule="auto" w:before="360" w:after="240"/>
        <w:jc w:val="center"/>
        <w:keepNext/>
      </w:pPr>
      <w:r>
        <w:rPr>
          <w:rFonts w:ascii="Times New Roman" w:hAnsi="Times New Roman"/>
          <w:b/>
          <w:i w:val="0"/>
          <w:sz w:val="32"/>
        </w:rPr>
        <w:t>CHAPTER 5: IMPLEMENTATION AND MODULES</w:t>
      </w:r>
    </w:p>
    <w:p>
      <w:pPr>
        <w:spacing w:line="360" w:lineRule="auto" w:before="240" w:after="120"/>
        <w:jc w:val="left"/>
        <w:keepNext/>
      </w:pPr>
      <w:r>
        <w:rPr>
          <w:rFonts w:ascii="Times New Roman" w:hAnsi="Times New Roman"/>
          <w:b/>
          <w:i w:val="0"/>
          <w:sz w:val="28"/>
        </w:rPr>
        <w:t>5.1 User Authentication (Login, Register &amp; Forgot Password)</w:t>
      </w:r>
    </w:p>
    <w:p>
      <w:pPr>
        <w:spacing w:line="360" w:lineRule="auto" w:before="0" w:after="120"/>
        <w:jc w:val="both"/>
      </w:pPr>
      <w:r>
        <w:rPr>
          <w:rFonts w:ascii="Times New Roman" w:hAnsi="Times New Roman"/>
          <w:b w:val="0"/>
          <w:i w:val="0"/>
          <w:sz w:val="24"/>
        </w:rPr>
        <w:t>The application entry points are built using a visual split-screen design. The left panel serves as an interactive brand column: it features three floating, pulsing gradient decorative orbs that scale and shift opacity, placed on a radial dot-matrix background. Key system highlights are listed in this panel. The right side houses the forms. Custom hooks track field focus (focusedField), lighting up active fields with a glowing colored border shadow wash. Built-in validation checks matching passwords and email patterns prior to invoking Firebase Auth.</w:t>
      </w:r>
    </w:p>
    <w:p>
      <w:pPr>
        <w:spacing w:line="360" w:lineRule="auto" w:before="0" w:after="120"/>
        <w:jc w:val="both"/>
      </w:pPr>
      <w:r>
        <w:rPr>
          <w:rFonts w:ascii="Times New Roman" w:hAnsi="Times New Roman"/>
          <w:b w:val="0"/>
          <w:i w:val="0"/>
          <w:sz w:val="24"/>
        </w:rPr>
        <w:t>Firebase Authentication manages the session state globally using an auth state observer. When a user logs in, the authentication state triggers a context reload, fetching the corresponding user profile document from Cloud Firestore. If the user registration is new, a user profile document is initialized in the users collection. The registration form checks that password parameters are greater than 6 characters, contain at least one uppercase letter, and one number. It displays reactive inline warnings as the user types, increasing security.</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 Split-Screen Login and Registration Layout</w:t>
      </w:r>
    </w:p>
    <w:p>
      <w:pPr>
        <w:spacing w:line="360" w:lineRule="auto" w:before="240" w:after="120"/>
        <w:jc w:val="left"/>
        <w:keepNext/>
      </w:pPr>
      <w:r>
        <w:rPr>
          <w:rFonts w:ascii="Times New Roman" w:hAnsi="Times New Roman"/>
          <w:b/>
          <w:i w:val="0"/>
          <w:sz w:val="28"/>
        </w:rPr>
        <w:t>5.2 Interactive Dashboard Hub</w:t>
      </w:r>
    </w:p>
    <w:p>
      <w:pPr>
        <w:spacing w:line="360" w:lineRule="auto" w:before="0" w:after="120"/>
        <w:jc w:val="both"/>
      </w:pPr>
      <w:r>
        <w:rPr>
          <w:rFonts w:ascii="Times New Roman" w:hAnsi="Times New Roman"/>
          <w:b w:val="0"/>
          <w:i w:val="0"/>
          <w:sz w:val="24"/>
        </w:rPr>
        <w:t>The primary workspace is wrapped inside the Dashboard page. Rather than loading multiple routes, we implemented a single-page workspace utilizing a sliding capsule selector tab. Users can seamlessly click between the 'Home Audit Wizard', 'Solar ROI Planner', and 'AI Home Audit'. The tabs feature custom spring physics and tactile scale-down animations on click, which provides immediate user satisfaction.</w:t>
      </w:r>
    </w:p>
    <w:p>
      <w:pPr>
        <w:spacing w:line="360" w:lineRule="auto" w:before="0" w:after="120"/>
        <w:jc w:val="both"/>
      </w:pPr>
      <w:r>
        <w:rPr>
          <w:rFonts w:ascii="Times New Roman" w:hAnsi="Times New Roman"/>
          <w:b w:val="0"/>
          <w:i w:val="0"/>
          <w:sz w:val="24"/>
        </w:rPr>
        <w:t>The state of the active tab is managed by a React state hook. Transitions between tabs are smoothed using Framer Motion's AnimatePresence module. This ensures that when the user switches tabs, the outgoing layout fades and slides to the left while the incoming layout enters from the right, preventing jarring layout shifts. This provides a unified interface where the user can transition from a manual audit to a solar simulation while preserving session data, such as their active state board selection or estimated monthly usage.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5.2: Interactive Main Dashboard Tab Selector</w:t>
      </w:r>
    </w:p>
    <w:p>
      <w:pPr>
        <w:spacing w:line="360" w:lineRule="auto" w:before="240" w:after="120"/>
        <w:jc w:val="left"/>
        <w:keepNext/>
      </w:pPr>
      <w:r>
        <w:rPr>
          <w:rFonts w:ascii="Times New Roman" w:hAnsi="Times New Roman"/>
          <w:b/>
          <w:i w:val="0"/>
          <w:sz w:val="28"/>
        </w:rPr>
        <w:t>5.3 AI Home Energy Audit Wizard</w:t>
      </w:r>
    </w:p>
    <w:p>
      <w:pPr>
        <w:spacing w:line="360" w:lineRule="auto" w:before="0" w:after="120"/>
        <w:jc w:val="both"/>
      </w:pPr>
      <w:r>
        <w:rPr>
          <w:rFonts w:ascii="Times New Roman" w:hAnsi="Times New Roman"/>
          <w:b w:val="0"/>
          <w:i w:val="0"/>
          <w:sz w:val="24"/>
        </w:rPr>
        <w:t>The AI Home Energy Audit Wizard provides a structured, four-step interactive diagnostic flow to profile household electricity consumption.</w:t>
      </w:r>
    </w:p>
    <w:p>
      <w:pPr>
        <w:spacing w:line="360" w:lineRule="auto" w:before="40" w:after="80"/>
        <w:ind w:left="360" w:hanging="360"/>
        <w:jc w:val="both"/>
      </w:pPr>
      <w:r>
        <w:t>•</w:t>
        <w:tab/>
      </w:r>
      <w:r>
        <w:rPr>
          <w:rFonts w:ascii="Times New Roman" w:hAnsi="Times New Roman"/>
          <w:b/>
          <w:i w:val="0"/>
          <w:sz w:val="24"/>
        </w:rPr>
        <w:t>Step 1 (Appliance Selection):</w:t>
      </w:r>
      <w:r>
        <w:rPr>
          <w:rFonts w:ascii="Times New Roman" w:hAnsi="Times New Roman"/>
          <w:b w:val="0"/>
          <w:i w:val="0"/>
          <w:sz w:val="24"/>
        </w:rPr>
        <w:t xml:space="preserve"> Users toggle active appliances from a visual grid, covering heavy loads like double-door refrigerators, 15L storage geysers, 1.5-ton 5-star inverter ACs, and BLDC ceiling fans. The interface displays real-time estimates of monthly usage and cost based on standard default constants.</w:t>
      </w:r>
    </w:p>
    <w:p>
      <w:pPr>
        <w:spacing w:line="360" w:lineRule="auto" w:before="40" w:after="80"/>
        <w:ind w:left="360" w:hanging="360"/>
        <w:jc w:val="both"/>
      </w:pPr>
      <w:r>
        <w:t>•</w:t>
        <w:tab/>
      </w:r>
      <w:r>
        <w:rPr>
          <w:rFonts w:ascii="Times New Roman" w:hAnsi="Times New Roman"/>
          <w:b/>
          <w:i w:val="0"/>
          <w:sz w:val="24"/>
        </w:rPr>
        <w:t>Step 2 (Duration Calibration):</w:t>
      </w:r>
      <w:r>
        <w:rPr>
          <w:rFonts w:ascii="Times New Roman" w:hAnsi="Times New Roman"/>
          <w:b w:val="0"/>
          <w:i w:val="0"/>
          <w:sz w:val="24"/>
        </w:rPr>
        <w:t xml:space="preserve"> Users configure daily active hours and quantities for each selected appliance (for example, setting 2 LED Bulbs to run for an average of 6 hours/day), with presets for quick setup.</w:t>
      </w:r>
    </w:p>
    <w:p>
      <w:pPr>
        <w:spacing w:line="360" w:lineRule="auto" w:before="40" w:after="80"/>
        <w:ind w:left="360" w:hanging="360"/>
        <w:jc w:val="both"/>
      </w:pPr>
      <w:r>
        <w:t>•</w:t>
        <w:tab/>
      </w:r>
      <w:r>
        <w:rPr>
          <w:rFonts w:ascii="Times New Roman" w:hAnsi="Times New Roman"/>
          <w:b/>
          <w:i w:val="0"/>
          <w:sz w:val="24"/>
        </w:rPr>
        <w:t>Step 3 (Analysis &amp; Slab Breakdown):</w:t>
      </w:r>
      <w:r>
        <w:rPr>
          <w:rFonts w:ascii="Times New Roman" w:hAnsi="Times New Roman"/>
          <w:b w:val="0"/>
          <w:i w:val="0"/>
          <w:sz w:val="24"/>
        </w:rPr>
        <w:t xml:space="preserve"> The system calculates the monthly unit consumption (in kWh) and estimates the bill using regional DISCOM tariff slab definitions (such as Maharashtra or Andhra Pradesh LT-1 rates). The slab breakdown displays gross energy charges, subsidies (e.g. ₹184.50 reduction), and net charges.</w:t>
      </w:r>
    </w:p>
    <w:p>
      <w:pPr>
        <w:spacing w:line="360" w:lineRule="auto" w:before="40" w:after="80"/>
        <w:ind w:left="360" w:hanging="360"/>
        <w:jc w:val="both"/>
      </w:pPr>
      <w:r>
        <w:t>•</w:t>
        <w:tab/>
      </w:r>
      <w:r>
        <w:rPr>
          <w:rFonts w:ascii="Times New Roman" w:hAnsi="Times New Roman"/>
          <w:b/>
          <w:i w:val="0"/>
          <w:sz w:val="24"/>
        </w:rPr>
        <w:t>Step 4 (Recommendations):</w:t>
      </w:r>
      <w:r>
        <w:rPr>
          <w:rFonts w:ascii="Times New Roman" w:hAnsi="Times New Roman"/>
          <w:b w:val="0"/>
          <w:i w:val="0"/>
          <w:sz w:val="24"/>
        </w:rPr>
        <w:t xml:space="preserve"> The Saving Advisory Engine generates customized energy conservation strategies grouped by difficulty and financial impact. The audit module also features Consumption Analytics: a pie chart illustrating the energy share contribution (where the double-door refrigerator is shown as the primary driver, accounting for 57% of consumption or 158 kWh/month), and a 6-month line graph tracking usage trends over time.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5.3: AI Home Energy Audit Appliance Selection Panel</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5.4: Daily Usage Duration Calibration Presets and Sliders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5.5: Appliance Consumption Share Distribution &amp; 6-Month Energy Trend</w:t>
      </w:r>
    </w:p>
    <w:p>
      <w:pPr>
        <w:spacing w:line="360" w:lineRule="auto" w:before="240" w:after="120"/>
        <w:jc w:val="left"/>
        <w:keepNext/>
      </w:pPr>
      <w:r>
        <w:rPr>
          <w:rFonts w:ascii="Times New Roman" w:hAnsi="Times New Roman"/>
          <w:b/>
          <w:i w:val="0"/>
          <w:sz w:val="28"/>
        </w:rPr>
        <w:t>5.4 Solar ROI Planner</w:t>
      </w:r>
    </w:p>
    <w:p>
      <w:pPr>
        <w:spacing w:line="360" w:lineRule="auto" w:before="0" w:after="120"/>
        <w:jc w:val="both"/>
      </w:pPr>
      <w:r>
        <w:rPr>
          <w:rFonts w:ascii="Times New Roman" w:hAnsi="Times New Roman"/>
          <w:b w:val="0"/>
          <w:i w:val="0"/>
          <w:sz w:val="24"/>
        </w:rPr>
        <w:t>The Solar ROI Planner provides an interactive, data-driven simulation of rooftop solar investments. Users define their average monthly electricity bill and available roof space using range sliders. The system dynamically estimates the recommended solar system size (in kW), number of 540W modules, installation cost, and 25-year cumulative savings. It integrates the PM Surya Ghar national subsidy structure to calculate net costs and a payback timeline.</w:t>
      </w:r>
    </w:p>
    <w:p>
      <w:pPr>
        <w:spacing w:line="360" w:lineRule="auto" w:before="0" w:after="120"/>
        <w:jc w:val="both"/>
      </w:pPr>
      <w:r>
        <w:rPr>
          <w:rFonts w:ascii="Times New Roman" w:hAnsi="Times New Roman"/>
          <w:b w:val="0"/>
          <w:i w:val="0"/>
          <w:sz w:val="24"/>
        </w:rPr>
        <w:t>A key feature is the interactive 3D roof canvas, which renders a pitched or flat roof representing solar module placements. Users can toggle orientations (South, East, West) and simulate shading conditions (0% to 100% shaded) to evaluate feasibility. Additionally, the Return on Investment Analytics panel visualizes a 12-month seasonal utility bill comparison (contrasting the original bill against the solar bill to model lower generation in monsoon months and peak yield in spring) and displays a cumulative savings investment timeline, detailing a break-even point reached in 5.2 years and cumulative savings exceeding ₹4.5 Lakhs over 15 years.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5.6: Solar ROI Interactive Sizing Slider and 3D Canvas Orientation</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5.7: Solar Seasonal Bill Comparison and Cumulative Savings Payback Chart</w:t>
      </w:r>
    </w:p>
    <w:p>
      <w:pPr>
        <w:spacing w:line="360" w:lineRule="auto" w:before="240" w:after="120"/>
        <w:jc w:val="center"/>
      </w:pPr>
      <w:r>
        <w:rPr>
          <w:rFonts w:ascii="Times New Roman" w:hAnsi="Times New Roman"/>
          <w:b/>
          <w:i w:val="0"/>
          <w:sz w:val="24"/>
        </w:rPr>
        <w:t>Table 5.1: Interactive Solar Sizing &amp; Module Specifications Grid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1560"/>
        <w:gridCol w:w="1560"/>
        <w:gridCol w:w="1560"/>
        <w:gridCol w:w="1560"/>
        <w:gridCol w:w="1560"/>
        <w:gridCol w:w="1560"/>
      </w:tblGrid>
      <w:tr>
        <w:tc>
          <w:tcPr>
            <w:tcW w:type="dxa" w:w="1728"/>
            <w:shd w:fill="F1F5F9"/>
            <w:vAlign w:val="center"/>
          </w:tcPr>
          <w:p>
            <w:pPr>
              <w:spacing w:line="276" w:lineRule="auto" w:before="0" w:after="40"/>
              <w:jc w:val="center"/>
            </w:pPr>
            <w:r/>
            <w:r>
              <w:rPr>
                <w:rFonts w:ascii="Times New Roman" w:hAnsi="Times New Roman"/>
                <w:b/>
                <w:i w:val="0"/>
                <w:sz w:val="20"/>
              </w:rPr>
              <w:t>Recommended System Capacity</w:t>
            </w:r>
          </w:p>
        </w:tc>
        <w:tc>
          <w:tcPr>
            <w:tcW w:type="dxa" w:w="2016"/>
            <w:shd w:fill="F1F5F9"/>
            <w:vAlign w:val="center"/>
          </w:tcPr>
          <w:p>
            <w:pPr>
              <w:spacing w:line="276" w:lineRule="auto" w:before="0" w:after="40"/>
              <w:jc w:val="center"/>
            </w:pPr>
            <w:r/>
            <w:r>
              <w:rPr>
                <w:rFonts w:ascii="Times New Roman" w:hAnsi="Times New Roman"/>
                <w:b/>
                <w:i w:val="0"/>
                <w:sz w:val="20"/>
              </w:rPr>
              <w:t>Average Monthly Energy Yield</w:t>
            </w:r>
          </w:p>
        </w:tc>
        <w:tc>
          <w:tcPr>
            <w:tcW w:type="dxa" w:w="2016"/>
            <w:shd w:fill="F1F5F9"/>
            <w:vAlign w:val="center"/>
          </w:tcPr>
          <w:p>
            <w:pPr>
              <w:spacing w:line="276" w:lineRule="auto" w:before="0" w:after="40"/>
              <w:jc w:val="center"/>
            </w:pPr>
            <w:r/>
            <w:r>
              <w:rPr>
                <w:rFonts w:ascii="Times New Roman" w:hAnsi="Times New Roman"/>
                <w:b/>
                <w:i w:val="0"/>
                <w:sz w:val="20"/>
              </w:rPr>
              <w:t>Physical Solar Panel Count</w:t>
            </w:r>
          </w:p>
        </w:tc>
        <w:tc>
          <w:tcPr>
            <w:tcW w:type="dxa" w:w="2016"/>
            <w:shd w:fill="F1F5F9"/>
            <w:vAlign w:val="center"/>
          </w:tcPr>
          <w:p>
            <w:pPr>
              <w:spacing w:line="276" w:lineRule="auto" w:before="0" w:after="40"/>
              <w:jc w:val="center"/>
            </w:pPr>
            <w:r/>
            <w:r>
              <w:rPr>
                <w:rFonts w:ascii="Times New Roman" w:hAnsi="Times New Roman"/>
                <w:b/>
                <w:i w:val="0"/>
                <w:sz w:val="20"/>
              </w:rPr>
              <w:t>PM Surya Ghar National Subsidy</w:t>
            </w:r>
          </w:p>
        </w:tc>
        <w:tc>
          <w:tcPr>
            <w:tcW w:type="dxa" w:w="2016"/>
            <w:shd w:fill="F1F5F9"/>
            <w:vAlign w:val="center"/>
          </w:tcPr>
          <w:p>
            <w:pPr>
              <w:spacing w:line="276" w:lineRule="auto" w:before="0" w:after="40"/>
              <w:jc w:val="center"/>
            </w:pPr>
            <w:r/>
            <w:r>
              <w:rPr>
                <w:rFonts w:ascii="Times New Roman" w:hAnsi="Times New Roman"/>
                <w:b/>
                <w:i w:val="0"/>
                <w:sz w:val="20"/>
              </w:rPr>
              <w:t>Net Installation Capital Required</w:t>
            </w:r>
          </w:p>
        </w:tc>
        <w:tc>
          <w:tcPr>
            <w:tcW w:type="dxa" w:w="1728"/>
            <w:shd w:fill="F1F5F9"/>
            <w:vAlign w:val="center"/>
          </w:tcPr>
          <w:p>
            <w:pPr>
              <w:spacing w:line="276" w:lineRule="auto" w:before="0" w:after="40"/>
              <w:jc w:val="center"/>
            </w:pPr>
            <w:r/>
            <w:r>
              <w:rPr>
                <w:rFonts w:ascii="Times New Roman" w:hAnsi="Times New Roman"/>
                <w:b/>
                <w:i w:val="0"/>
                <w:sz w:val="20"/>
              </w:rPr>
              <w:t>Estimated 15-Year Lifetime Savings</w:t>
            </w:r>
          </w:p>
        </w:tc>
      </w:tr>
      <w:tr>
        <w:tc>
          <w:tcPr>
            <w:tcW w:type="dxa" w:w="1728"/>
            <w:vAlign w:val="center"/>
          </w:tcPr>
          <w:p>
            <w:pPr>
              <w:spacing w:line="276" w:lineRule="auto" w:before="0" w:after="40"/>
              <w:jc w:val="left"/>
            </w:pPr>
            <w:r/>
            <w:r>
              <w:rPr>
                <w:rFonts w:ascii="Times New Roman" w:hAnsi="Times New Roman"/>
                <w:b w:val="0"/>
                <w:i w:val="0"/>
                <w:sz w:val="24"/>
              </w:rPr>
              <w:t>1 kW Rooftop Solar</w:t>
            </w:r>
          </w:p>
        </w:tc>
        <w:tc>
          <w:tcPr>
            <w:tcW w:type="dxa" w:w="2016"/>
            <w:vAlign w:val="center"/>
          </w:tcPr>
          <w:p>
            <w:pPr>
              <w:spacing w:line="276" w:lineRule="auto" w:before="0" w:after="40"/>
              <w:jc w:val="left"/>
            </w:pPr>
            <w:r/>
            <w:r>
              <w:rPr>
                <w:rFonts w:ascii="Times New Roman" w:hAnsi="Times New Roman"/>
                <w:b w:val="0"/>
                <w:i w:val="0"/>
                <w:sz w:val="24"/>
              </w:rPr>
              <w:t>120 kWh / month</w:t>
            </w:r>
          </w:p>
        </w:tc>
        <w:tc>
          <w:tcPr>
            <w:tcW w:type="dxa" w:w="2016"/>
            <w:vAlign w:val="center"/>
          </w:tcPr>
          <w:p>
            <w:pPr>
              <w:spacing w:line="276" w:lineRule="auto" w:before="0" w:after="40"/>
              <w:jc w:val="left"/>
            </w:pPr>
            <w:r/>
            <w:r>
              <w:rPr>
                <w:rFonts w:ascii="Times New Roman" w:hAnsi="Times New Roman"/>
                <w:b w:val="0"/>
                <w:i w:val="0"/>
                <w:sz w:val="24"/>
              </w:rPr>
              <w:t>2 Modules (540W each)</w:t>
            </w:r>
          </w:p>
        </w:tc>
        <w:tc>
          <w:tcPr>
            <w:tcW w:type="dxa" w:w="2016"/>
            <w:vAlign w:val="center"/>
          </w:tcPr>
          <w:p>
            <w:pPr>
              <w:spacing w:line="276" w:lineRule="auto" w:before="0" w:after="40"/>
              <w:jc w:val="left"/>
            </w:pPr>
            <w:r/>
            <w:r>
              <w:rPr>
                <w:rFonts w:ascii="Times New Roman" w:hAnsi="Times New Roman"/>
                <w:b w:val="0"/>
                <w:i w:val="0"/>
                <w:sz w:val="24"/>
              </w:rPr>
              <w:t>₹30,000 subsidy discount</w:t>
            </w:r>
          </w:p>
        </w:tc>
        <w:tc>
          <w:tcPr>
            <w:tcW w:type="dxa" w:w="2016"/>
            <w:vAlign w:val="center"/>
          </w:tcPr>
          <w:p>
            <w:pPr>
              <w:spacing w:line="276" w:lineRule="auto" w:before="0" w:after="40"/>
              <w:jc w:val="left"/>
            </w:pPr>
            <w:r/>
            <w:r>
              <w:rPr>
                <w:rFonts w:ascii="Times New Roman" w:hAnsi="Times New Roman"/>
                <w:b w:val="0"/>
                <w:i w:val="0"/>
                <w:sz w:val="24"/>
              </w:rPr>
              <w:t>₹30,000 net installation</w:t>
            </w:r>
          </w:p>
        </w:tc>
        <w:tc>
          <w:tcPr>
            <w:tcW w:type="dxa" w:w="1728"/>
            <w:vAlign w:val="center"/>
          </w:tcPr>
          <w:p>
            <w:pPr>
              <w:spacing w:line="276" w:lineRule="auto" w:before="0" w:after="40"/>
              <w:jc w:val="left"/>
            </w:pPr>
            <w:r/>
            <w:r>
              <w:rPr>
                <w:rFonts w:ascii="Times New Roman" w:hAnsi="Times New Roman"/>
                <w:b w:val="0"/>
                <w:i w:val="0"/>
                <w:sz w:val="24"/>
              </w:rPr>
              <w:t>₹1,08,000 cumulative savings</w:t>
            </w:r>
          </w:p>
        </w:tc>
      </w:tr>
      <w:tr>
        <w:tc>
          <w:tcPr>
            <w:tcW w:type="dxa" w:w="1728"/>
            <w:vAlign w:val="center"/>
            <w:shd w:fill="F8FAFC"/>
          </w:tcPr>
          <w:p>
            <w:pPr>
              <w:spacing w:line="276" w:lineRule="auto" w:before="0" w:after="40"/>
              <w:jc w:val="left"/>
            </w:pPr>
            <w:r/>
            <w:r>
              <w:rPr>
                <w:rFonts w:ascii="Times New Roman" w:hAnsi="Times New Roman"/>
                <w:b w:val="0"/>
                <w:i w:val="0"/>
                <w:sz w:val="24"/>
              </w:rPr>
              <w:t>2 kW Rooftop Solar</w:t>
            </w:r>
          </w:p>
        </w:tc>
        <w:tc>
          <w:tcPr>
            <w:tcW w:type="dxa" w:w="2016"/>
            <w:vAlign w:val="center"/>
            <w:shd w:fill="F8FAFC"/>
          </w:tcPr>
          <w:p>
            <w:pPr>
              <w:spacing w:line="276" w:lineRule="auto" w:before="0" w:after="40"/>
              <w:jc w:val="left"/>
            </w:pPr>
            <w:r/>
            <w:r>
              <w:rPr>
                <w:rFonts w:ascii="Times New Roman" w:hAnsi="Times New Roman"/>
                <w:b w:val="0"/>
                <w:i w:val="0"/>
                <w:sz w:val="24"/>
              </w:rPr>
              <w:t>240 kWh / month</w:t>
            </w:r>
          </w:p>
        </w:tc>
        <w:tc>
          <w:tcPr>
            <w:tcW w:type="dxa" w:w="2016"/>
            <w:vAlign w:val="center"/>
            <w:shd w:fill="F8FAFC"/>
          </w:tcPr>
          <w:p>
            <w:pPr>
              <w:spacing w:line="276" w:lineRule="auto" w:before="0" w:after="40"/>
              <w:jc w:val="left"/>
            </w:pPr>
            <w:r/>
            <w:r>
              <w:rPr>
                <w:rFonts w:ascii="Times New Roman" w:hAnsi="Times New Roman"/>
                <w:b w:val="0"/>
                <w:i w:val="0"/>
                <w:sz w:val="24"/>
              </w:rPr>
              <w:t>4 Modules (540W each)</w:t>
            </w:r>
          </w:p>
        </w:tc>
        <w:tc>
          <w:tcPr>
            <w:tcW w:type="dxa" w:w="2016"/>
            <w:vAlign w:val="center"/>
            <w:shd w:fill="F8FAFC"/>
          </w:tcPr>
          <w:p>
            <w:pPr>
              <w:spacing w:line="276" w:lineRule="auto" w:before="0" w:after="40"/>
              <w:jc w:val="left"/>
            </w:pPr>
            <w:r/>
            <w:r>
              <w:rPr>
                <w:rFonts w:ascii="Times New Roman" w:hAnsi="Times New Roman"/>
                <w:b w:val="0"/>
                <w:i w:val="0"/>
                <w:sz w:val="24"/>
              </w:rPr>
              <w:t>₹60,000 subsidy discount</w:t>
            </w:r>
          </w:p>
        </w:tc>
        <w:tc>
          <w:tcPr>
            <w:tcW w:type="dxa" w:w="2016"/>
            <w:vAlign w:val="center"/>
            <w:shd w:fill="F8FAFC"/>
          </w:tcPr>
          <w:p>
            <w:pPr>
              <w:spacing w:line="276" w:lineRule="auto" w:before="0" w:after="40"/>
              <w:jc w:val="left"/>
            </w:pPr>
            <w:r/>
            <w:r>
              <w:rPr>
                <w:rFonts w:ascii="Times New Roman" w:hAnsi="Times New Roman"/>
                <w:b w:val="0"/>
                <w:i w:val="0"/>
                <w:sz w:val="24"/>
              </w:rPr>
              <w:t>₹60,000 net installation</w:t>
            </w:r>
          </w:p>
        </w:tc>
        <w:tc>
          <w:tcPr>
            <w:tcW w:type="dxa" w:w="1728"/>
            <w:vAlign w:val="center"/>
            <w:shd w:fill="F8FAFC"/>
          </w:tcPr>
          <w:p>
            <w:pPr>
              <w:spacing w:line="276" w:lineRule="auto" w:before="0" w:after="40"/>
              <w:jc w:val="left"/>
            </w:pPr>
            <w:r/>
            <w:r>
              <w:rPr>
                <w:rFonts w:ascii="Times New Roman" w:hAnsi="Times New Roman"/>
                <w:b w:val="0"/>
                <w:i w:val="0"/>
                <w:sz w:val="24"/>
              </w:rPr>
              <w:t>₹2,16,000 cumulative savings</w:t>
            </w:r>
          </w:p>
        </w:tc>
      </w:tr>
      <w:tr>
        <w:tc>
          <w:tcPr>
            <w:tcW w:type="dxa" w:w="1728"/>
            <w:vAlign w:val="center"/>
          </w:tcPr>
          <w:p>
            <w:pPr>
              <w:spacing w:line="276" w:lineRule="auto" w:before="0" w:after="40"/>
              <w:jc w:val="left"/>
            </w:pPr>
            <w:r/>
            <w:r>
              <w:rPr>
                <w:rFonts w:ascii="Times New Roman" w:hAnsi="Times New Roman"/>
                <w:b w:val="0"/>
                <w:i w:val="0"/>
                <w:sz w:val="24"/>
              </w:rPr>
              <w:t>3 kW Rooftop Solar</w:t>
            </w:r>
          </w:p>
        </w:tc>
        <w:tc>
          <w:tcPr>
            <w:tcW w:type="dxa" w:w="2016"/>
            <w:vAlign w:val="center"/>
          </w:tcPr>
          <w:p>
            <w:pPr>
              <w:spacing w:line="276" w:lineRule="auto" w:before="0" w:after="40"/>
              <w:jc w:val="left"/>
            </w:pPr>
            <w:r/>
            <w:r>
              <w:rPr>
                <w:rFonts w:ascii="Times New Roman" w:hAnsi="Times New Roman"/>
                <w:b w:val="0"/>
                <w:i w:val="0"/>
                <w:sz w:val="24"/>
              </w:rPr>
              <w:t>360 kWh / month</w:t>
            </w:r>
          </w:p>
        </w:tc>
        <w:tc>
          <w:tcPr>
            <w:tcW w:type="dxa" w:w="2016"/>
            <w:vAlign w:val="center"/>
          </w:tcPr>
          <w:p>
            <w:pPr>
              <w:spacing w:line="276" w:lineRule="auto" w:before="0" w:after="40"/>
              <w:jc w:val="left"/>
            </w:pPr>
            <w:r/>
            <w:r>
              <w:rPr>
                <w:rFonts w:ascii="Times New Roman" w:hAnsi="Times New Roman"/>
                <w:b w:val="0"/>
                <w:i w:val="0"/>
                <w:sz w:val="24"/>
              </w:rPr>
              <w:t>6 Modules (540W each)</w:t>
            </w:r>
          </w:p>
        </w:tc>
        <w:tc>
          <w:tcPr>
            <w:tcW w:type="dxa" w:w="2016"/>
            <w:vAlign w:val="center"/>
          </w:tcPr>
          <w:p>
            <w:pPr>
              <w:spacing w:line="276" w:lineRule="auto" w:before="0" w:after="40"/>
              <w:jc w:val="left"/>
            </w:pPr>
            <w:r/>
            <w:r>
              <w:rPr>
                <w:rFonts w:ascii="Times New Roman" w:hAnsi="Times New Roman"/>
                <w:b w:val="0"/>
                <w:i w:val="0"/>
                <w:sz w:val="24"/>
              </w:rPr>
              <w:t>₹78,000 subsidy discount</w:t>
            </w:r>
          </w:p>
        </w:tc>
        <w:tc>
          <w:tcPr>
            <w:tcW w:type="dxa" w:w="2016"/>
            <w:vAlign w:val="center"/>
          </w:tcPr>
          <w:p>
            <w:pPr>
              <w:spacing w:line="276" w:lineRule="auto" w:before="0" w:after="40"/>
              <w:jc w:val="left"/>
            </w:pPr>
            <w:r/>
            <w:r>
              <w:rPr>
                <w:rFonts w:ascii="Times New Roman" w:hAnsi="Times New Roman"/>
                <w:b w:val="0"/>
                <w:i w:val="0"/>
                <w:sz w:val="24"/>
              </w:rPr>
              <w:t>₹82,000 net installation</w:t>
            </w:r>
          </w:p>
        </w:tc>
        <w:tc>
          <w:tcPr>
            <w:tcW w:type="dxa" w:w="1728"/>
            <w:vAlign w:val="center"/>
          </w:tcPr>
          <w:p>
            <w:pPr>
              <w:spacing w:line="276" w:lineRule="auto" w:before="0" w:after="40"/>
              <w:jc w:val="left"/>
            </w:pPr>
            <w:r/>
            <w:r>
              <w:rPr>
                <w:rFonts w:ascii="Times New Roman" w:hAnsi="Times New Roman"/>
                <w:b w:val="0"/>
                <w:i w:val="0"/>
                <w:sz w:val="24"/>
              </w:rPr>
              <w:t>₹3,24,000 cumulative savings</w:t>
            </w:r>
          </w:p>
        </w:tc>
      </w:tr>
      <w:tr>
        <w:tc>
          <w:tcPr>
            <w:tcW w:type="dxa" w:w="1728"/>
            <w:vAlign w:val="center"/>
            <w:shd w:fill="F8FAFC"/>
          </w:tcPr>
          <w:p>
            <w:pPr>
              <w:spacing w:line="276" w:lineRule="auto" w:before="0" w:after="40"/>
              <w:jc w:val="left"/>
            </w:pPr>
            <w:r/>
            <w:r>
              <w:rPr>
                <w:rFonts w:ascii="Times New Roman" w:hAnsi="Times New Roman"/>
                <w:b w:val="0"/>
                <w:i w:val="0"/>
                <w:sz w:val="24"/>
              </w:rPr>
              <w:t>4 kW Rooftop Solar</w:t>
            </w:r>
          </w:p>
        </w:tc>
        <w:tc>
          <w:tcPr>
            <w:tcW w:type="dxa" w:w="2016"/>
            <w:vAlign w:val="center"/>
            <w:shd w:fill="F8FAFC"/>
          </w:tcPr>
          <w:p>
            <w:pPr>
              <w:spacing w:line="276" w:lineRule="auto" w:before="0" w:after="40"/>
              <w:jc w:val="left"/>
            </w:pPr>
            <w:r/>
            <w:r>
              <w:rPr>
                <w:rFonts w:ascii="Times New Roman" w:hAnsi="Times New Roman"/>
                <w:b w:val="0"/>
                <w:i w:val="0"/>
                <w:sz w:val="24"/>
              </w:rPr>
              <w:t>480 kWh / month</w:t>
            </w:r>
          </w:p>
        </w:tc>
        <w:tc>
          <w:tcPr>
            <w:tcW w:type="dxa" w:w="2016"/>
            <w:vAlign w:val="center"/>
            <w:shd w:fill="F8FAFC"/>
          </w:tcPr>
          <w:p>
            <w:pPr>
              <w:spacing w:line="276" w:lineRule="auto" w:before="0" w:after="40"/>
              <w:jc w:val="left"/>
            </w:pPr>
            <w:r/>
            <w:r>
              <w:rPr>
                <w:rFonts w:ascii="Times New Roman" w:hAnsi="Times New Roman"/>
                <w:b w:val="0"/>
                <w:i w:val="0"/>
                <w:sz w:val="24"/>
              </w:rPr>
              <w:t>8 Modules (540W each)</w:t>
            </w:r>
          </w:p>
        </w:tc>
        <w:tc>
          <w:tcPr>
            <w:tcW w:type="dxa" w:w="2016"/>
            <w:vAlign w:val="center"/>
            <w:shd w:fill="F8FAFC"/>
          </w:tcPr>
          <w:p>
            <w:pPr>
              <w:spacing w:line="276" w:lineRule="auto" w:before="0" w:after="40"/>
              <w:jc w:val="left"/>
            </w:pPr>
            <w:r/>
            <w:r>
              <w:rPr>
                <w:rFonts w:ascii="Times New Roman" w:hAnsi="Times New Roman"/>
                <w:b w:val="0"/>
                <w:i w:val="0"/>
                <w:sz w:val="24"/>
              </w:rPr>
              <w:t>₹78,000 subsidy discount</w:t>
            </w:r>
          </w:p>
        </w:tc>
        <w:tc>
          <w:tcPr>
            <w:tcW w:type="dxa" w:w="2016"/>
            <w:vAlign w:val="center"/>
            <w:shd w:fill="F8FAFC"/>
          </w:tcPr>
          <w:p>
            <w:pPr>
              <w:spacing w:line="276" w:lineRule="auto" w:before="0" w:after="40"/>
              <w:jc w:val="left"/>
            </w:pPr>
            <w:r/>
            <w:r>
              <w:rPr>
                <w:rFonts w:ascii="Times New Roman" w:hAnsi="Times New Roman"/>
                <w:b w:val="0"/>
                <w:i w:val="0"/>
                <w:sz w:val="24"/>
              </w:rPr>
              <w:t>₹1,22,000 net installation</w:t>
            </w:r>
          </w:p>
        </w:tc>
        <w:tc>
          <w:tcPr>
            <w:tcW w:type="dxa" w:w="1728"/>
            <w:vAlign w:val="center"/>
            <w:shd w:fill="F8FAFC"/>
          </w:tcPr>
          <w:p>
            <w:pPr>
              <w:spacing w:line="276" w:lineRule="auto" w:before="0" w:after="40"/>
              <w:jc w:val="left"/>
            </w:pPr>
            <w:r/>
            <w:r>
              <w:rPr>
                <w:rFonts w:ascii="Times New Roman" w:hAnsi="Times New Roman"/>
                <w:b w:val="0"/>
                <w:i w:val="0"/>
                <w:sz w:val="24"/>
              </w:rPr>
              <w:t>₹4,32,000 cumulative savings</w:t>
            </w:r>
          </w:p>
        </w:tc>
      </w:tr>
      <w:tr>
        <w:tc>
          <w:tcPr>
            <w:tcW w:type="dxa" w:w="1728"/>
            <w:vAlign w:val="center"/>
          </w:tcPr>
          <w:p>
            <w:pPr>
              <w:spacing w:line="276" w:lineRule="auto" w:before="0" w:after="40"/>
              <w:jc w:val="left"/>
            </w:pPr>
            <w:r/>
            <w:r>
              <w:rPr>
                <w:rFonts w:ascii="Times New Roman" w:hAnsi="Times New Roman"/>
                <w:b w:val="0"/>
                <w:i w:val="0"/>
                <w:sz w:val="24"/>
              </w:rPr>
              <w:t>5 kW Rooftop Solar</w:t>
            </w:r>
          </w:p>
        </w:tc>
        <w:tc>
          <w:tcPr>
            <w:tcW w:type="dxa" w:w="2016"/>
            <w:vAlign w:val="center"/>
          </w:tcPr>
          <w:p>
            <w:pPr>
              <w:spacing w:line="276" w:lineRule="auto" w:before="0" w:after="40"/>
              <w:jc w:val="left"/>
            </w:pPr>
            <w:r/>
            <w:r>
              <w:rPr>
                <w:rFonts w:ascii="Times New Roman" w:hAnsi="Times New Roman"/>
                <w:b w:val="0"/>
                <w:i w:val="0"/>
                <w:sz w:val="24"/>
              </w:rPr>
              <w:t>600 kWh / month</w:t>
            </w:r>
          </w:p>
        </w:tc>
        <w:tc>
          <w:tcPr>
            <w:tcW w:type="dxa" w:w="2016"/>
            <w:vAlign w:val="center"/>
          </w:tcPr>
          <w:p>
            <w:pPr>
              <w:spacing w:line="276" w:lineRule="auto" w:before="0" w:after="40"/>
              <w:jc w:val="left"/>
            </w:pPr>
            <w:r/>
            <w:r>
              <w:rPr>
                <w:rFonts w:ascii="Times New Roman" w:hAnsi="Times New Roman"/>
                <w:b w:val="0"/>
                <w:i w:val="0"/>
                <w:sz w:val="24"/>
              </w:rPr>
              <w:t>10 Modules (540W each)</w:t>
            </w:r>
          </w:p>
        </w:tc>
        <w:tc>
          <w:tcPr>
            <w:tcW w:type="dxa" w:w="2016"/>
            <w:vAlign w:val="center"/>
          </w:tcPr>
          <w:p>
            <w:pPr>
              <w:spacing w:line="276" w:lineRule="auto" w:before="0" w:after="40"/>
              <w:jc w:val="left"/>
            </w:pPr>
            <w:r/>
            <w:r>
              <w:rPr>
                <w:rFonts w:ascii="Times New Roman" w:hAnsi="Times New Roman"/>
                <w:b w:val="0"/>
                <w:i w:val="0"/>
                <w:sz w:val="24"/>
              </w:rPr>
              <w:t>₹78,000 subsidy discount</w:t>
            </w:r>
          </w:p>
        </w:tc>
        <w:tc>
          <w:tcPr>
            <w:tcW w:type="dxa" w:w="2016"/>
            <w:vAlign w:val="center"/>
          </w:tcPr>
          <w:p>
            <w:pPr>
              <w:spacing w:line="276" w:lineRule="auto" w:before="0" w:after="40"/>
              <w:jc w:val="left"/>
            </w:pPr>
            <w:r/>
            <w:r>
              <w:rPr>
                <w:rFonts w:ascii="Times New Roman" w:hAnsi="Times New Roman"/>
                <w:b w:val="0"/>
                <w:i w:val="0"/>
                <w:sz w:val="24"/>
              </w:rPr>
              <w:t>₹1,62,000 net installation</w:t>
            </w:r>
          </w:p>
        </w:tc>
        <w:tc>
          <w:tcPr>
            <w:tcW w:type="dxa" w:w="1728"/>
            <w:vAlign w:val="center"/>
          </w:tcPr>
          <w:p>
            <w:pPr>
              <w:spacing w:line="276" w:lineRule="auto" w:before="0" w:after="40"/>
              <w:jc w:val="left"/>
            </w:pPr>
            <w:r/>
            <w:r>
              <w:rPr>
                <w:rFonts w:ascii="Times New Roman" w:hAnsi="Times New Roman"/>
                <w:b w:val="0"/>
                <w:i w:val="0"/>
                <w:sz w:val="24"/>
              </w:rPr>
              <w:t>₹5,40,000 cumulative savings</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5.5 Electricity Bill Analyzer (7 Visual Panels)</w:t>
      </w:r>
    </w:p>
    <w:p>
      <w:pPr>
        <w:spacing w:line="360" w:lineRule="auto" w:before="0" w:after="120"/>
        <w:jc w:val="both"/>
      </w:pPr>
      <w:r>
        <w:rPr>
          <w:rFonts w:ascii="Times New Roman" w:hAnsi="Times New Roman"/>
          <w:b w:val="0"/>
          <w:i w:val="0"/>
          <w:sz w:val="24"/>
        </w:rPr>
        <w:t>The Electricity Bill Analyzer deconstructs uploaded utility bills (images or PDFs) into structured, actionable insights using smart heuristics and client-side regex parsing. To handle API rate limits (such as a 429 error from the Gemini API), the application runs an offline regex parser fallback that extracts total consumption units (in kWh) and outstanding charges directly in the browser.</w:t>
      </w:r>
    </w:p>
    <w:p>
      <w:pPr>
        <w:spacing w:line="360" w:lineRule="auto" w:before="0" w:after="120"/>
        <w:jc w:val="both"/>
      </w:pPr>
      <w:r>
        <w:rPr>
          <w:rFonts w:ascii="Times New Roman" w:hAnsi="Times New Roman"/>
          <w:b w:val="0"/>
          <w:i w:val="0"/>
          <w:sz w:val="24"/>
        </w:rPr>
        <w:t>The extracted data is deconstructed into 7 visual panels:</w:t>
      </w:r>
    </w:p>
    <w:p>
      <w:pPr>
        <w:spacing w:line="360" w:lineRule="auto" w:before="80" w:after="80"/>
        <w:jc w:val="both"/>
      </w:pPr>
      <w:r>
        <w:rPr>
          <w:rFonts w:ascii="Times New Roman" w:hAnsi="Times New Roman"/>
          <w:b w:val="0"/>
          <w:i w:val="0"/>
          <w:sz w:val="24"/>
        </w:rPr>
        <w:t>1. *Consumer Metadata:* detailing the connection category, name, and address.</w:t>
      </w:r>
    </w:p>
    <w:p>
      <w:pPr>
        <w:spacing w:line="360" w:lineRule="auto" w:before="80" w:after="80"/>
        <w:jc w:val="both"/>
      </w:pPr>
      <w:r>
        <w:rPr>
          <w:rFonts w:ascii="Times New Roman" w:hAnsi="Times New Roman"/>
          <w:b w:val="0"/>
          <w:i w:val="0"/>
          <w:sz w:val="24"/>
        </w:rPr>
        <w:t>2. *Billing Information:* presenting meter readings (previous vs. current index) and due dates.</w:t>
      </w:r>
    </w:p>
    <w:p>
      <w:pPr>
        <w:spacing w:line="360" w:lineRule="auto" w:before="80" w:after="80"/>
        <w:jc w:val="both"/>
      </w:pPr>
      <w:r>
        <w:rPr>
          <w:rFonts w:ascii="Times New Roman" w:hAnsi="Times New Roman"/>
          <w:b w:val="0"/>
          <w:i w:val="0"/>
          <w:sz w:val="24"/>
        </w:rPr>
        <w:t>3. *Explain My Bill:* providing a natural language narrative describing active tariff slab tiers (e.g., Maharashtra or AP slab rates).</w:t>
      </w:r>
    </w:p>
    <w:p>
      <w:pPr>
        <w:spacing w:line="360" w:lineRule="auto" w:before="80" w:after="80"/>
        <w:jc w:val="both"/>
      </w:pPr>
      <w:r>
        <w:rPr>
          <w:rFonts w:ascii="Times New Roman" w:hAnsi="Times New Roman"/>
          <w:b w:val="0"/>
          <w:i w:val="0"/>
          <w:sz w:val="24"/>
        </w:rPr>
        <w:t>4. *Charge Structure:* showing an interactive segment donut chart of energy charges, fixed charges, and taxes.</w:t>
      </w:r>
    </w:p>
    <w:p>
      <w:pPr>
        <w:spacing w:line="360" w:lineRule="auto" w:before="80" w:after="80"/>
        <w:jc w:val="both"/>
      </w:pPr>
      <w:r>
        <w:rPr>
          <w:rFonts w:ascii="Times New Roman" w:hAnsi="Times New Roman"/>
          <w:b w:val="0"/>
          <w:i w:val="0"/>
          <w:sz w:val="24"/>
        </w:rPr>
        <w:t>5. *Carbon Footprint:* rendering an SVG emission gauge in kilograms of CO2 and equivalent tree offset requirements (e.g. 59 trees/month).</w:t>
      </w:r>
    </w:p>
    <w:p>
      <w:pPr>
        <w:spacing w:line="360" w:lineRule="auto" w:before="80" w:after="80"/>
        <w:jc w:val="both"/>
      </w:pPr>
      <w:r>
        <w:rPr>
          <w:rFonts w:ascii="Times New Roman" w:hAnsi="Times New Roman"/>
          <w:b w:val="0"/>
          <w:i w:val="0"/>
          <w:sz w:val="24"/>
        </w:rPr>
        <w:t>6. *AI Energy Insights:* highlighting consumption anomalies, such as reactive power factor penalties.</w:t>
      </w:r>
    </w:p>
    <w:p>
      <w:pPr>
        <w:spacing w:line="360" w:lineRule="auto" w:before="80" w:after="80"/>
        <w:jc w:val="both"/>
      </w:pPr>
      <w:r>
        <w:rPr>
          <w:rFonts w:ascii="Times New Roman" w:hAnsi="Times New Roman"/>
          <w:b w:val="0"/>
          <w:i w:val="0"/>
          <w:sz w:val="24"/>
        </w:rPr>
        <w:t>7. *Personalized Saving Rules:* prioritizing actions with difficulty levels, category icons, and estimated savings (e.g., shifting AC usage to save ₹119/month).</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5.8: Electricity Bill Upload and Offline RegEx Parser Portal</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5.9: Bill Analyzer Multi-Card AI Insight and Carbon Offset Breakdown</w:t>
      </w:r>
    </w:p>
    <w:p>
      <w:pPr>
        <w:spacing w:line="360" w:lineRule="auto" w:before="240" w:after="120"/>
        <w:jc w:val="left"/>
        <w:keepNext/>
      </w:pPr>
      <w:r>
        <w:rPr>
          <w:rFonts w:ascii="Times New Roman" w:hAnsi="Times New Roman"/>
          <w:b/>
          <w:i w:val="0"/>
          <w:sz w:val="28"/>
        </w:rPr>
        <w:t>5.6 DISCOM Slab Administration &amp; Settings</w:t>
      </w:r>
    </w:p>
    <w:p>
      <w:pPr>
        <w:spacing w:line="360" w:lineRule="auto" w:before="0" w:after="120"/>
        <w:jc w:val="both"/>
      </w:pPr>
      <w:r>
        <w:rPr>
          <w:rFonts w:ascii="Times New Roman" w:hAnsi="Times New Roman"/>
          <w:b w:val="0"/>
          <w:i w:val="0"/>
          <w:sz w:val="24"/>
        </w:rPr>
        <w:t>The Settings Control Panel allows administrators and users to configure application-wide parameters. It includes an Appearance toggle to switch between a clean, high-contrast Light Theme and a sleek, low-light Dark Theme. It also provides a Budget Manager where users define target monthly consumption (in kWh) and bill amounts (in ₹) to trigger warning alerts on the dashboard if exceeded.</w:t>
      </w:r>
    </w:p>
    <w:p>
      <w:pPr>
        <w:spacing w:line="360" w:lineRule="auto" w:before="0" w:after="120"/>
        <w:jc w:val="both"/>
      </w:pPr>
      <w:r>
        <w:rPr>
          <w:rFonts w:ascii="Times New Roman" w:hAnsi="Times New Roman"/>
          <w:b w:val="0"/>
          <w:i w:val="0"/>
          <w:sz w:val="24"/>
        </w:rPr>
        <w:t>A critical component is the DISCOM Tariff Slab Editor, which connects directly to Cloud Firestore. Administrators can select a state electricity board (such as Mumbai MSEDCL or Andhra Pradesh APSPDCL) and dynamically add, edit, or delete billing slabs, fixed connection charges, tax rates, and subsidy reductions (e.g., a fixed ₹184.50 subsidy reduction for APSPDCL). Changes are synced instantly with Firestore, updating the calculations on all active user dashboards.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5.10: DISCOM Slab Administration and Cloud Firestore Sync Editor</w:t>
      </w:r>
    </w:p>
    <w:p>
      <w:pPr>
        <w:spacing w:line="360" w:lineRule="auto" w:before="240" w:after="120"/>
        <w:jc w:val="left"/>
        <w:keepNext/>
      </w:pPr>
      <w:r>
        <w:rPr>
          <w:rFonts w:ascii="Times New Roman" w:hAnsi="Times New Roman"/>
          <w:b/>
          <w:i w:val="0"/>
          <w:sz w:val="28"/>
        </w:rPr>
        <w:t>5.7 Voice-Enabled Context-Aware AI Chatbot</w:t>
      </w:r>
    </w:p>
    <w:p>
      <w:pPr>
        <w:spacing w:line="360" w:lineRule="auto" w:before="0" w:after="120"/>
        <w:jc w:val="both"/>
      </w:pPr>
      <w:r>
        <w:rPr>
          <w:rFonts w:ascii="Times New Roman" w:hAnsi="Times New Roman"/>
          <w:b w:val="0"/>
          <w:i w:val="0"/>
          <w:sz w:val="24"/>
        </w:rPr>
        <w:t>The system integrates a voice-enabled AI Chatbot that serves as a context-aware energy assistant. Powered by natural language processing and the browser's Web Speech API for speech synthesis and recognition, the chatbot accepts voice commands and reads energy tips aloud.</w:t>
      </w:r>
    </w:p>
    <w:p>
      <w:pPr>
        <w:spacing w:line="360" w:lineRule="auto" w:before="0" w:after="120"/>
        <w:jc w:val="both"/>
      </w:pPr>
      <w:r>
        <w:rPr>
          <w:rFonts w:ascii="Times New Roman" w:hAnsi="Times New Roman"/>
          <w:b w:val="0"/>
          <w:i w:val="0"/>
          <w:sz w:val="24"/>
        </w:rPr>
        <w:t>It has deep context integration: it queries the user's active report data (such as a June bill of ₹898 for 132 kWh) and regional DISCOM slab configurations in Firestore to provide personalized, step-by-step tariff explanations and savings advice. It also features Suggested Quick Actions (such as 'Explain My Bill', 'Solar Advice', 'Reduce My Costs') to help users navigate their options.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5.11: Voice-Enabled Context-Aware AI Chatbot Conversational Screen</w:t>
      </w:r>
    </w:p>
    <w:p>
      <w:pPr>
        <w:spacing w:line="360" w:lineRule="auto" w:before="240" w:after="120"/>
        <w:jc w:val="left"/>
        <w:keepNext/>
      </w:pPr>
      <w:r>
        <w:rPr>
          <w:rFonts w:ascii="Times New Roman" w:hAnsi="Times New Roman"/>
          <w:b/>
          <w:i w:val="0"/>
          <w:sz w:val="28"/>
        </w:rPr>
        <w:t>5.8 Saving Advisory Engine &amp; Interactive Simulator</w:t>
      </w:r>
    </w:p>
    <w:p>
      <w:pPr>
        <w:spacing w:line="360" w:lineRule="auto" w:before="0" w:after="120"/>
        <w:jc w:val="both"/>
      </w:pPr>
      <w:r>
        <w:rPr>
          <w:rFonts w:ascii="Times New Roman" w:hAnsi="Times New Roman"/>
          <w:b w:val="0"/>
          <w:i w:val="0"/>
          <w:sz w:val="24"/>
        </w:rPr>
        <w:t>The Saving Advisory Engine translates energy audits into customized conservation strategies. It generates prioritized actions sorted by impact level (High, Medium, Minor) and difficulty (Easy, Hard). These include:</w:t>
      </w:r>
    </w:p>
    <w:p>
      <w:pPr>
        <w:spacing w:line="360" w:lineRule="auto" w:before="80" w:after="80"/>
        <w:jc w:val="both"/>
      </w:pPr>
      <w:r>
        <w:rPr>
          <w:rFonts w:ascii="Times New Roman" w:hAnsi="Times New Roman"/>
          <w:b w:val="0"/>
          <w:i w:val="0"/>
          <w:sz w:val="24"/>
        </w:rPr>
        <w:t>1. *Smart Appliance Load Scheduling:* urges users to shift heavy loads (e.g., running washing machines after 10 PM to save ₹120/month or optimizing refrigerator ventilation to save ₹100/month).</w:t>
      </w:r>
    </w:p>
    <w:p>
      <w:pPr>
        <w:spacing w:line="360" w:lineRule="auto" w:before="80" w:after="80"/>
        <w:jc w:val="both"/>
      </w:pPr>
      <w:r>
        <w:rPr>
          <w:rFonts w:ascii="Times New Roman" w:hAnsi="Times New Roman"/>
          <w:b w:val="0"/>
          <w:i w:val="0"/>
          <w:sz w:val="24"/>
        </w:rPr>
        <w:t>2. *Customized Savings Actions:* such as switching to LED bulbs (saving ~75% energy) or upgrading standard fans to BLDC models (saving ~50% energy).</w:t>
      </w:r>
    </w:p>
    <w:p>
      <w:pPr>
        <w:spacing w:line="360" w:lineRule="auto" w:before="80" w:after="80"/>
        <w:jc w:val="both"/>
      </w:pPr>
      <w:r>
        <w:rPr>
          <w:rFonts w:ascii="Times New Roman" w:hAnsi="Times New Roman"/>
          <w:b w:val="0"/>
          <w:i w:val="0"/>
          <w:sz w:val="24"/>
        </w:rPr>
        <w:t>3. *Interactive Savings Simulator:* a range slider allowing users to simulate runtime reductions (0% to 100% off) for heavy appliance loads and dynamically recalculating the monthly bill, usage in kWh, and carbon footprint offsets in real-time.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5.12: Customized Energy Saving Action Items &amp; Scheduling Rules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5.13: Interactive Energy Savings Load Reductions Simulator</w:t>
      </w: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