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240"/>
      </w:pPr>
      <w:r>
        <w:t xml:space="preserve">Experiment 7.2: Windowing Effects on Spectral Estimation (Rectangular / Hamming / Hanning)</w:t>
      </w:r>
    </w:p>
    <w:p>
      <w:pPr>
        <w:pStyle w:val="Heading2"/>
        <w:spacing w:after="120" w:before="200"/>
      </w:pPr>
      <w:r>
        <w:t xml:space="preserve">Aim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To study the effect of Rectangular, Hamming and Hanning windows on the spectral estimation of two closely-spaced sinusoids, comparing main-lobe width, sidelobe levels and frequency-resolution performance.</w:t>
      </w:r>
    </w:p>
    <w:p>
      <w:pPr>
        <w:pStyle w:val="Heading2"/>
        <w:spacing w:after="120" w:before="200"/>
      </w:pPr>
      <w:r>
        <w:t xml:space="preserve">MATLAB Code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40" w:before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clc; clear; close all;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% Signal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fs = 1000; N = 256; t = (0:N-1)/fs;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x = sin(2*pi*100*t) + 0.8*sin(2*pi*110*t);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NFFT = 2048; f = (0:NFFT/2-1)*(fs/NFFT);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% Windows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w = {rectwin(N), hamming(N), hann(N)};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names = {'Rectangular','Hamming','Hanning'};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% Processing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for i = 1:3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xw = x(:).*w{i};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X = fft(xw,NFFT);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P{i} = abs(X(1:NFFT/2));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P{i} = P{i}/max(P{i});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end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%% Individual Spectrums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figure;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for i = 1:3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subplot(3,1,i);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plot(f,20*log10(P{i}),'LineWidth',1.5);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title(['Spectrum using ' names{i} ' Window']);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xlim([0 250]); grid on;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end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%% Comparison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figure;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plot(f,20*log10(P{1}),'k',f,20*log10(P{2}),'r',f,20*log10(P{3}),'b','LineWidth',1.5);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legend(names); title('Window Comparison'); xlim([50 170]); grid on;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%% Window Shapes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figure;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for i = 1:3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subplot(3,1,i); plot(w{i},'LineWidth',1.5);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title([names{i} ' Window']); grid on;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end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%% Peak Detection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for i = 1:3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[pks{i},loc{i}] = findpeaks(P{i},f,'MinPeakHeight',0.3);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fprintf('\n%s Window Frequencies:\n',names{i});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disp(loc{i});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end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%% Peak Marking (Hamming)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figure;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plot(f,20*log10(P{2}),'LineWidth',1.5); hold on;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plot(loc{2},20*log10(pks{2}),'ro','MarkerFaceColor','r');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title('Detected Frequencies (Hamming)'); xlim([50 170]); grid on;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%% Main Peaks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fprintf('\nMain Spectral Peaks:\n');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for i = 1:3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[~,idx] = max(P{i});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fprintf('%s Window Peak = %.2f Hz\n',names{i},f(idx));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end</w:t>
      </w:r>
    </w:p>
    <w:p>
      <w:pPr>
        <w:pStyle w:val="Heading2"/>
        <w:spacing w:after="120" w:before="200"/>
      </w:pPr>
      <w:r>
        <w:t xml:space="preserve">Output / Screenshots</w:t>
      </w:r>
    </w:p>
    <w:p>
      <w:pPr>
        <w:spacing w:after="60" w:before="160"/>
        <w:jc w:val="center"/>
      </w:pPr>
      <w:r>
        <w:drawing>
          <wp:inline distT="0" distB="0" distL="0" distR="0">
            <wp:extent cx="5057775" cy="590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Fig. 7.2(a): Spectrum of the two closely-spaced tones under each window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Fig. 7.2(b): Overlaid window comparison near the two tones</w:t>
      </w:r>
    </w:p>
    <w:p>
      <w:pPr>
        <w:spacing w:after="60" w:before="160"/>
        <w:jc w:val="center"/>
      </w:pPr>
      <w:r>
        <w:drawing>
          <wp:inline distT="0" distB="0" distL="0" distR="0">
            <wp:extent cx="5057775" cy="590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Fig. 7.2(c): Shapes of the Rectangular, Hamming and Hanning windows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Fig. 7.2(d): Detected spectral peaks (Hamming window) at 100 Hz and 110 Hz</w:t>
      </w:r>
    </w:p>
    <w:p>
      <w:pPr>
        <w:pStyle w:val="Heading2"/>
        <w:spacing w:after="120" w:before="200"/>
      </w:pPr>
      <w:r>
        <w:t xml:space="preserve">Result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The Rectangular window resolves the two closely-spaced tones (100 Hz and 110 Hz) with the narrowest main lobe but the highest sidelobes; the Hamming and Hanning windows suppress sidelobes progressively more but widen the main lobe, illustrating the fundamental resolution–leakage trade-off in spectral estimation.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ECA0909 – Digital Signal Processing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</w:pPr>
    <w:rPr>
      <w:b/>
      <w:bCs/>
      <w:color w:val="2E4B8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b/>
      <w:bCs/>
      <w:color w:val="44546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dcd6c735e6ae7c05921ddc807f1b7cd8113b0c1.png"/><Relationship Id="rId10" Type="http://schemas.openxmlformats.org/officeDocument/2006/relationships/image" Target="media/c922e4f22b0092fa91d542df70de49b7eea7e4d2.png"/><Relationship Id="rId11" Type="http://schemas.openxmlformats.org/officeDocument/2006/relationships/image" Target="media/0fba2c6d9b8dadd3ba52f7f7500c1d9114dd9ae9.png"/><Relationship Id="rId12" Type="http://schemas.openxmlformats.org/officeDocument/2006/relationships/image" Target="media/2f73b0e7b535d30cf688e733d66944539cede186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2026-09-05T14:03:29.266Z</dcterms:created>
  <dcterms:modified xsi:type="dcterms:W3CDTF">2026-09-05T14:03:29.266Z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