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423" w:rsidRPr="00F94CB6" w:rsidRDefault="00F94CB6">
      <w:pPr>
        <w:rPr>
          <w:rFonts w:ascii="Century Gothic" w:hAnsi="Century Gothic"/>
          <w:b/>
        </w:rPr>
      </w:pPr>
      <w:proofErr w:type="spellStart"/>
      <w:r w:rsidRPr="00F94CB6">
        <w:rPr>
          <w:rFonts w:ascii="Century Gothic" w:hAnsi="Century Gothic"/>
          <w:b/>
        </w:rPr>
        <w:t>Programme</w:t>
      </w:r>
      <w:proofErr w:type="spellEnd"/>
      <w:r w:rsidRPr="00F94CB6">
        <w:rPr>
          <w:rFonts w:ascii="Century Gothic" w:hAnsi="Century Gothic"/>
          <w:b/>
        </w:rPr>
        <w:t xml:space="preserve"> Areas</w:t>
      </w:r>
    </w:p>
    <w:p w:rsidR="00F94CB6" w:rsidRDefault="00F94CB6"/>
    <w:p w:rsidR="00F94CB6" w:rsidRPr="00F94CB6" w:rsidRDefault="00F94CB6" w:rsidP="00F94CB6">
      <w:pPr>
        <w:pStyle w:val="ListParagraph"/>
        <w:numPr>
          <w:ilvl w:val="0"/>
          <w:numId w:val="1"/>
        </w:numPr>
        <w:shd w:val="clear" w:color="auto" w:fill="FFFFFF"/>
        <w:spacing w:after="0" w:line="240" w:lineRule="auto"/>
        <w:jc w:val="both"/>
        <w:rPr>
          <w:rFonts w:ascii="Century Gothic" w:eastAsia="Times New Roman" w:hAnsi="Century Gothic" w:cs="Calibri"/>
          <w:color w:val="222222"/>
        </w:rPr>
      </w:pPr>
      <w:r w:rsidRPr="00F94CB6">
        <w:rPr>
          <w:rFonts w:ascii="Century Gothic" w:eastAsia="Times New Roman" w:hAnsi="Century Gothic" w:cs="Times New Roman"/>
          <w:b/>
          <w:color w:val="000000"/>
          <w:sz w:val="24"/>
          <w:szCs w:val="24"/>
          <w:lang w:val="en-GB"/>
        </w:rPr>
        <w:t>Access to Justice programme</w:t>
      </w:r>
      <w:r w:rsidRPr="00F94CB6">
        <w:rPr>
          <w:rFonts w:ascii="Century Gothic" w:eastAsia="Times New Roman" w:hAnsi="Century Gothic" w:cs="Times New Roman"/>
          <w:color w:val="000000"/>
          <w:sz w:val="24"/>
          <w:szCs w:val="24"/>
          <w:lang w:val="en-GB"/>
        </w:rPr>
        <w:t> </w:t>
      </w:r>
    </w:p>
    <w:p w:rsidR="00F94CB6" w:rsidRPr="00F94CB6" w:rsidRDefault="00F94CB6" w:rsidP="00F94CB6">
      <w:pPr>
        <w:pStyle w:val="ListParagraph"/>
        <w:shd w:val="clear" w:color="auto" w:fill="FFFFFF"/>
        <w:spacing w:after="0" w:line="240" w:lineRule="auto"/>
        <w:ind w:left="1069"/>
        <w:jc w:val="both"/>
        <w:rPr>
          <w:rFonts w:ascii="Century Gothic" w:eastAsia="Times New Roman" w:hAnsi="Century Gothic" w:cs="Calibri"/>
          <w:color w:val="222222"/>
        </w:rPr>
      </w:pPr>
      <w:r w:rsidRPr="00F94CB6">
        <w:rPr>
          <w:rFonts w:ascii="Century Gothic" w:eastAsia="Times New Roman" w:hAnsi="Century Gothic" w:cs="Times New Roman"/>
          <w:color w:val="000000"/>
          <w:sz w:val="24"/>
          <w:szCs w:val="24"/>
          <w:lang w:val="en-GB"/>
        </w:rPr>
        <w:t xml:space="preserve">LGA-U offers Legal aid, legal education and engages in human rights sensitive policy and legislative advocacy and reform. Currently we have satellite Legal Aid offices in the Islands of </w:t>
      </w:r>
      <w:proofErr w:type="spellStart"/>
      <w:r w:rsidRPr="00F94CB6">
        <w:rPr>
          <w:rFonts w:ascii="Century Gothic" w:eastAsia="Times New Roman" w:hAnsi="Century Gothic" w:cs="Times New Roman"/>
          <w:color w:val="000000"/>
          <w:sz w:val="24"/>
          <w:szCs w:val="24"/>
          <w:lang w:val="en-GB"/>
        </w:rPr>
        <w:t>Kalangala</w:t>
      </w:r>
      <w:proofErr w:type="spellEnd"/>
      <w:r w:rsidRPr="00F94CB6">
        <w:rPr>
          <w:rFonts w:ascii="Century Gothic" w:eastAsia="Times New Roman" w:hAnsi="Century Gothic" w:cs="Times New Roman"/>
          <w:color w:val="000000"/>
          <w:sz w:val="24"/>
          <w:szCs w:val="24"/>
          <w:lang w:val="en-GB"/>
        </w:rPr>
        <w:t xml:space="preserve">, </w:t>
      </w:r>
      <w:proofErr w:type="spellStart"/>
      <w:r w:rsidRPr="00F94CB6">
        <w:rPr>
          <w:rFonts w:ascii="Century Gothic" w:eastAsia="Times New Roman" w:hAnsi="Century Gothic" w:cs="Times New Roman"/>
          <w:color w:val="000000"/>
          <w:sz w:val="24"/>
          <w:szCs w:val="24"/>
          <w:lang w:val="en-GB"/>
        </w:rPr>
        <w:t>Amuria</w:t>
      </w:r>
      <w:proofErr w:type="spellEnd"/>
      <w:r w:rsidRPr="00F94CB6">
        <w:rPr>
          <w:rFonts w:ascii="Century Gothic" w:eastAsia="Times New Roman" w:hAnsi="Century Gothic" w:cs="Times New Roman"/>
          <w:color w:val="000000"/>
          <w:sz w:val="24"/>
          <w:szCs w:val="24"/>
          <w:lang w:val="en-GB"/>
        </w:rPr>
        <w:t xml:space="preserve">, </w:t>
      </w:r>
      <w:proofErr w:type="spellStart"/>
      <w:r w:rsidRPr="00F94CB6">
        <w:rPr>
          <w:rFonts w:ascii="Century Gothic" w:eastAsia="Times New Roman" w:hAnsi="Century Gothic" w:cs="Times New Roman"/>
          <w:color w:val="000000"/>
          <w:sz w:val="24"/>
          <w:szCs w:val="24"/>
          <w:lang w:val="en-GB"/>
        </w:rPr>
        <w:t>Pader</w:t>
      </w:r>
      <w:proofErr w:type="spellEnd"/>
      <w:r w:rsidRPr="00F94CB6">
        <w:rPr>
          <w:rFonts w:ascii="Century Gothic" w:eastAsia="Times New Roman" w:hAnsi="Century Gothic" w:cs="Times New Roman"/>
          <w:color w:val="000000"/>
          <w:sz w:val="24"/>
          <w:szCs w:val="24"/>
          <w:lang w:val="en-GB"/>
        </w:rPr>
        <w:t xml:space="preserve">, and </w:t>
      </w:r>
      <w:proofErr w:type="spellStart"/>
      <w:r w:rsidRPr="00F94CB6">
        <w:rPr>
          <w:rFonts w:ascii="Century Gothic" w:eastAsia="Times New Roman" w:hAnsi="Century Gothic" w:cs="Times New Roman"/>
          <w:color w:val="000000"/>
          <w:sz w:val="24"/>
          <w:szCs w:val="24"/>
          <w:lang w:val="en-GB"/>
        </w:rPr>
        <w:t>Napak</w:t>
      </w:r>
      <w:proofErr w:type="spellEnd"/>
      <w:r w:rsidRPr="00F94CB6">
        <w:rPr>
          <w:rFonts w:ascii="Century Gothic" w:eastAsia="Times New Roman" w:hAnsi="Century Gothic" w:cs="Times New Roman"/>
          <w:color w:val="000000"/>
          <w:sz w:val="24"/>
          <w:szCs w:val="24"/>
          <w:lang w:val="en-GB"/>
        </w:rPr>
        <w:t xml:space="preserve">. We complementation legal education with civic education to improve </w:t>
      </w:r>
      <w:bookmarkStart w:id="0" w:name="_GoBack"/>
      <w:bookmarkEnd w:id="0"/>
      <w:r w:rsidRPr="00F94CB6">
        <w:rPr>
          <w:rFonts w:ascii="Century Gothic" w:eastAsia="Times New Roman" w:hAnsi="Century Gothic" w:cs="Times New Roman"/>
          <w:color w:val="000000"/>
          <w:sz w:val="24"/>
          <w:szCs w:val="24"/>
          <w:lang w:val="en-GB"/>
        </w:rPr>
        <w:t>citizen’s</w:t>
      </w:r>
      <w:r w:rsidRPr="00F94CB6">
        <w:rPr>
          <w:rFonts w:ascii="Century Gothic" w:eastAsia="Times New Roman" w:hAnsi="Century Gothic" w:cs="Times New Roman"/>
          <w:color w:val="000000"/>
          <w:sz w:val="24"/>
          <w:szCs w:val="24"/>
          <w:lang w:val="en-GB"/>
        </w:rPr>
        <w:t xml:space="preserve"> knowledge of human rights and consciousness on rights violations including during electoral processes.</w:t>
      </w:r>
    </w:p>
    <w:p w:rsidR="00F94CB6" w:rsidRPr="009416D1" w:rsidRDefault="00F94CB6" w:rsidP="00F94CB6">
      <w:pPr>
        <w:shd w:val="clear" w:color="auto" w:fill="FFFFFF"/>
        <w:spacing w:after="0" w:line="240" w:lineRule="auto"/>
        <w:jc w:val="both"/>
        <w:rPr>
          <w:rFonts w:ascii="Century Gothic" w:eastAsia="Times New Roman" w:hAnsi="Century Gothic" w:cs="Calibri"/>
          <w:color w:val="222222"/>
        </w:rPr>
      </w:pPr>
      <w:r w:rsidRPr="009416D1">
        <w:rPr>
          <w:rFonts w:ascii="Century Gothic" w:eastAsia="Times New Roman" w:hAnsi="Century Gothic" w:cs="Times New Roman"/>
          <w:color w:val="000000"/>
          <w:sz w:val="24"/>
          <w:szCs w:val="24"/>
          <w:lang w:val="en-GB"/>
        </w:rPr>
        <w:t> </w:t>
      </w:r>
    </w:p>
    <w:p w:rsidR="00F94CB6" w:rsidRPr="00F94CB6" w:rsidRDefault="00F94CB6" w:rsidP="00F94CB6">
      <w:pPr>
        <w:pStyle w:val="ListParagraph"/>
        <w:numPr>
          <w:ilvl w:val="0"/>
          <w:numId w:val="1"/>
        </w:numPr>
        <w:shd w:val="clear" w:color="auto" w:fill="FFFFFF"/>
        <w:spacing w:after="0" w:line="240" w:lineRule="auto"/>
        <w:jc w:val="both"/>
        <w:rPr>
          <w:rFonts w:ascii="Century Gothic" w:eastAsia="Times New Roman" w:hAnsi="Century Gothic" w:cs="Times New Roman"/>
          <w:color w:val="000000"/>
          <w:sz w:val="24"/>
          <w:szCs w:val="24"/>
          <w:lang w:val="en-GB"/>
        </w:rPr>
      </w:pPr>
      <w:r w:rsidRPr="00F94CB6">
        <w:rPr>
          <w:rFonts w:ascii="Century Gothic" w:eastAsia="Times New Roman" w:hAnsi="Century Gothic" w:cs="Times New Roman"/>
          <w:b/>
          <w:color w:val="000000"/>
          <w:sz w:val="24"/>
          <w:szCs w:val="24"/>
          <w:lang w:val="en-GB"/>
        </w:rPr>
        <w:t>Economic Justice</w:t>
      </w:r>
      <w:r w:rsidRPr="00F94CB6">
        <w:rPr>
          <w:rFonts w:ascii="Century Gothic" w:eastAsia="Times New Roman" w:hAnsi="Century Gothic" w:cs="Times New Roman"/>
          <w:color w:val="000000"/>
          <w:sz w:val="24"/>
          <w:szCs w:val="24"/>
          <w:lang w:val="en-GB"/>
        </w:rPr>
        <w:t>- </w:t>
      </w:r>
    </w:p>
    <w:p w:rsidR="00F94CB6" w:rsidRPr="00F94CB6" w:rsidRDefault="00F94CB6" w:rsidP="00F94CB6">
      <w:pPr>
        <w:pStyle w:val="ListParagraph"/>
        <w:shd w:val="clear" w:color="auto" w:fill="FFFFFF"/>
        <w:spacing w:after="0" w:line="240" w:lineRule="auto"/>
        <w:ind w:left="1069"/>
        <w:jc w:val="both"/>
        <w:rPr>
          <w:rFonts w:ascii="Century Gothic" w:eastAsia="Times New Roman" w:hAnsi="Century Gothic" w:cs="Times New Roman"/>
          <w:color w:val="000000"/>
          <w:sz w:val="24"/>
          <w:szCs w:val="24"/>
          <w:lang w:val="en-GB"/>
        </w:rPr>
      </w:pPr>
      <w:r w:rsidRPr="00F94CB6">
        <w:rPr>
          <w:rFonts w:ascii="Century Gothic" w:eastAsia="Times New Roman" w:hAnsi="Century Gothic" w:cs="Times New Roman"/>
          <w:color w:val="000000"/>
          <w:sz w:val="24"/>
          <w:szCs w:val="24"/>
          <w:lang w:val="en-GB"/>
        </w:rPr>
        <w:t>LGA</w:t>
      </w:r>
      <w:r w:rsidRPr="00F94CB6">
        <w:rPr>
          <w:rFonts w:ascii="Century Gothic" w:eastAsia="Times New Roman" w:hAnsi="Century Gothic" w:cs="Times New Roman"/>
          <w:color w:val="000000"/>
          <w:sz w:val="24"/>
          <w:szCs w:val="24"/>
          <w:lang w:val="en-GB"/>
        </w:rPr>
        <w:t>-U</w:t>
      </w:r>
      <w:r w:rsidRPr="00F94CB6">
        <w:rPr>
          <w:rFonts w:ascii="Century Gothic" w:eastAsia="Times New Roman" w:hAnsi="Century Gothic" w:cs="Times New Roman"/>
          <w:color w:val="000000"/>
          <w:sz w:val="24"/>
          <w:szCs w:val="24"/>
          <w:lang w:val="en-GB"/>
        </w:rPr>
        <w:t> advocates for human rights sensitive economic policies and demystifies legal information for communities with economic justice challenges and specifically engages on women’s economic empowerment, public budgets, Taxation, public debt and Aid in addition to contract monitoring. Further LGA engages in Anti-corruption mass mobilization through development of messages and advocating for changes.</w:t>
      </w:r>
    </w:p>
    <w:p w:rsidR="00F94CB6" w:rsidRPr="009416D1" w:rsidRDefault="00F94CB6" w:rsidP="00F94CB6">
      <w:pPr>
        <w:shd w:val="clear" w:color="auto" w:fill="FFFFFF"/>
        <w:spacing w:after="0" w:line="240" w:lineRule="auto"/>
        <w:jc w:val="both"/>
        <w:rPr>
          <w:rFonts w:ascii="Century Gothic" w:eastAsia="Times New Roman" w:hAnsi="Century Gothic" w:cs="Calibri"/>
          <w:color w:val="222222"/>
        </w:rPr>
      </w:pPr>
      <w:r w:rsidRPr="009416D1">
        <w:rPr>
          <w:rFonts w:ascii="Century Gothic" w:eastAsia="Times New Roman" w:hAnsi="Century Gothic" w:cs="Times New Roman"/>
          <w:color w:val="000000"/>
          <w:sz w:val="24"/>
          <w:szCs w:val="24"/>
          <w:lang w:val="en-GB"/>
        </w:rPr>
        <w:t> </w:t>
      </w:r>
    </w:p>
    <w:p w:rsidR="00F94CB6" w:rsidRPr="00F94CB6" w:rsidRDefault="00F94CB6" w:rsidP="00F94CB6">
      <w:pPr>
        <w:pStyle w:val="ListParagraph"/>
        <w:numPr>
          <w:ilvl w:val="0"/>
          <w:numId w:val="1"/>
        </w:numPr>
        <w:shd w:val="clear" w:color="auto" w:fill="FFFFFF"/>
        <w:spacing w:after="0" w:line="240" w:lineRule="auto"/>
        <w:jc w:val="both"/>
        <w:rPr>
          <w:rFonts w:ascii="Century Gothic" w:eastAsia="Times New Roman" w:hAnsi="Century Gothic" w:cs="Calibri"/>
          <w:color w:val="222222"/>
        </w:rPr>
      </w:pPr>
      <w:r w:rsidRPr="00F94CB6">
        <w:rPr>
          <w:rFonts w:ascii="Century Gothic" w:eastAsia="Times New Roman" w:hAnsi="Century Gothic" w:cs="Times New Roman"/>
          <w:b/>
          <w:color w:val="000000"/>
          <w:sz w:val="24"/>
          <w:szCs w:val="24"/>
          <w:lang w:val="en-GB"/>
        </w:rPr>
        <w:t>Democratic governance</w:t>
      </w:r>
      <w:r w:rsidRPr="00F94CB6">
        <w:rPr>
          <w:rFonts w:ascii="Century Gothic" w:eastAsia="Times New Roman" w:hAnsi="Century Gothic" w:cs="Times New Roman"/>
          <w:color w:val="000000"/>
          <w:sz w:val="24"/>
          <w:szCs w:val="24"/>
          <w:lang w:val="en-GB"/>
        </w:rPr>
        <w:t xml:space="preserve">-: </w:t>
      </w:r>
    </w:p>
    <w:p w:rsidR="00F94CB6" w:rsidRPr="00F94CB6" w:rsidRDefault="00F94CB6" w:rsidP="00F94CB6">
      <w:pPr>
        <w:shd w:val="clear" w:color="auto" w:fill="FFFFFF"/>
        <w:spacing w:after="0" w:line="240" w:lineRule="auto"/>
        <w:ind w:left="1069"/>
        <w:jc w:val="both"/>
        <w:rPr>
          <w:rFonts w:ascii="Century Gothic" w:eastAsia="Times New Roman" w:hAnsi="Century Gothic" w:cs="Calibri"/>
          <w:color w:val="222222"/>
        </w:rPr>
      </w:pPr>
      <w:r w:rsidRPr="00F94CB6">
        <w:rPr>
          <w:rFonts w:ascii="Century Gothic" w:eastAsia="Times New Roman" w:hAnsi="Century Gothic" w:cs="Times New Roman"/>
          <w:color w:val="000000"/>
          <w:sz w:val="24"/>
          <w:szCs w:val="24"/>
          <w:lang w:val="en-GB"/>
        </w:rPr>
        <w:t xml:space="preserve">LGA-U </w:t>
      </w:r>
      <w:r w:rsidRPr="00F94CB6">
        <w:rPr>
          <w:rFonts w:ascii="Century Gothic" w:eastAsia="Times New Roman" w:hAnsi="Century Gothic" w:cs="Times New Roman"/>
          <w:color w:val="000000"/>
          <w:sz w:val="24"/>
          <w:szCs w:val="24"/>
          <w:lang w:val="en-GB"/>
        </w:rPr>
        <w:t>advocate</w:t>
      </w:r>
      <w:r w:rsidRPr="00F94CB6">
        <w:rPr>
          <w:rFonts w:ascii="Century Gothic" w:eastAsia="Times New Roman" w:hAnsi="Century Gothic" w:cs="Times New Roman"/>
          <w:color w:val="000000"/>
          <w:sz w:val="24"/>
          <w:szCs w:val="24"/>
          <w:lang w:val="en-GB"/>
        </w:rPr>
        <w:t>s</w:t>
      </w:r>
      <w:r w:rsidRPr="00F94CB6">
        <w:rPr>
          <w:rFonts w:ascii="Century Gothic" w:eastAsia="Times New Roman" w:hAnsi="Century Gothic" w:cs="Times New Roman"/>
          <w:color w:val="000000"/>
          <w:sz w:val="24"/>
          <w:szCs w:val="24"/>
          <w:lang w:val="en-GB"/>
        </w:rPr>
        <w:t xml:space="preserve"> for conducive operating environment that embodies democratic principles of freedoms of expression association and assembly for non-state actors. Constructing positive narratives to best appreciate the civil roles of actors and allowing them adequate space to operate and make contribution to social development. We also advocate for comprehensive functioning al institutions of democracy to address development challenges in democracies such as Uganda.</w:t>
      </w:r>
    </w:p>
    <w:p w:rsidR="00F94CB6" w:rsidRDefault="00F94CB6"/>
    <w:sectPr w:rsidR="00F94C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3962A5"/>
    <w:multiLevelType w:val="hybridMultilevel"/>
    <w:tmpl w:val="65EA1AE6"/>
    <w:lvl w:ilvl="0" w:tplc="77B273F2">
      <w:start w:val="1"/>
      <w:numFmt w:val="decimal"/>
      <w:lvlText w:val="%1."/>
      <w:lvlJc w:val="left"/>
      <w:pPr>
        <w:ind w:left="1069" w:hanging="360"/>
      </w:pPr>
      <w:rPr>
        <w:rFonts w:ascii="Times New Roman" w:hAnsi="Times New Roman" w:cs="Times New Roman" w:hint="default"/>
        <w:color w:val="000000"/>
        <w:sz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CB6"/>
    <w:rsid w:val="001515C3"/>
    <w:rsid w:val="0055288E"/>
    <w:rsid w:val="00F94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0995"/>
  <w15:chartTrackingRefBased/>
  <w15:docId w15:val="{E529E8F6-042C-46A1-B824-C8058401D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4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2026-01-19T09:25:00Z</dcterms:created>
  <dcterms:modified xsi:type="dcterms:W3CDTF">2026-01-19T09:28:00Z</dcterms:modified>
</cp:coreProperties>
</file>