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leGrid"/>
        <w:tblpPr w:bottomFromText="0" w:horzAnchor="margin" w:leftFromText="180" w:rightFromText="180" w:tblpX="0" w:tblpY="-315" w:topFromText="0" w:vertAnchor="margin"/>
        <w:tblW w:w="106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398"/>
        <w:gridCol w:w="2212"/>
      </w:tblGrid>
      <w:tr>
        <w:trPr>
          <w:trHeight w:val="1226" w:hRule="atLeast"/>
        </w:trPr>
        <w:tc>
          <w:tcPr>
            <w:tcW w:w="83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ind w:left="-142" w:hanging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jc w:val="left"/>
              <w:rPr>
                <w:rFonts w:ascii="Times New Roman" w:hAnsi="Times New Roman" w:cs="Times New Roman"/>
                <w:b/>
                <w:b/>
                <w:bCs/>
              </w:rPr>
            </w:pPr>
            <w:bookmarkStart w:id="0" w:name="_GoBack"/>
            <w:bookmarkStart w:id="1" w:name="RANGE!A1%2525253AB29"/>
            <w:bookmarkEnd w:id="0"/>
            <w:bookmarkEnd w:id="1"/>
            <w:r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posOffset>-5531485</wp:posOffset>
                  </wp:positionH>
                  <wp:positionV relativeFrom="paragraph">
                    <wp:posOffset>199390</wp:posOffset>
                  </wp:positionV>
                  <wp:extent cx="7058025" cy="971550"/>
                  <wp:effectExtent l="0" t="0" r="0" b="0"/>
                  <wp:wrapNone/>
                  <wp:docPr id="1" name="Картина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Картина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80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/lica_unom/</w:t>
            </w:r>
          </w:p>
        </w:tc>
      </w:tr>
      <w:tr>
        <w:trPr>
          <w:trHeight w:val="357" w:hRule="atLeast"/>
        </w:trPr>
        <w:tc>
          <w:tcPr>
            <w:tcW w:w="83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tbl>
            <w:tblPr>
              <w:tblW w:w="7665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Row="1" w:noVBand="1" w:lastRow="0" w:firstColumn="1" w:lastColumn="0" w:noHBand="0" w:val="04a0"/>
            </w:tblPr>
            <w:tblGrid>
              <w:gridCol w:w="7665"/>
            </w:tblGrid>
            <w:tr>
              <w:trPr>
                <w:trHeight w:val="357" w:hRule="exact"/>
              </w:trPr>
              <w:tc>
                <w:tcPr>
                  <w:tcW w:w="7665" w:type="dxa"/>
                  <w:tcBorders/>
                  <w:shd w:color="auto" w:fill="auto" w:val="clear"/>
                </w:tcPr>
                <w:p>
                  <w:pPr>
                    <w:pStyle w:val="Normal"/>
                    <w:widowControl w:val="false"/>
                    <w:spacing w:before="0" w:after="16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59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410" w:hRule="atLeast"/>
        </w:trPr>
        <w:tc>
          <w:tcPr>
            <w:tcW w:w="106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jc w:val="left"/>
              <w:rPr>
                <w:rFonts w:ascii="Times New Roman" w:hAnsi="Times New Roman" w:cs="Times New Roman"/>
                <w:b/>
                <w:b/>
                <w:bCs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32"/>
                <w:szCs w:val="32"/>
                <w:lang w:val="en-US" w:eastAsia="en-US" w:bidi="ar-SA"/>
              </w:rPr>
              <w:t xml:space="preserve">                                                     </w:t>
            </w: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32"/>
                <w:szCs w:val="32"/>
                <w:lang w:eastAsia="en-US" w:bidi="ar-SA"/>
              </w:rPr>
              <w:t>ДОГОВОР</w:t>
            </w:r>
          </w:p>
        </w:tc>
      </w:tr>
      <w:tr>
        <w:trPr>
          <w:trHeight w:val="321" w:hRule="atLeast"/>
        </w:trPr>
        <w:tc>
          <w:tcPr>
            <w:tcW w:w="106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color w:val="000000" w:themeColor="text1"/>
                <w:kern w:val="0"/>
                <w:sz w:val="24"/>
                <w:szCs w:val="24"/>
                <w:lang w:val="en-US" w:eastAsia="en-US" w:bidi="ar-SA"/>
              </w:rPr>
              <w:t>/lica_regnomer///lica_regdate/</w:t>
            </w:r>
          </w:p>
        </w:tc>
      </w:tr>
      <w:tr>
        <w:trPr>
          <w:trHeight w:val="321" w:hRule="atLeast"/>
        </w:trPr>
        <w:tc>
          <w:tcPr>
            <w:tcW w:w="106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 xml:space="preserve">         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Днес …....…....…………....…. г. в гр. София, в изпълнение на проект № BG16M1ОP002-5.003- 0001 „Подобряване качеството на атмосферния въздух в Столична община чрез подмяна на отоплителни  устройства  на  твърдо  гориво  с  екологични алтернативи“, финансиран  чрез  Оперативна програма „Околна среда 2014-2020 г.“, съфинансиран от Европейския съюз чрез Кохезионния  фонд  и  от  националния  бюджет  на  Република България (наричан за краткост „Проектът“), между:</w:t>
            </w:r>
          </w:p>
        </w:tc>
      </w:tr>
      <w:tr>
        <w:trPr>
          <w:trHeight w:val="1072" w:hRule="exact"/>
        </w:trPr>
        <w:tc>
          <w:tcPr>
            <w:tcW w:w="106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eastAsia="en-US" w:bidi="ar-SA"/>
              </w:rPr>
              <w:t>СТОЛИЧНА ОБЩИНА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, БУЛСТАТ 000696327, със седалище и адрес на управление в гр. София, ул. „Московска“ № 33, представлявана от Йорданка Фандъкова,  Кмет на Столична община, наричана за краткост</w:t>
            </w: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eastAsia="en-US" w:bidi="ar-SA"/>
              </w:rPr>
              <w:t xml:space="preserve"> ВЪЗЛОЖИТЕЛ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, от една страна, и</w:t>
            </w:r>
          </w:p>
        </w:tc>
      </w:tr>
      <w:tr>
        <w:trPr>
          <w:trHeight w:val="340" w:hRule="exact"/>
          <w:cantSplit w:val="true"/>
        </w:trPr>
        <w:tc>
          <w:tcPr>
            <w:tcW w:w="106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both"/>
              <w:rPr>
                <w:rFonts w:ascii="Times New Roman" w:hAnsi="Times New Roman"/>
                <w:b/>
                <w:b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/</w:t>
            </w:r>
            <w:r>
              <w:rPr>
                <w:rFonts w:eastAsia="Calibri" w:cs="" w:ascii="Times New Roman" w:hAnsi="Times New Roman"/>
                <w:b/>
                <w:kern w:val="0"/>
                <w:sz w:val="24"/>
                <w:szCs w:val="24"/>
                <w:lang w:eastAsia="en-US" w:bidi="ar-SA"/>
              </w:rPr>
              <w:t>lica_fullname/</w:t>
            </w:r>
            <w:r>
              <w:rPr>
                <w:rFonts w:eastAsia="Calibri" w:cs="" w:ascii="Times New Roman" w:hAnsi="Times New Roman"/>
                <w:b/>
                <w:bCs/>
                <w:kern w:val="0"/>
                <w:sz w:val="24"/>
                <w:szCs w:val="24"/>
                <w:lang w:eastAsia="en-US" w:bidi="ar-SA"/>
              </w:rPr>
              <w:t xml:space="preserve">, ЕГН: </w:t>
            </w:r>
            <w:r>
              <w:rPr>
                <w:rFonts w:eastAsia="Calibri" w:cs="" w:ascii="Times New Roman" w:hAnsi="Times New Roman"/>
                <w:b/>
                <w:kern w:val="0"/>
                <w:sz w:val="24"/>
                <w:szCs w:val="24"/>
                <w:lang w:eastAsia="en-US" w:bidi="ar-SA"/>
              </w:rPr>
              <w:t>/lica_egn/, л.к. № /</w:t>
            </w:r>
            <w:r>
              <w:rPr>
                <w:rFonts w:eastAsia="Calibri" w:cs="" w:ascii="Times New Roman" w:hAnsi="Times New Roman"/>
                <w:b/>
                <w:i w:val="false"/>
                <w:iCs w:val="false"/>
                <w:kern w:val="0"/>
                <w:sz w:val="24"/>
                <w:szCs w:val="24"/>
                <w:lang w:val="en-US" w:eastAsia="en-US" w:bidi="ar-SA"/>
              </w:rPr>
              <w:t>lica_nomlk/ / /lica_</w:t>
            </w:r>
            <w:r>
              <w:rPr>
                <w:rFonts w:eastAsia="Calibri" w:cs="" w:ascii="Times New Roman" w:hAnsi="Times New Roman" w:cstheme="minorBidi" w:eastAsiaTheme="minorHAnsi"/>
                <w:b/>
                <w:i w:val="false"/>
                <w:iCs w:val="false"/>
                <w:color w:val="auto"/>
                <w:kern w:val="0"/>
                <w:sz w:val="24"/>
                <w:szCs w:val="24"/>
                <w:lang w:val="en-US" w:eastAsia="en-US" w:bidi="ar-SA"/>
              </w:rPr>
              <w:t>data</w:t>
            </w:r>
            <w:r>
              <w:rPr>
                <w:rFonts w:eastAsia="Calibri" w:cs="" w:ascii="Times New Roman" w:hAnsi="Times New Roman"/>
                <w:b/>
                <w:i w:val="false"/>
                <w:iCs w:val="false"/>
                <w:kern w:val="0"/>
                <w:sz w:val="24"/>
                <w:szCs w:val="24"/>
                <w:lang w:val="en-US" w:eastAsia="en-US" w:bidi="ar-SA"/>
              </w:rPr>
              <w:t>lk/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160"/>
              <w:jc w:val="left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trHeight w:val="284" w:hRule="exact"/>
        </w:trPr>
        <w:tc>
          <w:tcPr>
            <w:tcW w:w="106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.............................................................................................................................................................................................</w:t>
            </w:r>
          </w:p>
        </w:tc>
      </w:tr>
      <w:tr>
        <w:trPr>
          <w:trHeight w:val="284" w:hRule="exact"/>
        </w:trPr>
        <w:tc>
          <w:tcPr>
            <w:tcW w:w="106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.............................................................................................................................................................................................</w:t>
            </w:r>
          </w:p>
        </w:tc>
      </w:tr>
      <w:tr>
        <w:trPr>
          <w:trHeight w:val="284" w:hRule="exact"/>
        </w:trPr>
        <w:tc>
          <w:tcPr>
            <w:tcW w:w="106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i/>
                <w:i/>
                <w:iCs/>
              </w:rPr>
            </w:pP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2"/>
                <w:szCs w:val="22"/>
                <w:lang w:eastAsia="en-US" w:bidi="ar-SA"/>
              </w:rPr>
              <w:t>[трите имена, ЕГН, л. к. № и дата на издаване]</w:t>
            </w:r>
          </w:p>
        </w:tc>
      </w:tr>
      <w:tr>
        <w:trPr>
          <w:trHeight w:val="397" w:hRule="exact"/>
        </w:trPr>
        <w:tc>
          <w:tcPr>
            <w:tcW w:w="106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наричан/а по-нататък КРАЕН ПОЛУЧАТЕЛ, от друга страна, се сключи настоящият  договор за следното: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16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br/>
              <w:t>за следното:</w:t>
            </w:r>
          </w:p>
        </w:tc>
      </w:tr>
      <w:tr>
        <w:trPr>
          <w:trHeight w:val="57" w:hRule="exact"/>
        </w:trPr>
        <w:tc>
          <w:tcPr>
            <w:tcW w:w="106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trHeight w:val="567" w:hRule="exact"/>
        </w:trPr>
        <w:tc>
          <w:tcPr>
            <w:tcW w:w="106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eastAsia="en-US" w:bidi="ar-SA"/>
              </w:rPr>
              <w:t>ПРЕДМЕТ НА ДОГОВОРА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/>
              </w:rPr>
            </w:r>
          </w:p>
        </w:tc>
      </w:tr>
      <w:tr>
        <w:trPr>
          <w:trHeight w:val="567" w:hRule="exact"/>
        </w:trPr>
        <w:tc>
          <w:tcPr>
            <w:tcW w:w="10610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eastAsia="en-US" w:bidi="ar-SA"/>
              </w:rPr>
              <w:t>Чл. 1.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 xml:space="preserve"> (1) ВЪЗЛОЖИТЕЛЯТ ще извърши доставка, чрез избрания Изпълнител, на:</w:t>
            </w:r>
          </w:p>
        </w:tc>
      </w:tr>
      <w:tr>
        <w:trPr>
          <w:trHeight w:val="321" w:hRule="atLeast"/>
        </w:trPr>
        <w:tc>
          <w:tcPr>
            <w:tcW w:w="1061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jc w:val="left"/>
              <w:rPr>
                <w:rFonts w:ascii="Times New Roman" w:hAnsi="Times New Roman" w:cs="Times New Roman"/>
                <w:b/>
                <w:b/>
              </w:rPr>
            </w:pPr>
            <w:r>
              <w:rPr>
                <w:rFonts w:eastAsia="Calibri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/lica_urbezrad/</w:t>
            </w:r>
          </w:p>
        </w:tc>
      </w:tr>
      <w:tr>
        <w:trPr>
          <w:trHeight w:val="321" w:hRule="atLeast"/>
        </w:trPr>
        <w:tc>
          <w:tcPr>
            <w:tcW w:w="10610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jc w:val="left"/>
              <w:rPr>
                <w:rFonts w:ascii="Times New Roman" w:hAnsi="Times New Roman" w:cs="Times New Roman"/>
                <w:i/>
                <w:i/>
                <w:iCs/>
              </w:rPr>
            </w:pP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2"/>
                <w:szCs w:val="22"/>
                <w:lang w:eastAsia="en-US" w:bidi="ar-SA"/>
              </w:rPr>
              <w:t>[брой, вид, мощност на устройството/та]</w:t>
            </w:r>
          </w:p>
        </w:tc>
      </w:tr>
      <w:tr>
        <w:trPr>
          <w:trHeight w:val="321" w:hRule="atLeast"/>
        </w:trPr>
        <w:tc>
          <w:tcPr>
            <w:tcW w:w="1061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jc w:val="left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/>
                <w:kern w:val="0"/>
                <w:sz w:val="24"/>
                <w:szCs w:val="24"/>
                <w:lang w:eastAsia="en-US" w:bidi="ar-SA"/>
              </w:rPr>
              <w:t>/lica_rad/</w:t>
            </w:r>
          </w:p>
        </w:tc>
      </w:tr>
      <w:tr>
        <w:trPr>
          <w:trHeight w:val="284" w:hRule="atLeast"/>
        </w:trPr>
        <w:tc>
          <w:tcPr>
            <w:tcW w:w="10610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jc w:val="left"/>
              <w:rPr>
                <w:rFonts w:ascii="Times New Roman" w:hAnsi="Times New Roman" w:cs="Times New Roman"/>
                <w:i/>
                <w:i/>
                <w:iCs/>
              </w:rPr>
            </w:pPr>
            <w:r>
              <w:rPr>
                <w:rFonts w:eastAsia="Calibri" w:cs="Times New Roman" w:ascii="Times New Roman" w:hAnsi="Times New Roman"/>
                <w:i/>
                <w:iCs/>
                <w:kern w:val="0"/>
                <w:sz w:val="22"/>
                <w:szCs w:val="22"/>
                <w:lang w:eastAsia="en-US" w:bidi="ar-SA"/>
              </w:rPr>
              <w:t>[брой, размер на радиатори, където е приложимо]</w:t>
            </w:r>
          </w:p>
        </w:tc>
      </w:tr>
      <w:tr>
        <w:trPr>
          <w:trHeight w:val="284" w:hRule="atLeast"/>
        </w:trPr>
        <w:tc>
          <w:tcPr>
            <w:tcW w:w="10610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 xml:space="preserve">в жилищен имот, представляващ </w:t>
            </w:r>
            <w:r>
              <w:rPr>
                <w:rFonts w:eastAsia="Calibri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/lica_</w:t>
            </w:r>
            <w:r>
              <w:rPr>
                <w:rFonts w:eastAsia="Calibri" w:ascii="Times New Roman" w:hAnsi="Times New Roman"/>
                <w:b/>
                <w:kern w:val="0"/>
                <w:sz w:val="22"/>
                <w:szCs w:val="22"/>
                <w:lang w:val="en-US" w:eastAsia="en-US" w:bidi="ar-SA"/>
              </w:rPr>
              <w:t>vidimot</w:t>
            </w:r>
            <w:r>
              <w:rPr>
                <w:rFonts w:eastAsia="Calibri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/</w:t>
            </w:r>
          </w:p>
        </w:tc>
      </w:tr>
      <w:tr>
        <w:trPr>
          <w:trHeight w:val="567" w:hRule="exact"/>
        </w:trPr>
        <w:tc>
          <w:tcPr>
            <w:tcW w:w="1061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jc w:val="left"/>
              <w:rPr>
                <w:rFonts w:ascii="Times New Roman" w:hAnsi="Times New Roman" w:cs="Times New Roman"/>
                <w:b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 xml:space="preserve">с адрес: </w:t>
            </w:r>
            <w:r>
              <w:rPr>
                <w:rFonts w:eastAsia="Calibri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/lica_adres/</w:t>
            </w:r>
          </w:p>
        </w:tc>
      </w:tr>
      <w:tr>
        <w:trPr>
          <w:trHeight w:val="170" w:hRule="exact"/>
        </w:trPr>
        <w:tc>
          <w:tcPr>
            <w:tcW w:w="10610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737" w:hRule="exact"/>
        </w:trPr>
        <w:tc>
          <w:tcPr>
            <w:tcW w:w="106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собственост на КРАЙНИЯ ПОЛУЧАТЕЛ, наричан по-долу „Имотът“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eastAsia="en-US" w:bidi="ar-SA"/>
              </w:rPr>
              <w:t>.</w:t>
              <w:br/>
              <w:t>(2) Договорът включва и изпълнението от ВЪЗЛОЖИТЕЛЯ, чрез избрания Изпълнител, на следните услуги:</w:t>
            </w:r>
          </w:p>
        </w:tc>
      </w:tr>
      <w:tr>
        <w:trPr>
          <w:trHeight w:val="567" w:hRule="exact"/>
        </w:trPr>
        <w:tc>
          <w:tcPr>
            <w:tcW w:w="10610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before="0" w:after="120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демонтаж на съществуващото/щите в имота отоплително/и устройство/а, работещо/и с твърдо гориво</w:t>
            </w:r>
          </w:p>
        </w:tc>
      </w:tr>
      <w:tr>
        <w:trPr>
          <w:trHeight w:val="454" w:hRule="exact"/>
        </w:trPr>
        <w:tc>
          <w:tcPr>
            <w:tcW w:w="1061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jc w:val="left"/>
              <w:rPr>
                <w:rFonts w:ascii="Times New Roman" w:hAnsi="Times New Roman" w:cs="Times New Roman"/>
                <w:b/>
                <w:b/>
              </w:rPr>
            </w:pPr>
            <w:r>
              <w:rPr>
                <w:rFonts w:eastAsia="Calibri" w:ascii="Times New Roman" w:hAnsi="Times New Roman"/>
                <w:b/>
                <w:kern w:val="0"/>
                <w:sz w:val="22"/>
                <w:szCs w:val="22"/>
                <w:lang w:eastAsia="en-US" w:bidi="ar-SA"/>
              </w:rPr>
              <w:t>/lica_durirad/</w:t>
            </w:r>
          </w:p>
        </w:tc>
      </w:tr>
      <w:tr>
        <w:trPr>
          <w:trHeight w:val="454" w:hRule="exact"/>
        </w:trPr>
        <w:tc>
          <w:tcPr>
            <w:tcW w:w="10610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16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eastAsia="en-US" w:bidi="ar-SA"/>
              </w:rPr>
              <w:t>(посочва се видът - котел/печка на дърва и/или въглища, друго)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,</w:t>
            </w: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с цел предаване за рециклиране;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cs="Times New Roman" w:ascii="Times New Roman" w:hAnsi="Times New Roman"/>
                <w:i/>
              </w:rPr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bg-BG"/>
        </w:rPr>
      </w:r>
      <w:r>
        <w:br w:type="page"/>
      </w:r>
    </w:p>
    <w:p>
      <w:pPr>
        <w:pStyle w:val="ListParagraph"/>
        <w:ind w:left="709" w:hanging="0"/>
        <w:rPr>
          <w:rFonts w:eastAsia="Times New Roman"/>
        </w:rPr>
      </w:pPr>
      <w:r>
        <w:rPr>
          <w:rFonts w:eastAsia="Times New Roman"/>
        </w:rPr>
      </w:r>
    </w:p>
    <w:p>
      <w:pPr>
        <w:pStyle w:val="ListParagraph"/>
        <w:numPr>
          <w:ilvl w:val="0"/>
          <w:numId w:val="1"/>
        </w:numPr>
        <w:ind w:left="709" w:hanging="312"/>
        <w:rPr>
          <w:rFonts w:eastAsia="Times New Roman"/>
        </w:rPr>
      </w:pPr>
      <w:r>
        <w:rPr>
          <w:rFonts w:eastAsia="Times New Roman"/>
        </w:rPr>
        <w:t xml:space="preserve">внасяне, монтаж, тест, пуск и настройка на доставеното отоплително устройство; </w:t>
      </w:r>
    </w:p>
    <w:p>
      <w:pPr>
        <w:pStyle w:val="ListParagraph"/>
        <w:numPr>
          <w:ilvl w:val="0"/>
          <w:numId w:val="1"/>
        </w:numPr>
        <w:ind w:left="709" w:hanging="312"/>
        <w:rPr>
          <w:rFonts w:eastAsia="Times New Roman"/>
        </w:rPr>
      </w:pPr>
      <w:r>
        <w:rPr>
          <w:rFonts w:eastAsia="Times New Roman"/>
        </w:rPr>
        <w:t xml:space="preserve">предоставяне на писмени инструкции за експлоатация и поддръжка на новото отоплително устройство; </w:t>
      </w:r>
    </w:p>
    <w:p>
      <w:pPr>
        <w:pStyle w:val="ListParagraph"/>
        <w:numPr>
          <w:ilvl w:val="0"/>
          <w:numId w:val="1"/>
        </w:numPr>
        <w:ind w:left="709" w:hanging="312"/>
        <w:rPr>
          <w:rFonts w:eastAsia="Times New Roman"/>
        </w:rPr>
      </w:pPr>
      <w:r>
        <w:rPr>
          <w:rFonts w:eastAsia="Times New Roman"/>
        </w:rPr>
        <w:t>провеждане на инструктаж на КРАЙНИЯ ПОЛУЧАТЕЛ на място при доставката и монтажа на новото отоплително устройство за неговата правилна експлоатация и поддръжка;</w:t>
      </w:r>
    </w:p>
    <w:p>
      <w:pPr>
        <w:pStyle w:val="ListParagraph"/>
        <w:numPr>
          <w:ilvl w:val="0"/>
          <w:numId w:val="1"/>
        </w:numPr>
        <w:ind w:left="709" w:hanging="360"/>
        <w:rPr>
          <w:rFonts w:eastAsia="Times New Roman"/>
        </w:rPr>
      </w:pPr>
      <w:r>
        <w:rPr>
          <w:rFonts w:eastAsia="Times New Roman"/>
        </w:rPr>
        <w:t xml:space="preserve">гаранционно обслужване на новото отоплително устройство по ал. 1., считано от датата на подписване на тристранен приемно-предавателен протокол за доставка, монтаж, тест, пуск и настройка на устройството, при условие на спазване от страна на КРАЙНИЯ ПОЛУЧАТЕЛ на изискванията за правилна експлоатация, поддръжка, конкретен тип горива, предписани от производителя (когато е приложимо), посочени в инструкцията за монтаж и експлоатация на отоплителното устройство;  </w:t>
      </w:r>
    </w:p>
    <w:p>
      <w:pPr>
        <w:pStyle w:val="ListParagraph"/>
        <w:numPr>
          <w:ilvl w:val="0"/>
          <w:numId w:val="1"/>
        </w:numPr>
        <w:ind w:left="709" w:hanging="312"/>
        <w:rPr>
          <w:rFonts w:eastAsia="Times New Roman"/>
        </w:rPr>
      </w:pPr>
      <w:r>
        <w:rPr>
          <w:rFonts w:eastAsia="Times New Roman"/>
        </w:rPr>
        <w:t>еднократен годишен технически  преглед на доставеното ново отоплително устройство в периода между първия и втория отоплителен сезон, считано от доставката и монтажа на устройството.</w:t>
      </w:r>
    </w:p>
    <w:p>
      <w:pPr>
        <w:pStyle w:val="Normal"/>
        <w:keepNext w:val="true"/>
        <w:spacing w:before="360" w:after="120"/>
        <w:jc w:val="center"/>
        <w:rPr>
          <w:rFonts w:ascii="Times New Roman" w:hAnsi="Times New Roman" w:eastAsia="Times New Roman" w:cs="Times New Roman"/>
          <w:b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СРОК  НА ДОГОВОРА. СРОКОВЕ ЗА ИЗПЪЛНЕНИЕ</w:t>
      </w:r>
    </w:p>
    <w:p>
      <w:pPr>
        <w:pStyle w:val="Normal"/>
        <w:tabs>
          <w:tab w:val="clear" w:pos="720"/>
          <w:tab w:val="left" w:pos="1219" w:leader="none"/>
        </w:tabs>
        <w:ind w:firstLine="397"/>
        <w:jc w:val="both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bg-BG"/>
        </w:rPr>
        <w:t>Чл. 2.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 (1) Договорът влиза в сила от датата на регистриране в деловодната система на ВЪЗЛОЖИТЕЛЯ, която дата се поставя на всички екземпляри на Договора, и е със срок на действие до изтичане на две години, считано от датата на подписване на тристранен приемно-предавателен протокол за монтажа на новото отоплително устройство.</w:t>
      </w:r>
    </w:p>
    <w:p>
      <w:pPr>
        <w:pStyle w:val="Normal"/>
        <w:tabs>
          <w:tab w:val="clear" w:pos="720"/>
          <w:tab w:val="left" w:pos="1219" w:leader="none"/>
        </w:tabs>
        <w:ind w:firstLine="397"/>
        <w:jc w:val="both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bg-BG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(2) Доставката, монтаж, тест, пуск и настройка на отоплителното устройство се извършват извън  отоплителния сезон. Доставка, монтаж, тест, пуск и настройка могат да се извършат и по време на отоплителния сезон, когато КРАЙНИЯТ ПОЛУЧАТЕЛ е декларирал съгласие за това. За целите на настоящия договор за начало на отоплителния сезон се счита 1-ви ноември, а за край на отоплителния сезон – 31-ви март, съгласно § 2 от Допълнителните разпоредби на Наредба № РД-07-5 от 16 май 2008 г. за условията и реда за отпускане на целева помощ за отопление. </w:t>
      </w:r>
    </w:p>
    <w:p>
      <w:pPr>
        <w:pStyle w:val="Normal"/>
        <w:tabs>
          <w:tab w:val="clear" w:pos="720"/>
          <w:tab w:val="left" w:pos="1219" w:leader="none"/>
        </w:tabs>
        <w:ind w:firstLine="397"/>
        <w:jc w:val="both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(3) </w:t>
      </w:r>
      <w:bookmarkStart w:id="2" w:name="_Hlk28876129"/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>Възложителят извършва необходимата организация, така че КРАЙНИЯТ ПОЛУЧАТЕЛ да бъде информиран предварително за предстоящия демонтаж и доставка и монтаж от лицата, определени да извършат демонтажа на старото отоплително устройство и доставката и монтажа на новото отоплително устройство, с цел уточняване на датата и часа, когато ще бъдат извършени демонтажът и изнасянето на старото отоплително устройство и доставката и монтажът на новото отоплително устройство</w:t>
      </w:r>
      <w:bookmarkEnd w:id="2"/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>.</w:t>
      </w:r>
    </w:p>
    <w:p>
      <w:pPr>
        <w:pStyle w:val="Normal"/>
        <w:keepNext w:val="true"/>
        <w:spacing w:before="480" w:after="240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ПРЕДАВАНЕ И ПРИЕМАНЕ НА ДОСТАВКАТА И УСЛУГИТЕ</w:t>
      </w:r>
    </w:p>
    <w:p>
      <w:pPr>
        <w:pStyle w:val="Normal"/>
        <w:tabs>
          <w:tab w:val="clear" w:pos="720"/>
          <w:tab w:val="left" w:pos="1219" w:leader="none"/>
        </w:tabs>
        <w:ind w:firstLine="397"/>
        <w:jc w:val="both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bg-BG"/>
        </w:rPr>
        <w:t>Чл. 3.</w:t>
      </w: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 xml:space="preserve"> (1) ВЪЗЛОЖИТЕЛЯТ предоставя новото отоплително устройство и услугите по чл. 1 при условията на настоящия договор. Изпълнението на предмета на Договора се удостоверява с подписване на документите: Приложение № 1, Приложение № 2 или Приложение № 3 и Приложение № 4, представляващи неразделна част от Договора.</w:t>
      </w:r>
    </w:p>
    <w:p>
      <w:pPr>
        <w:pStyle w:val="Normal"/>
        <w:tabs>
          <w:tab w:val="clear" w:pos="720"/>
          <w:tab w:val="left" w:pos="1219" w:leader="none"/>
        </w:tabs>
        <w:spacing w:before="0" w:after="160"/>
        <w:ind w:firstLine="397"/>
        <w:jc w:val="both"/>
        <w:rPr>
          <w:rFonts w:ascii="Times New Roman" w:hAnsi="Times New Roman" w:eastAsia="Times New Roman" w:cs="Times New Roman"/>
          <w:sz w:val="24"/>
          <w:szCs w:val="24"/>
          <w:lang w:eastAsia="bg-BG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bg-BG"/>
        </w:rPr>
        <w:t>1. Доставката, монтажът, извършването на тест, пуск и настройка на новото отоплително устройство се удостоверяват с подписване на тристранен Приемно-предавателен протокол (Приложение № 1 към Договора). Тристранният приемно-предавателният протокол се подписва от КРАЙНИЯ ПОЛУЧАТЕЛ, от ИЗПЪЛНИТЕЛЯ по договора за доставка и монтаж на новите отоплителни устройства и от представител на ВЪЗЛОЖИТЕЛЯ/лице, определено от възложителя. Приложеният приемно-предавателен протокол може да бъде допълван от ВЪЗЛОЖИТЕЛЯ.</w:t>
      </w:r>
    </w:p>
    <w:sectPr>
      <w:footerReference w:type="default" r:id="rId3"/>
      <w:footerReference w:type="first" r:id="rId4"/>
      <w:type w:val="nextPage"/>
      <w:pgSz w:w="11906" w:h="16838"/>
      <w:pgMar w:left="851" w:right="851" w:header="0" w:top="737" w:footer="709" w:bottom="766" w:gutter="0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Segoe U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430584916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jc w:val="cen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ind w:firstLine="720"/>
      <w:jc w:val="both"/>
      <w:rPr>
        <w:i/>
        <w:i/>
        <w:sz w:val="16"/>
        <w:szCs w:val="16"/>
      </w:rPr>
    </w:pPr>
    <w:r>
      <w:rPr>
        <w:sz w:val="16"/>
        <w:szCs w:val="16"/>
      </w:rPr>
      <w:tab/>
      <w:t>www.eufunds.bg</w:t>
    </w:r>
    <w:r>
      <w:rPr>
        <w:i/>
        <w:iCs/>
        <w:sz w:val="16"/>
        <w:szCs w:val="16"/>
      </w:rPr>
      <w:br/>
      <w:t>Документът е изготвен в изпълнение на проект № BG16M1ОP002-5.003-0001 „Подобряване качеството на атмосферния въздух в Столична община чрез подмяна на отоплителни устройства на твърдо гориво с екологични алтернативи“, финансиран по Оперативна програма „Околна среда 2014-2020 г.“, съфинансирана от Европейския съюз чрез Кохезионния фонд и от националния бюджет на Република България.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%1."/>
      <w:lvlJc w:val="left"/>
      <w:pPr>
        <w:tabs>
          <w:tab w:val="num" w:pos="0"/>
        </w:tabs>
        <w:ind w:left="111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3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5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7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9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1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3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5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77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bg-BG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752df"/>
    <w:rPr>
      <w:lang w:val="bg-BG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d752df"/>
    <w:rPr>
      <w:lang w:val="bg-BG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074ce0"/>
    <w:rPr>
      <w:rFonts w:ascii="Segoe UI" w:hAnsi="Segoe UI" w:cs="Segoe UI"/>
      <w:sz w:val="18"/>
      <w:szCs w:val="18"/>
      <w:lang w:val="bg-BG"/>
    </w:rPr>
  </w:style>
  <w:style w:type="character" w:styleId="ListParagraphChar" w:customStyle="1">
    <w:name w:val="List Paragraph Char"/>
    <w:link w:val="ListParagraph"/>
    <w:uiPriority w:val="34"/>
    <w:qFormat/>
    <w:locked/>
    <w:rsid w:val="00060434"/>
    <w:rPr>
      <w:rFonts w:ascii="Times New Roman" w:hAnsi="Times New Roman" w:eastAsia="Calibri" w:cs="Times New Roman"/>
      <w:sz w:val="24"/>
      <w:szCs w:val="24"/>
      <w:lang w:val="bg-BG" w:eastAsia="bg-BG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752df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752df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74ce0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060434"/>
    <w:pPr>
      <w:spacing w:lineRule="atLeast" w:line="240" w:before="0" w:after="120"/>
      <w:ind w:left="720" w:hanging="0"/>
      <w:jc w:val="both"/>
    </w:pPr>
    <w:rPr>
      <w:rFonts w:ascii="Times New Roman" w:hAnsi="Times New Roman" w:eastAsia="Calibri" w:cs="Times New Roman"/>
      <w:sz w:val="24"/>
      <w:szCs w:val="24"/>
      <w:lang w:eastAsia="bg-BG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51ab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049B9-A676-4032-A5B5-A0E8C3314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LibreOffice/7.1.3.2$Windows_X86_64 LibreOffice_project/47f78053abe362b9384784d31a6e56f8511eb1c1</Application>
  <AppVersion>15.0000</AppVersion>
  <Pages>2</Pages>
  <Words>726</Words>
  <Characters>4882</Characters>
  <CharactersWithSpaces>5657</CharactersWithSpaces>
  <Paragraphs>37</Paragraphs>
  <Company>NSI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2021-11-17T20:12:00Z</dcterms:created>
  <dc:creator>BMileva</dc:creator>
  <dc:description/>
  <dc:language>bg-BG</dc:language>
  <cp:lastModifiedBy/>
  <cp:lastPrinted>2021-11-05T08:43:00Z</cp:lastPrinted>
  <dcterms:modified xsi:type="dcterms:W3CDTF">2022-03-10T22:26:51Z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