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pdm1omptpaw" w:id="0"/>
      <w:bookmarkEnd w:id="0"/>
      <w:r w:rsidDel="00000000" w:rsidR="00000000" w:rsidRPr="00000000">
        <w:rPr>
          <w:rtl w:val="0"/>
        </w:rPr>
        <w:t xml:space="preserve">Especificação de Requisitos e Casos de Uso: Plataforma de Gestão de IaC e Governança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6ukppm5s9cs9" w:id="1"/>
      <w:bookmarkEnd w:id="1"/>
      <w:r w:rsidDel="00000000" w:rsidR="00000000" w:rsidRPr="00000000">
        <w:rPr>
          <w:rtl w:val="0"/>
        </w:rPr>
        <w:t xml:space="preserve">1. Visão Estratégica e Contextualização do Policy-as-Code (PaC)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transição de revisões manuais para o modelo de  </w:t>
      </w:r>
      <w:r w:rsidDel="00000000" w:rsidR="00000000" w:rsidRPr="00000000">
        <w:rPr>
          <w:b w:val="1"/>
          <w:bCs w:val="1"/>
          <w:rtl w:val="0"/>
        </w:rPr>
        <w:t xml:space="preserve">Policy-as-Code (PaC)</w:t>
      </w:r>
      <w:r w:rsidDel="00000000" w:rsidR="00000000" w:rsidRPr="00000000">
        <w:rPr>
          <w:rtl w:val="0"/>
        </w:rPr>
        <w:t xml:space="preserve">  não é apenas uma evolução técnica, mas um imperativo estratégico para organizações que operam infraestrutura em escala. O "State of Human Risk 2025" revela que  </w:t>
      </w:r>
      <w:r w:rsidDel="00000000" w:rsidR="00000000" w:rsidRPr="00000000">
        <w:rPr>
          <w:b w:val="1"/>
          <w:bCs w:val="1"/>
          <w:rtl w:val="0"/>
        </w:rPr>
        <w:t xml:space="preserve">95% das violações de dados envolvem erro humano</w:t>
      </w:r>
      <w:r w:rsidDel="00000000" w:rsidR="00000000" w:rsidRPr="00000000">
        <w:rPr>
          <w:rtl w:val="0"/>
        </w:rPr>
        <w:t xml:space="preserve"> , uma estatística que sublinha a fragilidade do conhecimento tribal e das revisões manuais frente à automação acelerada. Em ambientes que utilizam Terraform, a ausência de guardrails ativos permite que falhas críticas de configuração sejam propagadas na velocidade do código, transformando a agilidade do DevOps em um risco operacional latente.Embora o Terraform seja a ferramenta líder para a natureza declarativa da infraestrutura, ele não atua como um sistema de governança autônomo. O  </w:t>
      </w:r>
      <w:r w:rsidDel="00000000" w:rsidR="00000000" w:rsidRPr="00000000">
        <w:rPr>
          <w:b w:val="1"/>
          <w:bCs w:val="1"/>
          <w:rtl w:val="0"/>
        </w:rPr>
        <w:t xml:space="preserve">"State of IaC Report 2026"</w:t>
      </w:r>
      <w:r w:rsidDel="00000000" w:rsidR="00000000" w:rsidRPr="00000000">
        <w:rPr>
          <w:rtl w:val="0"/>
        </w:rPr>
        <w:t xml:space="preserve">  destaca a lacuna crítica entre o estado desejado em código e a conformidade real dos ativos em nuvem. Sem uma camada de PaC, não há mecanismo nativo que impeça um desenvolvedor de destruir acidentalmente instâncias de produção ou provisionar recursos inseguros. Portanto, a implementação de uma plataforma de gestão de IaC é mandatória para converter diretrizes de conformidade em controles programáticos e auditáveis, garantindo que a infraestrutura seja "Resiliente por Design".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11dtnowwvjjw" w:id="2"/>
      <w:bookmarkEnd w:id="2"/>
      <w:r w:rsidDel="00000000" w:rsidR="00000000" w:rsidRPr="00000000">
        <w:rPr>
          <w:rtl w:val="0"/>
        </w:rPr>
        <w:t xml:space="preserve">2. Requisitos Funcionais (RF)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 requisitos funcionais definem as capacidades críticas que permitem o "Shift Left" na segurança de nuvem, transformando políticas estáticas em barreiras dinâmicas de proteção.</w:t>
      </w:r>
    </w:p>
    <w:p w:rsidR="00000000" w:rsidDel="00000000" w:rsidP="00000000" w:rsidRDefault="00000000" w:rsidRPr="00000000" w14:paraId="00000006">
      <w:pPr>
        <w:pStyle w:val="Heading6"/>
        <w:rPr/>
      </w:pPr>
      <w:bookmarkStart w:colFirst="0" w:colLast="0" w:name="_zc5llfutzrg9" w:id="3"/>
      <w:bookmarkEnd w:id="3"/>
      <w:r w:rsidDel="00000000" w:rsidR="00000000" w:rsidRPr="00000000">
        <w:rPr>
          <w:rtl w:val="0"/>
        </w:rPr>
        <w:t xml:space="preserve">2.1 Motor de Políticas e Ecossistema PaC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motor de políticas deve servir como o ponto central de decisão (PDP), operando de forma desacoplada do ciclo de vida do recurso.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OPA e Rego:</w:t>
      </w:r>
      <w:r w:rsidDel="00000000" w:rsidR="00000000" w:rsidRPr="00000000">
        <w:rPr>
          <w:rtl w:val="0"/>
        </w:rPr>
        <w:t xml:space="preserve">  A plataforma deve obrigatoriamente suportar o  </w:t>
      </w:r>
      <w:r w:rsidDel="00000000" w:rsidR="00000000" w:rsidRPr="00000000">
        <w:rPr>
          <w:b w:val="1"/>
          <w:bCs w:val="1"/>
          <w:rtl w:val="0"/>
        </w:rPr>
        <w:t xml:space="preserve">Open Policy Agent (OPA)</w:t>
      </w:r>
      <w:r w:rsidDel="00000000" w:rsidR="00000000" w:rsidRPr="00000000">
        <w:rPr>
          <w:rtl w:val="0"/>
        </w:rPr>
        <w:t xml:space="preserve"> , utilizando a linguagem  </w:t>
      </w:r>
      <w:r w:rsidDel="00000000" w:rsidR="00000000" w:rsidRPr="00000000">
        <w:rPr>
          <w:b w:val="1"/>
          <w:bCs w:val="1"/>
          <w:rtl w:val="0"/>
        </w:rPr>
        <w:t xml:space="preserve">Rego</w:t>
      </w:r>
      <w:r w:rsidDel="00000000" w:rsidR="00000000" w:rsidRPr="00000000">
        <w:rPr>
          <w:rtl w:val="0"/>
        </w:rPr>
        <w:t xml:space="preserve">  para a definição de regras de conformidade.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Avaliação de Planos:</w:t>
      </w:r>
      <w:r w:rsidDel="00000000" w:rsidR="00000000" w:rsidRPr="00000000">
        <w:rPr>
          <w:rtl w:val="0"/>
        </w:rPr>
        <w:t xml:space="preserve">  Capacidade de capturar o terraform plan, convertê-lo em JSON e executar a validação via opa exec contra bundles de políticas versionados.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Suporte a KICS e Rego Playground:</w:t>
      </w:r>
      <w:r w:rsidDel="00000000" w:rsidR="00000000" w:rsidRPr="00000000">
        <w:rPr>
          <w:rtl w:val="0"/>
        </w:rPr>
        <w:t xml:space="preserve">  A plataforma deve integrar o suporte a políticas baseadas em  </w:t>
      </w:r>
      <w:r w:rsidDel="00000000" w:rsidR="00000000" w:rsidRPr="00000000">
        <w:rPr>
          <w:b w:val="1"/>
          <w:bCs w:val="1"/>
          <w:rtl w:val="0"/>
        </w:rPr>
        <w:t xml:space="preserve">KICS</w:t>
      </w:r>
      <w:r w:rsidDel="00000000" w:rsidR="00000000" w:rsidRPr="00000000">
        <w:rPr>
          <w:rtl w:val="0"/>
        </w:rPr>
        <w:t xml:space="preserve">  para escaneamento de vulnerabilidades e fornecer um  </w:t>
      </w:r>
      <w:r w:rsidDel="00000000" w:rsidR="00000000" w:rsidRPr="00000000">
        <w:rPr>
          <w:b w:val="1"/>
          <w:bCs w:val="1"/>
          <w:rtl w:val="0"/>
        </w:rPr>
        <w:t xml:space="preserve">Rego Playground integrado</w:t>
      </w:r>
      <w:r w:rsidDel="00000000" w:rsidR="00000000" w:rsidRPr="00000000">
        <w:rPr>
          <w:rtl w:val="0"/>
        </w:rPr>
        <w:t xml:space="preserve">  para que arquitetos possam testar e validar novas regras contra dados reais de recursos antes da publicação.</w:t>
      </w:r>
    </w:p>
    <w:p w:rsidR="00000000" w:rsidDel="00000000" w:rsidP="00000000" w:rsidRDefault="00000000" w:rsidRPr="00000000" w14:paraId="0000000B">
      <w:pPr>
        <w:pStyle w:val="Heading6"/>
        <w:rPr/>
      </w:pPr>
      <w:bookmarkStart w:colFirst="0" w:colLast="0" w:name="_7zzhwfodwem3" w:id="4"/>
      <w:bookmarkEnd w:id="4"/>
      <w:r w:rsidDel="00000000" w:rsidR="00000000" w:rsidRPr="00000000">
        <w:rPr>
          <w:rtl w:val="0"/>
        </w:rPr>
        <w:t xml:space="preserve">2.2 Gestão de Drift e Inventário de Ativos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plataforma deve manter a paridade entre o código e o ambiente de execução (Runtime).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Detecção de Drift Contínua:</w:t>
      </w:r>
      <w:r w:rsidDel="00000000" w:rsidR="00000000" w:rsidRPr="00000000">
        <w:rPr>
          <w:rtl w:val="0"/>
        </w:rPr>
        <w:t xml:space="preserve">  O sistema deve comparar o estado definido no IaC com a configuração real na AWS/GCP, identificando alterações feitas via console (fora do pipeline).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Inventário de Ativos em Tempo Real:</w:t>
      </w:r>
      <w:r w:rsidDel="00000000" w:rsidR="00000000" w:rsidRPr="00000000">
        <w:rPr>
          <w:rtl w:val="0"/>
        </w:rPr>
        <w:t xml:space="preserve">  Mapeamento bidirecional que relacione cada ativo de nuvem ao seu respectivo bloco de código IaC, facilitando a identificação de "ghosted resources" (recursos que existem na nuvem, mas foram removidos do código/estado).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o6hwnyzb0r87" w:id="5"/>
      <w:bookmarkEnd w:id="5"/>
      <w:r w:rsidDel="00000000" w:rsidR="00000000" w:rsidRPr="00000000">
        <w:rPr>
          <w:rtl w:val="0"/>
        </w:rPr>
        <w:t xml:space="preserve">2.3 Remediação Automatizada e Modos de Operação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 reduzir o MTTR (Tempo Médio de Resposta), a plataforma deve implementar um motor de remediação de malha fechada.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Remediação em um Clique:</w:t>
      </w:r>
      <w:r w:rsidDel="00000000" w:rsidR="00000000" w:rsidRPr="00000000">
        <w:rPr>
          <w:rtl w:val="0"/>
        </w:rPr>
        <w:t xml:space="preserve">  A plataforma deve gerar comandos CLI prontos para execução imediata.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 GCP:</w:t>
      </w:r>
      <w:r w:rsidDel="00000000" w:rsidR="00000000" w:rsidRPr="00000000">
        <w:rPr>
          <w:rtl w:val="0"/>
        </w:rPr>
        <w:t xml:space="preserve">  gcloud storage buckets update gs://BucketName --uniform-bucket-level-access.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 AWS:</w:t>
      </w:r>
      <w:r w:rsidDel="00000000" w:rsidR="00000000" w:rsidRPr="00000000">
        <w:rPr>
          <w:rtl w:val="0"/>
        </w:rPr>
        <w:t xml:space="preserve">  Comandos para habilitar deletion-protection em instâncias RDS não conformes.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Guardrails de Implantação: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Strict Block (Bloqueio Estrito):</w:t>
      </w:r>
      <w:r w:rsidDel="00000000" w:rsidR="00000000" w:rsidRPr="00000000">
        <w:rPr>
          <w:rtl w:val="0"/>
        </w:rPr>
        <w:t xml:space="preserve">  Interrupção mandatória do pipeline em caso de violações de severidade alta ou crítica.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Flexible Block (Bloqueio Flexível):</w:t>
      </w:r>
      <w:r w:rsidDel="00000000" w:rsidR="00000000" w:rsidRPr="00000000">
        <w:rPr>
          <w:rtl w:val="0"/>
        </w:rPr>
        <w:t xml:space="preserve">  Alertas e logs informativos para violações de baixa severidade, permitindo a continuidade do deploy.</w:t>
      </w:r>
    </w:p>
    <w:p w:rsidR="00000000" w:rsidDel="00000000" w:rsidP="00000000" w:rsidRDefault="00000000" w:rsidRPr="00000000" w14:paraId="00000017">
      <w:pPr>
        <w:pStyle w:val="Heading6"/>
        <w:rPr/>
      </w:pPr>
      <w:bookmarkStart w:colFirst="0" w:colLast="0" w:name="_fo0h2x96wrv2" w:id="6"/>
      <w:bookmarkEnd w:id="6"/>
      <w:r w:rsidDel="00000000" w:rsidR="00000000" w:rsidRPr="00000000">
        <w:rPr>
          <w:rtl w:val="0"/>
        </w:rPr>
        <w:t xml:space="preserve">2.4 Mapeamento de Frameworks de Compliance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plataforma deve automatizar a auditoria com base nos seguintes frameworks:| Framework | Objetivo da Implementação na Plataforma || ------ | ------ || </w:t>
      </w:r>
      <w:r w:rsidDel="00000000" w:rsidR="00000000" w:rsidRPr="00000000">
        <w:rPr>
          <w:b w:val="1"/>
          <w:bCs w:val="1"/>
          <w:rtl w:val="0"/>
        </w:rPr>
        <w:t xml:space="preserve">PCI-DSS</w:t>
      </w:r>
      <w:r w:rsidDel="00000000" w:rsidR="00000000" w:rsidRPr="00000000">
        <w:rPr>
          <w:rtl w:val="0"/>
        </w:rPr>
        <w:t xml:space="preserve"> | Garantir criptografia de dados em trânsito/repouso para ambientes de pagamento. || </w:t>
      </w:r>
      <w:r w:rsidDel="00000000" w:rsidR="00000000" w:rsidRPr="00000000">
        <w:rPr>
          <w:b w:val="1"/>
          <w:bCs w:val="1"/>
          <w:rtl w:val="0"/>
        </w:rPr>
        <w:t xml:space="preserve">SOC 2</w:t>
      </w:r>
      <w:r w:rsidDel="00000000" w:rsidR="00000000" w:rsidRPr="00000000">
        <w:rPr>
          <w:rtl w:val="0"/>
        </w:rPr>
        <w:t xml:space="preserve"> | Validar controles de acesso e integridade de dados em sistemas de terceiros. || </w:t>
      </w:r>
      <w:r w:rsidDel="00000000" w:rsidR="00000000" w:rsidRPr="00000000">
        <w:rPr>
          <w:b w:val="1"/>
          <w:bCs w:val="1"/>
          <w:rtl w:val="0"/>
        </w:rPr>
        <w:t xml:space="preserve">HIPAA</w:t>
      </w:r>
      <w:r w:rsidDel="00000000" w:rsidR="00000000" w:rsidRPr="00000000">
        <w:rPr>
          <w:rtl w:val="0"/>
        </w:rPr>
        <w:t xml:space="preserve"> | Assegurar a segregação e proteção de cargas de trabalho com dados de saúde. || </w:t>
      </w:r>
      <w:r w:rsidDel="00000000" w:rsidR="00000000" w:rsidRPr="00000000">
        <w:rPr>
          <w:b w:val="1"/>
          <w:bCs w:val="1"/>
          <w:rtl w:val="0"/>
        </w:rPr>
        <w:t xml:space="preserve">NIST 800-53</w:t>
      </w:r>
      <w:r w:rsidDel="00000000" w:rsidR="00000000" w:rsidRPr="00000000">
        <w:rPr>
          <w:rtl w:val="0"/>
        </w:rPr>
        <w:t xml:space="preserve"> | Alinhamento com padrões rigorosos de segurança e privacidade do governo dos EUA. |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2lx5zufsofj" w:id="7"/>
      <w:bookmarkEnd w:id="7"/>
      <w:r w:rsidDel="00000000" w:rsidR="00000000" w:rsidRPr="00000000">
        <w:rPr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Os requisitos não funcionais garantem que a plataforma seja robusta e confiável, seguindo padrões internacionais de segurança.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4zeb18o6w7nr" w:id="8"/>
      <w:bookmarkEnd w:id="8"/>
      <w:r w:rsidDel="00000000" w:rsidR="00000000" w:rsidRPr="00000000">
        <w:rPr>
          <w:rtl w:val="0"/>
        </w:rPr>
        <w:t xml:space="preserve">3.1 Segurança e Auditoria (Base NIST SP 800-53 Revision 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plataforma deve ser construída sob os princípios de privilégio mínimo e rastreabilidade total.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Acesso (Família AC):</w:t>
      </w:r>
      <w:r w:rsidDel="00000000" w:rsidR="00000000" w:rsidRPr="00000000">
        <w:rPr>
          <w:rtl w:val="0"/>
        </w:rPr>
        <w:t xml:space="preserve">  Implementação mandatória de Autenticação Multifator (MFA) ou Common Access Card (CAC) para acesso administrativo.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Logs de Auditoria (Família AU):</w:t>
      </w:r>
      <w:r w:rsidDel="00000000" w:rsidR="00000000" w:rsidRPr="00000000">
        <w:rPr>
          <w:rtl w:val="0"/>
        </w:rPr>
        <w:t xml:space="preserve">  Registro imutável de todas as alterações em políticas, execuções de planos e decisões do motor OPA, garantindo conformidade com o FISMA.</w:t>
      </w:r>
    </w:p>
    <w:p w:rsidR="00000000" w:rsidDel="00000000" w:rsidP="00000000" w:rsidRDefault="00000000" w:rsidRPr="00000000" w14:paraId="0000001F">
      <w:pPr>
        <w:pStyle w:val="Heading6"/>
        <w:rPr/>
      </w:pPr>
      <w:bookmarkStart w:colFirst="0" w:colLast="0" w:name="_7p31sde5e8dw" w:id="9"/>
      <w:bookmarkEnd w:id="9"/>
      <w:r w:rsidDel="00000000" w:rsidR="00000000" w:rsidRPr="00000000">
        <w:rPr>
          <w:rtl w:val="0"/>
        </w:rPr>
        <w:t xml:space="preserve">3.2 Resiliência Operacional e Recuperação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Cyber Resilience:</w:t>
      </w:r>
      <w:r w:rsidDel="00000000" w:rsidR="00000000" w:rsidRPr="00000000">
        <w:rPr>
          <w:rtl w:val="0"/>
        </w:rPr>
        <w:t xml:space="preserve">  A plataforma deve garantir a capacidade de  </w:t>
      </w:r>
      <w:r w:rsidDel="00000000" w:rsidR="00000000" w:rsidRPr="00000000">
        <w:rPr>
          <w:b w:val="1"/>
          <w:bCs w:val="1"/>
          <w:rtl w:val="0"/>
        </w:rPr>
        <w:t xml:space="preserve">recuperar a infraestrutura total exclusivamente a partir do código</w:t>
      </w:r>
      <w:r w:rsidDel="00000000" w:rsidR="00000000" w:rsidRPr="00000000">
        <w:rPr>
          <w:rtl w:val="0"/>
        </w:rPr>
        <w:t xml:space="preserve">  após um evento catastrófico ou ataque de ransomware.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Objetivos de Recuperação:</w:t>
      </w:r>
      <w:r w:rsidDel="00000000" w:rsidR="00000000" w:rsidRPr="00000000">
        <w:rPr>
          <w:rtl w:val="0"/>
        </w:rPr>
        <w:t xml:space="preserve">  Definição estrita de RTO (Recovery Time Objective) e RPO (Recovery Point Objective) para o estado do inventário e logs de conformidade.</w:t>
      </w:r>
    </w:p>
    <w:p w:rsidR="00000000" w:rsidDel="00000000" w:rsidP="00000000" w:rsidRDefault="00000000" w:rsidRPr="00000000" w14:paraId="00000022">
      <w:pPr>
        <w:pStyle w:val="Heading6"/>
        <w:rPr/>
      </w:pPr>
      <w:bookmarkStart w:colFirst="0" w:colLast="0" w:name="_9oe8q6ddkc4o" w:id="10"/>
      <w:bookmarkEnd w:id="10"/>
      <w:r w:rsidDel="00000000" w:rsidR="00000000" w:rsidRPr="00000000">
        <w:rPr>
          <w:rtl w:val="0"/>
        </w:rPr>
        <w:t xml:space="preserve">3.3 Escalabilidade e Integração CI/CD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de Avaliação:</w:t>
      </w:r>
      <w:r w:rsidDel="00000000" w:rsidR="00000000" w:rsidRPr="00000000">
        <w:rPr>
          <w:rtl w:val="0"/>
        </w:rPr>
        <w:t xml:space="preserve">  A análise de políticas PaC não deve adicionar mais de 10 segundos ao tempo total de execução do pipeline.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via API/Webhooks:</w:t>
      </w:r>
      <w:r w:rsidDel="00000000" w:rsidR="00000000" w:rsidRPr="00000000">
        <w:rPr>
          <w:rtl w:val="0"/>
        </w:rPr>
        <w:t xml:space="preserve">  Conectividade nativa com GitHub Actions, GitLab CI e Jenkins para automação de gatekeeping.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13jrgbu7ihb" w:id="11"/>
      <w:bookmarkEnd w:id="11"/>
      <w:r w:rsidDel="00000000" w:rsidR="00000000" w:rsidRPr="00000000">
        <w:rPr>
          <w:rtl w:val="0"/>
        </w:rPr>
        <w:t xml:space="preserve">4. Casos de Uso Estratégicos</w:t>
      </w:r>
    </w:p>
    <w:p w:rsidR="00000000" w:rsidDel="00000000" w:rsidP="00000000" w:rsidRDefault="00000000" w:rsidRPr="00000000" w14:paraId="00000026">
      <w:pPr>
        <w:pStyle w:val="Heading6"/>
        <w:rPr/>
      </w:pPr>
      <w:bookmarkStart w:colFirst="0" w:colLast="0" w:name="_xyu7ykgixdep" w:id="12"/>
      <w:bookmarkEnd w:id="12"/>
      <w:r w:rsidDel="00000000" w:rsidR="00000000" w:rsidRPr="00000000">
        <w:rPr>
          <w:rtl w:val="0"/>
        </w:rPr>
        <w:t xml:space="preserve">4.1 Prevenção de Destruição por Erro de Operação (Rookie Developer)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Um desenvolvedor, por falha de contexto, tenta aplicar um plano que resultaria na deleção de um banco de dados RDS em produção.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  <w:t xml:space="preserve">  terraform plan -&gt; Conversão JSON -&gt; Motor OPA detecta violação da regra rds_deletion_protection -&gt; Deploy bloqueado com erro 403 e mensagem explicativa sobre o risco.</w:t>
      </w:r>
    </w:p>
    <w:p w:rsidR="00000000" w:rsidDel="00000000" w:rsidP="00000000" w:rsidRDefault="00000000" w:rsidRPr="00000000" w14:paraId="00000029">
      <w:pPr>
        <w:pStyle w:val="Heading6"/>
        <w:rPr/>
      </w:pPr>
      <w:bookmarkStart w:colFirst="0" w:colLast="0" w:name="_azq1yric3pgr" w:id="13"/>
      <w:bookmarkEnd w:id="13"/>
      <w:r w:rsidDel="00000000" w:rsidR="00000000" w:rsidRPr="00000000">
        <w:rPr>
          <w:rtl w:val="0"/>
        </w:rPr>
        <w:t xml:space="preserve">4.2 Governança de Tags e FinOps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Implementação de regras para evitar custos descontrolados e "recursos fantasmagóricos".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  <w:t xml:space="preserve">  O motor de políticas rejeita qualquer recurso (EC2, S3, CloudSQL) que não possua as tags obrigatórias Cost_Center e Owner. Isso garante a atribuição correta de custos e evita que recursos órfãos permaneçam gerando gastos.</w:t>
      </w:r>
    </w:p>
    <w:p w:rsidR="00000000" w:rsidDel="00000000" w:rsidP="00000000" w:rsidRDefault="00000000" w:rsidRPr="00000000" w14:paraId="0000002C">
      <w:pPr>
        <w:pStyle w:val="Heading6"/>
        <w:rPr/>
      </w:pPr>
      <w:bookmarkStart w:colFirst="0" w:colLast="0" w:name="_uwx2mfj8ttq4" w:id="14"/>
      <w:bookmarkEnd w:id="14"/>
      <w:r w:rsidDel="00000000" w:rsidR="00000000" w:rsidRPr="00000000">
        <w:rPr>
          <w:rtl w:val="0"/>
        </w:rPr>
        <w:t xml:space="preserve">4.3 Auditoria de Rede Pré-Deployment (Security Shift-Left)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Identificação de configurações de rede inseguras antes do provisionamento.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  <w:t xml:space="preserve">  A plataforma detecta uma regra de Security Group abrindo a porta 80 para 0.0.0.0/0. O sistema sinaliza a vulnerabilidade como "Crítica", bloqueia o commit e fornece o link para a documentação interna de padrões de segurança.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liy17j4folr9" w:id="15"/>
      <w:bookmarkEnd w:id="15"/>
      <w:r w:rsidDel="00000000" w:rsidR="00000000" w:rsidRPr="00000000">
        <w:rPr>
          <w:rtl w:val="0"/>
        </w:rPr>
        <w:t xml:space="preserve">5. Métricas de Sucesso e KPIs de Risco Operacional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medição do sucesso deve seguir três critérios fundamentais:  </w:t>
      </w:r>
      <w:r w:rsidDel="00000000" w:rsidR="00000000" w:rsidRPr="00000000">
        <w:rPr>
          <w:b w:val="1"/>
          <w:bCs w:val="1"/>
          <w:rtl w:val="0"/>
        </w:rPr>
        <w:t xml:space="preserve">Alinhamento</w:t>
      </w:r>
      <w:r w:rsidDel="00000000" w:rsidR="00000000" w:rsidRPr="00000000">
        <w:rPr>
          <w:rtl w:val="0"/>
        </w:rPr>
        <w:t xml:space="preserve">  (com os riscos críticos do negócio),  </w:t>
      </w:r>
      <w:r w:rsidDel="00000000" w:rsidR="00000000" w:rsidRPr="00000000">
        <w:rPr>
          <w:b w:val="1"/>
          <w:bCs w:val="1"/>
          <w:rtl w:val="0"/>
        </w:rPr>
        <w:t xml:space="preserve">Influência</w:t>
      </w:r>
      <w:r w:rsidDel="00000000" w:rsidR="00000000" w:rsidRPr="00000000">
        <w:rPr>
          <w:rtl w:val="0"/>
        </w:rPr>
        <w:t xml:space="preserve">  (capacidade de ação da equipe) e  </w:t>
      </w:r>
      <w:r w:rsidDel="00000000" w:rsidR="00000000" w:rsidRPr="00000000">
        <w:rPr>
          <w:b w:val="1"/>
          <w:bCs w:val="1"/>
          <w:rtl w:val="0"/>
        </w:rPr>
        <w:t xml:space="preserve">Viabilidade</w:t>
      </w:r>
      <w:r w:rsidDel="00000000" w:rsidR="00000000" w:rsidRPr="00000000">
        <w:rPr>
          <w:rtl w:val="0"/>
        </w:rPr>
        <w:t xml:space="preserve">  (coleta automatizada de dados).</w:t>
      </w:r>
    </w:p>
    <w:p w:rsidR="00000000" w:rsidDel="00000000" w:rsidP="00000000" w:rsidRDefault="00000000" w:rsidRPr="00000000" w14:paraId="00000031">
      <w:pPr>
        <w:pStyle w:val="Heading6"/>
        <w:rPr/>
      </w:pPr>
      <w:bookmarkStart w:colFirst="0" w:colLast="0" w:name="_giltkrtexkvu" w:id="16"/>
      <w:bookmarkEnd w:id="16"/>
      <w:r w:rsidDel="00000000" w:rsidR="00000000" w:rsidRPr="00000000">
        <w:rPr>
          <w:rtl w:val="0"/>
        </w:rPr>
        <w:t xml:space="preserve">Estrutura de KPIs (4 Pilares):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Exposição:</w:t>
      </w:r>
      <w:r w:rsidDel="00000000" w:rsidR="00000000" w:rsidRPr="00000000">
        <w:rPr>
          <w:rtl w:val="0"/>
        </w:rPr>
        <w:t xml:space="preserve">  Tempo médio de vida de uma vulnerabilidade de IaC (tempo entre o commit inseguro e sua correção).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Eficácia:</w:t>
      </w:r>
      <w:r w:rsidDel="00000000" w:rsidR="00000000" w:rsidRPr="00000000">
        <w:rPr>
          <w:rtl w:val="0"/>
        </w:rPr>
        <w:t xml:space="preserve">  Taxa de conformidade no primeiro deploy (porcentagem de planos que passam sem violações).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Resiliência:</w:t>
      </w:r>
      <w:r w:rsidDel="00000000" w:rsidR="00000000" w:rsidRPr="00000000">
        <w:rPr>
          <w:rtl w:val="0"/>
        </w:rPr>
        <w:t xml:space="preserve">  MTTD (Mean Time to Detect) para Drift de configuração manual.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 Redução do downtime não planejado derivado de misconfigurations.</w:t>
      </w:r>
    </w:p>
    <w:p w:rsidR="00000000" w:rsidDel="00000000" w:rsidP="00000000" w:rsidRDefault="00000000" w:rsidRPr="00000000" w14:paraId="00000036">
      <w:pPr>
        <w:pStyle w:val="Heading6"/>
        <w:rPr/>
      </w:pPr>
      <w:bookmarkStart w:colFirst="0" w:colLast="0" w:name="_5ngyprqwuq8y" w:id="17"/>
      <w:bookmarkEnd w:id="17"/>
      <w:r w:rsidDel="00000000" w:rsidR="00000000" w:rsidRPr="00000000">
        <w:rPr>
          <w:rtl w:val="0"/>
        </w:rPr>
        <w:t xml:space="preserve">Dashboard de Segurança (Visualização Top-Down):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Executivo (C-Level):</w:t>
      </w:r>
      <w:r w:rsidDel="00000000" w:rsidR="00000000" w:rsidRPr="00000000">
        <w:rPr>
          <w:rtl w:val="0"/>
        </w:rPr>
        <w:t xml:space="preserve">  Mapas de calor de risco e impacto financeiro da não conformidade.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Gerencial (Tático):</w:t>
      </w:r>
      <w:r w:rsidDel="00000000" w:rsidR="00000000" w:rsidRPr="00000000">
        <w:rPr>
          <w:rtl w:val="0"/>
        </w:rPr>
        <w:t xml:space="preserve">  Tendências de conformidade por time, métricas de MTTR e eficácia dos controles.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Técnico (Operacional):</w:t>
      </w:r>
      <w:r w:rsidDel="00000000" w:rsidR="00000000" w:rsidRPr="00000000">
        <w:rPr>
          <w:rtl w:val="0"/>
        </w:rPr>
        <w:t xml:space="preserve">  Logs brutos de violações, status de remediações pendentes e integração com tickets de service desk.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p0mwdysshz7" w:id="18"/>
      <w:bookmarkEnd w:id="18"/>
      <w:r w:rsidDel="00000000" w:rsidR="00000000" w:rsidRPr="00000000">
        <w:rPr>
          <w:rtl w:val="0"/>
        </w:rPr>
        <w:t xml:space="preserve">6. Conclusão e Próximos Passos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plataforma de gestão de IaC é o componente que preenche a lacuna de governança deixada pelas ferramentas declarativas puras. Ao adotar o motor OPA e os frameworks NIST SP 800-53 Rev. 5, a organização estabelece uma base de "Cyber Resilience" capaz de mitigar o erro humano — o vetor de 95% das violações.</w:t>
      </w:r>
      <w:r w:rsidDel="00000000" w:rsidR="00000000" w:rsidRPr="00000000">
        <w:rPr>
          <w:b w:val="1"/>
          <w:bCs w:val="1"/>
          <w:rtl w:val="0"/>
        </w:rPr>
        <w:t xml:space="preserve">Ações Imediatas: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o motor OPA nos pipelines de CI/CD de produção.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o inventário de ativos para identificação imediata de drifts e recursos órfãos.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Estabelecer o Dashboard de Riscos alinhado ao "Top 5 Risk Map" da organização.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