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32"/>
        </w:rPr>
        <w:t>PROJECT REPORT</w:t>
      </w:r>
    </w:p>
    <w:p>
      <w:pPr>
        <w:jc w:val="center"/>
      </w:pPr>
      <w:r>
        <w:rPr>
          <w:b/>
          <w:sz w:val="56"/>
        </w:rPr>
        <w:t>Restaurant Sales Intelligence</w:t>
        <w:br/>
        <w:t>&amp; Demand Forecasting</w:t>
      </w:r>
    </w:p>
    <w:p>
      <w:pPr>
        <w:jc w:val="center"/>
      </w:pPr>
      <w:r>
        <w:rPr>
          <w:i/>
        </w:rPr>
        <w:br/>
        <w:t>An End-to-End Data Science, Machine Learning</w:t>
        <w:br/>
        <w:t>and Business Intelligence Project</w:t>
      </w:r>
    </w:p>
    <w:p>
      <w:pPr>
        <w:jc w:val="center"/>
      </w:pPr>
      <w:r>
        <w:rPr>
          <w:b/>
        </w:rPr>
        <w:br/>
        <w:br/>
        <w:t>Prepared by</w:t>
        <w:br/>
        <w:t>Yash Srivastav</w:t>
      </w:r>
      <w:r>
        <w:br/>
        <w:br/>
        <w:t>Live Dashboard:</w:t>
        <w:br/>
        <w:t>https://restaurant-sales-intelligence-13.streamlit.app/</w:t>
      </w:r>
      <w:r>
        <w:br/>
        <w:br/>
        <w:t>GitHub:</w:t>
        <w:br/>
        <w:t>https://github.com/4kayasitayashu/restaurant-sales-intelligence</w:t>
      </w:r>
    </w:p>
    <w:p>
      <w:r>
        <w:br w:type="page"/>
      </w:r>
    </w:p>
    <w:p>
      <w:pPr>
        <w:pStyle w:val="Heading1"/>
      </w:pPr>
      <w:r>
        <w:t>1. Executive Summary</w:t>
      </w:r>
    </w:p>
    <w:p>
      <w:r>
        <w:t>Restaurant Sales Intelligence &amp; Demand Forecasting is an end-to-end Data Science project designed to convert historical restaurant transaction data into useful business insights and future demand predictions. The project combines data cleaning, feature engineering, exploratory data analysis, product and outlet analytics, machine learning and an interactive Streamlit dashboard.</w:t>
      </w:r>
    </w:p>
    <w:p>
      <w:r>
        <w:t>The system uses 53,820 restaurant transactions covering January to September 2025 across three outlets and 96 products. After processing the transaction-level data, an item-level analytical dataset was created with 61,973 matched product rows. A leakage-safe forecasting dataset was then built at daily outlet level.</w:t>
      </w:r>
    </w:p>
    <w:p>
      <w:r>
        <w:t>Four forecasting approaches were compared. HistGradientBoosting produced the lowest MAE of 6.45 orders per outlet-day and WAPE of 10.31% on the chronological holdout period. The selected model was used to generate a 14-day future demand forecast. The final results are exposed through a deployed Streamlit dashboard.</w:t>
      </w:r>
    </w:p>
    <w:p>
      <w:pPr>
        <w:pStyle w:val="Heading1"/>
      </w:pPr>
      <w:r>
        <w:t>2. Problem Statement</w:t>
      </w:r>
    </w:p>
    <w:p>
      <w:r>
        <w:t>Restaurants generate large amounts of transaction data, but raw sales records alone do not directly answer important management questions. A restaurant needs to understand sales performance, product demand, outlet performance and demand patterns before making operational decisions.</w:t>
      </w:r>
    </w:p>
    <w:p>
      <w:r>
        <w:t>The project therefore addresses the following problem: how can historical restaurant transaction data be cleaned, analyzed and transformed into reliable demand forecasts and simple business insights through an easy-to-use dashboard?</w:t>
      </w:r>
    </w:p>
    <w:p>
      <w:pPr>
        <w:pStyle w:val="Heading1"/>
      </w:pPr>
      <w:r>
        <w:t>3. Objectives</w:t>
      </w:r>
    </w:p>
    <w:p>
      <w:pPr>
        <w:pStyle w:val="ListBullet"/>
      </w:pPr>
      <w:r>
        <w:t>Clean and validate restaurant transaction data.</w:t>
      </w:r>
    </w:p>
    <w:p>
      <w:pPr>
        <w:pStyle w:val="ListBullet"/>
      </w:pPr>
      <w:r>
        <w:t>Create useful time and business features from raw transactions.</w:t>
      </w:r>
    </w:p>
    <w:p>
      <w:pPr>
        <w:pStyle w:val="ListBullet"/>
      </w:pPr>
      <w:r>
        <w:t>Analyze revenue, orders, items, products, categories, outlets and demand timing.</w:t>
      </w:r>
    </w:p>
    <w:p>
      <w:pPr>
        <w:pStyle w:val="ListBullet"/>
      </w:pPr>
      <w:r>
        <w:t>Convert multi-item transaction records into an item-level analytical dataset.</w:t>
      </w:r>
    </w:p>
    <w:p>
      <w:pPr>
        <w:pStyle w:val="ListBullet"/>
      </w:pPr>
      <w:r>
        <w:t>Build a leakage-safe daily demand forecasting dataset.</w:t>
      </w:r>
    </w:p>
    <w:p>
      <w:pPr>
        <w:pStyle w:val="ListBullet"/>
      </w:pPr>
      <w:r>
        <w:t>Compare baseline and machine learning forecasting models.</w:t>
      </w:r>
    </w:p>
    <w:p>
      <w:pPr>
        <w:pStyle w:val="ListBullet"/>
      </w:pPr>
      <w:r>
        <w:t>Generate a 14-day future demand forecast for each outlet.</w:t>
      </w:r>
    </w:p>
    <w:p>
      <w:pPr>
        <w:pStyle w:val="ListBullet"/>
      </w:pPr>
      <w:r>
        <w:t>Translate model outputs into understandable operational signals.</w:t>
      </w:r>
    </w:p>
    <w:p>
      <w:pPr>
        <w:pStyle w:val="ListBullet"/>
      </w:pPr>
      <w:r>
        <w:t>Build and deploy an interactive dashboard for non-technical users.</w:t>
      </w:r>
    </w:p>
    <w:p>
      <w:pPr>
        <w:pStyle w:val="Heading1"/>
      </w:pPr>
      <w:r>
        <w:t>4. Dataset Description</w:t>
      </w:r>
    </w:p>
    <w:p>
      <w:r>
        <w:t>The project uses the Anonymous F&amp;B POS Dataset (Mendeley Data, Version 2), a real-world food and beverage transaction dataset. The source contains transaction and product catalog information.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Dataset Component</w:t>
            </w:r>
          </w:p>
        </w:tc>
        <w:tc>
          <w:tcPr>
            <w:tcW w:type="dxa" w:w="4968"/>
            <w:vAlign w:val="center"/>
            <w:shd w:fill="D9EAF7"/>
          </w:tcPr>
          <w:p>
            <w:r/>
            <w:r>
              <w:rPr>
                <w:b/>
                <w:sz w:val="18"/>
              </w:rPr>
              <w:t>Details</w:t>
            </w:r>
          </w:p>
        </w:tc>
      </w:tr>
      <w:tr>
        <w:tc>
          <w:tcPr>
            <w:tcW w:type="dxa" w:w="4968"/>
            <w:vAlign w:val="center"/>
          </w:tcPr>
          <w:p>
            <w:r/>
            <w:r>
              <w:rPr>
                <w:b w:val="0"/>
                <w:sz w:val="18"/>
              </w:rPr>
              <w:t>Transactions</w:t>
            </w:r>
          </w:p>
        </w:tc>
        <w:tc>
          <w:tcPr>
            <w:tcW w:type="dxa" w:w="4968"/>
            <w:vAlign w:val="center"/>
          </w:tcPr>
          <w:p>
            <w:r/>
            <w:r>
              <w:rPr>
                <w:b w:val="0"/>
                <w:sz w:val="18"/>
              </w:rPr>
              <w:t>53,820 transaction records</w:t>
            </w:r>
          </w:p>
        </w:tc>
      </w:tr>
      <w:tr>
        <w:tc>
          <w:tcPr>
            <w:tcW w:type="dxa" w:w="4968"/>
            <w:vAlign w:val="center"/>
          </w:tcPr>
          <w:p>
            <w:r/>
            <w:r>
              <w:rPr>
                <w:b w:val="0"/>
                <w:sz w:val="18"/>
              </w:rPr>
              <w:t>Products</w:t>
            </w:r>
          </w:p>
        </w:tc>
        <w:tc>
          <w:tcPr>
            <w:tcW w:type="dxa" w:w="4968"/>
            <w:vAlign w:val="center"/>
          </w:tcPr>
          <w:p>
            <w:r/>
            <w:r>
              <w:rPr>
                <w:b w:val="0"/>
                <w:sz w:val="18"/>
              </w:rPr>
              <w:t>96 product catalog records</w:t>
            </w:r>
          </w:p>
        </w:tc>
      </w:tr>
      <w:tr>
        <w:tc>
          <w:tcPr>
            <w:tcW w:type="dxa" w:w="4968"/>
            <w:vAlign w:val="center"/>
          </w:tcPr>
          <w:p>
            <w:r/>
            <w:r>
              <w:rPr>
                <w:b w:val="0"/>
                <w:sz w:val="18"/>
              </w:rPr>
              <w:t>Outlets</w:t>
            </w:r>
          </w:p>
        </w:tc>
        <w:tc>
          <w:tcPr>
            <w:tcW w:type="dxa" w:w="4968"/>
            <w:vAlign w:val="center"/>
          </w:tcPr>
          <w:p>
            <w:r/>
            <w:r>
              <w:rPr>
                <w:b w:val="0"/>
                <w:sz w:val="18"/>
              </w:rPr>
              <w:t>3 outlets</w:t>
            </w:r>
          </w:p>
        </w:tc>
      </w:tr>
      <w:tr>
        <w:tc>
          <w:tcPr>
            <w:tcW w:type="dxa" w:w="4968"/>
            <w:vAlign w:val="center"/>
          </w:tcPr>
          <w:p>
            <w:r/>
            <w:r>
              <w:rPr>
                <w:b w:val="0"/>
                <w:sz w:val="18"/>
              </w:rPr>
              <w:t>Time period</w:t>
            </w:r>
          </w:p>
        </w:tc>
        <w:tc>
          <w:tcPr>
            <w:tcW w:type="dxa" w:w="4968"/>
            <w:vAlign w:val="center"/>
          </w:tcPr>
          <w:p>
            <w:r/>
            <w:r>
              <w:rPr>
                <w:b w:val="0"/>
                <w:sz w:val="18"/>
              </w:rPr>
              <w:t>January 2025 to September 2025</w:t>
            </w:r>
          </w:p>
        </w:tc>
      </w:tr>
      <w:tr>
        <w:tc>
          <w:tcPr>
            <w:tcW w:type="dxa" w:w="4968"/>
            <w:vAlign w:val="center"/>
          </w:tcPr>
          <w:p>
            <w:r/>
            <w:r>
              <w:rPr>
                <w:b w:val="0"/>
                <w:sz w:val="18"/>
              </w:rPr>
              <w:t>Transaction fields</w:t>
            </w:r>
          </w:p>
        </w:tc>
        <w:tc>
          <w:tcPr>
            <w:tcW w:type="dxa" w:w="4968"/>
            <w:vAlign w:val="center"/>
          </w:tcPr>
          <w:p>
            <w:r/>
            <w:r>
              <w:rPr>
                <w:b w:val="0"/>
                <w:sz w:val="18"/>
              </w:rPr>
              <w:t>Outlet, Date, Time, NetSales, Tax, TotalAmount, ReceiptNumber, Items, TotalItem, PaymentMethod, UseLoyaltyCard</w:t>
            </w:r>
          </w:p>
        </w:tc>
      </w:tr>
      <w:tr>
        <w:tc>
          <w:tcPr>
            <w:tcW w:type="dxa" w:w="4968"/>
            <w:vAlign w:val="center"/>
          </w:tcPr>
          <w:p>
            <w:r/>
            <w:r>
              <w:rPr>
                <w:b w:val="0"/>
                <w:sz w:val="18"/>
              </w:rPr>
              <w:t>Customer IDs</w:t>
            </w:r>
          </w:p>
        </w:tc>
        <w:tc>
          <w:tcPr>
            <w:tcW w:type="dxa" w:w="4968"/>
            <w:vAlign w:val="center"/>
          </w:tcPr>
          <w:p>
            <w:r/>
            <w:r>
              <w:rPr>
                <w:b w:val="0"/>
                <w:sz w:val="18"/>
              </w:rPr>
              <w:t>Not available; customer-level RFM analysis was not invented</w:t>
            </w:r>
          </w:p>
        </w:tc>
      </w:tr>
    </w:tbl>
    <w:p/>
    <w:p>
      <w:r>
        <w:t>Source: Mendeley Data — https://data.mendeley.com/datasets/kcgf45y24m/2</w:t>
      </w:r>
    </w:p>
    <w:p>
      <w:pPr>
        <w:pStyle w:val="Heading1"/>
      </w:pPr>
      <w:r>
        <w:t>5.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Technology</w:t>
            </w:r>
          </w:p>
        </w:tc>
        <w:tc>
          <w:tcPr>
            <w:tcW w:type="dxa" w:w="4968"/>
            <w:vAlign w:val="center"/>
            <w:shd w:fill="D9EAF7"/>
          </w:tcPr>
          <w:p>
            <w:r/>
            <w:r>
              <w:rPr>
                <w:b/>
                <w:sz w:val="18"/>
              </w:rPr>
              <w:t>Purpose</w:t>
            </w:r>
          </w:p>
        </w:tc>
      </w:tr>
      <w:tr>
        <w:tc>
          <w:tcPr>
            <w:tcW w:type="dxa" w:w="4968"/>
            <w:vAlign w:val="center"/>
          </w:tcPr>
          <w:p>
            <w:r/>
            <w:r>
              <w:rPr>
                <w:b w:val="0"/>
                <w:sz w:val="18"/>
              </w:rPr>
              <w:t>Python</w:t>
            </w:r>
          </w:p>
        </w:tc>
        <w:tc>
          <w:tcPr>
            <w:tcW w:type="dxa" w:w="4968"/>
            <w:vAlign w:val="center"/>
          </w:tcPr>
          <w:p>
            <w:r/>
            <w:r>
              <w:rPr>
                <w:b w:val="0"/>
                <w:sz w:val="18"/>
              </w:rPr>
              <w:t>Core programming and data science</w:t>
            </w:r>
          </w:p>
        </w:tc>
      </w:tr>
      <w:tr>
        <w:tc>
          <w:tcPr>
            <w:tcW w:type="dxa" w:w="4968"/>
            <w:vAlign w:val="center"/>
          </w:tcPr>
          <w:p>
            <w:r/>
            <w:r>
              <w:rPr>
                <w:b w:val="0"/>
                <w:sz w:val="18"/>
              </w:rPr>
              <w:t>Pandas</w:t>
            </w:r>
          </w:p>
        </w:tc>
        <w:tc>
          <w:tcPr>
            <w:tcW w:type="dxa" w:w="4968"/>
            <w:vAlign w:val="center"/>
          </w:tcPr>
          <w:p>
            <w:r/>
            <w:r>
              <w:rPr>
                <w:b w:val="0"/>
                <w:sz w:val="18"/>
              </w:rPr>
              <w:t>Data cleaning and analysis</w:t>
            </w:r>
          </w:p>
        </w:tc>
      </w:tr>
      <w:tr>
        <w:tc>
          <w:tcPr>
            <w:tcW w:type="dxa" w:w="4968"/>
            <w:vAlign w:val="center"/>
          </w:tcPr>
          <w:p>
            <w:r/>
            <w:r>
              <w:rPr>
                <w:b w:val="0"/>
                <w:sz w:val="18"/>
              </w:rPr>
              <w:t>NumPy</w:t>
            </w:r>
          </w:p>
        </w:tc>
        <w:tc>
          <w:tcPr>
            <w:tcW w:type="dxa" w:w="4968"/>
            <w:vAlign w:val="center"/>
          </w:tcPr>
          <w:p>
            <w:r/>
            <w:r>
              <w:rPr>
                <w:b w:val="0"/>
                <w:sz w:val="18"/>
              </w:rPr>
              <w:t>Numerical operations</w:t>
            </w:r>
          </w:p>
        </w:tc>
      </w:tr>
      <w:tr>
        <w:tc>
          <w:tcPr>
            <w:tcW w:type="dxa" w:w="4968"/>
            <w:vAlign w:val="center"/>
          </w:tcPr>
          <w:p>
            <w:r/>
            <w:r>
              <w:rPr>
                <w:b w:val="0"/>
                <w:sz w:val="18"/>
              </w:rPr>
              <w:t>Scikit-learn</w:t>
            </w:r>
          </w:p>
        </w:tc>
        <w:tc>
          <w:tcPr>
            <w:tcW w:type="dxa" w:w="4968"/>
            <w:vAlign w:val="center"/>
          </w:tcPr>
          <w:p>
            <w:r/>
            <w:r>
              <w:rPr>
                <w:b w:val="0"/>
                <w:sz w:val="18"/>
              </w:rPr>
              <w:t>Machine learning and model evaluation</w:t>
            </w:r>
          </w:p>
        </w:tc>
      </w:tr>
      <w:tr>
        <w:tc>
          <w:tcPr>
            <w:tcW w:type="dxa" w:w="4968"/>
            <w:vAlign w:val="center"/>
          </w:tcPr>
          <w:p>
            <w:r/>
            <w:r>
              <w:rPr>
                <w:b w:val="0"/>
                <w:sz w:val="18"/>
              </w:rPr>
              <w:t>Plotly</w:t>
            </w:r>
          </w:p>
        </w:tc>
        <w:tc>
          <w:tcPr>
            <w:tcW w:type="dxa" w:w="4968"/>
            <w:vAlign w:val="center"/>
          </w:tcPr>
          <w:p>
            <w:r/>
            <w:r>
              <w:rPr>
                <w:b w:val="0"/>
                <w:sz w:val="18"/>
              </w:rPr>
              <w:t>Interactive visualizations</w:t>
            </w:r>
          </w:p>
        </w:tc>
      </w:tr>
      <w:tr>
        <w:tc>
          <w:tcPr>
            <w:tcW w:type="dxa" w:w="4968"/>
            <w:vAlign w:val="center"/>
          </w:tcPr>
          <w:p>
            <w:r/>
            <w:r>
              <w:rPr>
                <w:b w:val="0"/>
                <w:sz w:val="18"/>
              </w:rPr>
              <w:t>Streamlit</w:t>
            </w:r>
          </w:p>
        </w:tc>
        <w:tc>
          <w:tcPr>
            <w:tcW w:type="dxa" w:w="4968"/>
            <w:vAlign w:val="center"/>
          </w:tcPr>
          <w:p>
            <w:r/>
            <w:r>
              <w:rPr>
                <w:b w:val="0"/>
                <w:sz w:val="18"/>
              </w:rPr>
              <w:t>Interactive web dashboard</w:t>
            </w:r>
          </w:p>
        </w:tc>
      </w:tr>
      <w:tr>
        <w:tc>
          <w:tcPr>
            <w:tcW w:type="dxa" w:w="4968"/>
            <w:vAlign w:val="center"/>
          </w:tcPr>
          <w:p>
            <w:r/>
            <w:r>
              <w:rPr>
                <w:b w:val="0"/>
                <w:sz w:val="18"/>
              </w:rPr>
              <w:t>Git &amp; GitHub</w:t>
            </w:r>
          </w:p>
        </w:tc>
        <w:tc>
          <w:tcPr>
            <w:tcW w:type="dxa" w:w="4968"/>
            <w:vAlign w:val="center"/>
          </w:tcPr>
          <w:p>
            <w:r/>
            <w:r>
              <w:rPr>
                <w:b w:val="0"/>
                <w:sz w:val="18"/>
              </w:rPr>
              <w:t>Version control and project hosting</w:t>
            </w:r>
          </w:p>
        </w:tc>
      </w:tr>
      <w:tr>
        <w:tc>
          <w:tcPr>
            <w:tcW w:type="dxa" w:w="4968"/>
            <w:vAlign w:val="center"/>
          </w:tcPr>
          <w:p>
            <w:r/>
            <w:r>
              <w:rPr>
                <w:b w:val="0"/>
                <w:sz w:val="18"/>
              </w:rPr>
              <w:t>Streamlit Community Cloud</w:t>
            </w:r>
          </w:p>
        </w:tc>
        <w:tc>
          <w:tcPr>
            <w:tcW w:type="dxa" w:w="4968"/>
            <w:vAlign w:val="center"/>
          </w:tcPr>
          <w:p>
            <w:r/>
            <w:r>
              <w:rPr>
                <w:b w:val="0"/>
                <w:sz w:val="18"/>
              </w:rPr>
              <w:t>Cloud deployment</w:t>
            </w:r>
          </w:p>
        </w:tc>
      </w:tr>
    </w:tbl>
    <w:p/>
    <w:p>
      <w:pPr>
        <w:pStyle w:val="Heading1"/>
      </w:pPr>
      <w:r>
        <w:t>6. Project Architecture</w:t>
      </w:r>
    </w:p>
    <w:p>
      <w:r>
        <w:t>The complete workflow follows a structured data-to-decision pipeline:</w:t>
      </w:r>
    </w:p>
    <w:p>
      <w:pPr>
        <w:jc w:val="center"/>
      </w:pPr>
      <w:r>
        <w:rPr>
          <w:b/>
        </w:rPr>
        <w:t>RAW DATA</w:t>
        <w:br/>
        <w:t>↓</w:t>
        <w:br/>
        <w:t>DATA CLEANING</w:t>
        <w:br/>
        <w:t>↓</w:t>
        <w:br/>
        <w:t>FEATURE ENGINEERING</w:t>
        <w:br/>
        <w:t>↓</w:t>
        <w:br/>
        <w:t>EDA</w:t>
        <w:br/>
        <w:t>↓</w:t>
        <w:br/>
        <w:t>ITEM-LEVEL PARSING</w:t>
        <w:br/>
        <w:t>↓</w:t>
        <w:br/>
        <w:t>PRODUCT &amp; CATEGORY ANALYTICS</w:t>
        <w:br/>
        <w:t>↓</w:t>
        <w:br/>
        <w:t>FORECASTING DATASET</w:t>
        <w:br/>
        <w:t>↓</w:t>
        <w:br/>
        <w:t>MODEL COMPARISON</w:t>
        <w:br/>
        <w:t>↓</w:t>
        <w:br/>
        <w:t>BEST MODEL</w:t>
        <w:br/>
        <w:t>↓</w:t>
        <w:br/>
        <w:t>14-DAY FORECAST</w:t>
        <w:br/>
        <w:t>↓</w:t>
        <w:br/>
        <w:t>BUSINESS DECISION LAYER</w:t>
        <w:br/>
        <w:t>↓</w:t>
        <w:br/>
        <w:t>STREAMLIT DASHBOARD</w:t>
        <w:br/>
        <w:t>↓</w:t>
        <w:br/>
        <w:t>CLOUD DEPLOYMENT</w:t>
      </w:r>
    </w:p>
    <w:p>
      <w:pPr>
        <w:pStyle w:val="Heading1"/>
      </w:pPr>
      <w:r>
        <w:t>7. Data Cleaning and Feature Engineering</w:t>
      </w:r>
    </w:p>
    <w:p>
      <w:r>
        <w:t>The raw transaction data was processed without modifying the original source files. Text fields were cleaned, dates and times were combined into a DateTime field, numeric fields were converted to appropriate types, and invalid records were removed only when required.</w:t>
      </w:r>
    </w:p>
    <w:p>
      <w:r>
        <w:t>Important engineered features include:</w:t>
      </w:r>
    </w:p>
    <w:p>
      <w:pPr>
        <w:pStyle w:val="ListBullet"/>
      </w:pPr>
      <w:r>
        <w:t>Year, Month, Month Name and Quarter</w:t>
      </w:r>
    </w:p>
    <w:p>
      <w:pPr>
        <w:pStyle w:val="ListBullet"/>
      </w:pPr>
      <w:r>
        <w:t>Day, Day of Week and Day Name</w:t>
      </w:r>
    </w:p>
    <w:p>
      <w:pPr>
        <w:pStyle w:val="ListBullet"/>
      </w:pPr>
      <w:r>
        <w:t>Week of Year and Week of Month</w:t>
      </w:r>
    </w:p>
    <w:p>
      <w:pPr>
        <w:pStyle w:val="ListBullet"/>
      </w:pPr>
      <w:r>
        <w:t>Weekend indicator</w:t>
      </w:r>
    </w:p>
    <w:p>
      <w:pPr>
        <w:pStyle w:val="ListBullet"/>
      </w:pPr>
      <w:r>
        <w:t>Hour and Minute</w:t>
      </w:r>
    </w:p>
    <w:p>
      <w:pPr>
        <w:pStyle w:val="ListBullet"/>
      </w:pPr>
      <w:r>
        <w:t>Time Period such as Morning, Lunch, Afternoon, Evening and Night</w:t>
      </w:r>
    </w:p>
    <w:p>
      <w:pPr>
        <w:pStyle w:val="ListBullet"/>
      </w:pPr>
      <w:r>
        <w:t>Revenue and Net Revenue</w:t>
      </w:r>
    </w:p>
    <w:p>
      <w:pPr>
        <w:pStyle w:val="ListBullet"/>
      </w:pPr>
      <w:r>
        <w:t>Tax Amount</w:t>
      </w:r>
    </w:p>
    <w:p>
      <w:pPr>
        <w:pStyle w:val="ListBullet"/>
      </w:pPr>
      <w:r>
        <w:t>Revenue per Item</w:t>
      </w:r>
    </w:p>
    <w:p>
      <w:pPr>
        <w:pStyle w:val="ListBullet"/>
      </w:pPr>
      <w:r>
        <w:t>Loyalty Customer indicator</w:t>
      </w:r>
    </w:p>
    <w:p>
      <w:pPr>
        <w:pStyle w:val="ListBullet"/>
      </w:pPr>
      <w:r>
        <w:t>Parsed Item Count</w:t>
      </w:r>
    </w:p>
    <w:p>
      <w:r>
        <w:t>The processed transaction dataset contains 53,820 rows and 31 columns after the final pipeline.</w:t>
      </w:r>
    </w:p>
    <w:p>
      <w:pPr>
        <w:pStyle w:val="Heading1"/>
      </w:pPr>
      <w:r>
        <w:t>8. Item-Level Product Processing</w:t>
      </w:r>
    </w:p>
    <w:p>
      <w:r>
        <w:t>The source transaction table contains an Items field that can represent multiple products within one receipt. A product matching pipeline was developed using the product catalog. The pipeline matched all 61,973 parsed item rows with zero unmatched items and zero item-count mismatches.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Validation</w:t>
            </w:r>
          </w:p>
        </w:tc>
        <w:tc>
          <w:tcPr>
            <w:tcW w:type="dxa" w:w="4968"/>
            <w:vAlign w:val="center"/>
            <w:shd w:fill="D9EAF7"/>
          </w:tcPr>
          <w:p>
            <w:r/>
            <w:r>
              <w:rPr>
                <w:b/>
                <w:sz w:val="18"/>
              </w:rPr>
              <w:t>Result</w:t>
            </w:r>
          </w:p>
        </w:tc>
      </w:tr>
      <w:tr>
        <w:tc>
          <w:tcPr>
            <w:tcW w:type="dxa" w:w="4968"/>
            <w:vAlign w:val="center"/>
          </w:tcPr>
          <w:p>
            <w:r/>
            <w:r>
              <w:rPr>
                <w:b w:val="0"/>
                <w:sz w:val="18"/>
              </w:rPr>
              <w:t>Parsed item rows</w:t>
            </w:r>
          </w:p>
        </w:tc>
        <w:tc>
          <w:tcPr>
            <w:tcW w:type="dxa" w:w="4968"/>
            <w:vAlign w:val="center"/>
          </w:tcPr>
          <w:p>
            <w:r/>
            <w:r>
              <w:rPr>
                <w:b w:val="0"/>
                <w:sz w:val="18"/>
              </w:rPr>
              <w:t>61,973</w:t>
            </w:r>
          </w:p>
        </w:tc>
      </w:tr>
      <w:tr>
        <w:tc>
          <w:tcPr>
            <w:tcW w:type="dxa" w:w="4968"/>
            <w:vAlign w:val="center"/>
          </w:tcPr>
          <w:p>
            <w:r/>
            <w:r>
              <w:rPr>
                <w:b w:val="0"/>
                <w:sz w:val="18"/>
              </w:rPr>
              <w:t>Unmatched items</w:t>
            </w:r>
          </w:p>
        </w:tc>
        <w:tc>
          <w:tcPr>
            <w:tcW w:type="dxa" w:w="4968"/>
            <w:vAlign w:val="center"/>
          </w:tcPr>
          <w:p>
            <w:r/>
            <w:r>
              <w:rPr>
                <w:b w:val="0"/>
                <w:sz w:val="18"/>
              </w:rPr>
              <w:t>0</w:t>
            </w:r>
          </w:p>
        </w:tc>
      </w:tr>
      <w:tr>
        <w:tc>
          <w:tcPr>
            <w:tcW w:type="dxa" w:w="4968"/>
            <w:vAlign w:val="center"/>
          </w:tcPr>
          <w:p>
            <w:r/>
            <w:r>
              <w:rPr>
                <w:b w:val="0"/>
                <w:sz w:val="18"/>
              </w:rPr>
              <w:t>Item-count mismatches</w:t>
            </w:r>
          </w:p>
        </w:tc>
        <w:tc>
          <w:tcPr>
            <w:tcW w:type="dxa" w:w="4968"/>
            <w:vAlign w:val="center"/>
          </w:tcPr>
          <w:p>
            <w:r/>
            <w:r>
              <w:rPr>
                <w:b w:val="0"/>
                <w:sz w:val="18"/>
              </w:rPr>
              <w:t>0</w:t>
            </w:r>
          </w:p>
        </w:tc>
      </w:tr>
      <w:tr>
        <w:tc>
          <w:tcPr>
            <w:tcW w:type="dxa" w:w="4968"/>
            <w:vAlign w:val="center"/>
          </w:tcPr>
          <w:p>
            <w:r/>
            <w:r>
              <w:rPr>
                <w:b w:val="0"/>
                <w:sz w:val="18"/>
              </w:rPr>
              <w:t>Revenue coverage</w:t>
            </w:r>
          </w:p>
        </w:tc>
        <w:tc>
          <w:tcPr>
            <w:tcW w:type="dxa" w:w="4968"/>
            <w:vAlign w:val="center"/>
          </w:tcPr>
          <w:p>
            <w:r/>
            <w:r>
              <w:rPr>
                <w:b w:val="0"/>
                <w:sz w:val="18"/>
              </w:rPr>
              <w:t>100%</w:t>
            </w:r>
          </w:p>
        </w:tc>
      </w:tr>
      <w:tr>
        <w:tc>
          <w:tcPr>
            <w:tcW w:type="dxa" w:w="4968"/>
            <w:vAlign w:val="center"/>
          </w:tcPr>
          <w:p>
            <w:r/>
            <w:r>
              <w:rPr>
                <w:b w:val="0"/>
                <w:sz w:val="18"/>
              </w:rPr>
              <w:t>Unique analyzed products</w:t>
            </w:r>
          </w:p>
        </w:tc>
        <w:tc>
          <w:tcPr>
            <w:tcW w:type="dxa" w:w="4968"/>
            <w:vAlign w:val="center"/>
          </w:tcPr>
          <w:p>
            <w:r/>
            <w:r>
              <w:rPr>
                <w:b w:val="0"/>
                <w:sz w:val="18"/>
              </w:rPr>
              <w:t>94</w:t>
            </w:r>
          </w:p>
        </w:tc>
      </w:tr>
      <w:tr>
        <w:tc>
          <w:tcPr>
            <w:tcW w:type="dxa" w:w="4968"/>
            <w:vAlign w:val="center"/>
          </w:tcPr>
          <w:p>
            <w:r/>
            <w:r>
              <w:rPr>
                <w:b w:val="0"/>
                <w:sz w:val="18"/>
              </w:rPr>
              <w:t>Categories</w:t>
            </w:r>
          </w:p>
        </w:tc>
        <w:tc>
          <w:tcPr>
            <w:tcW w:type="dxa" w:w="4968"/>
            <w:vAlign w:val="center"/>
          </w:tcPr>
          <w:p>
            <w:r/>
            <w:r>
              <w:rPr>
                <w:b w:val="0"/>
                <w:sz w:val="18"/>
              </w:rPr>
              <w:t>6</w:t>
            </w:r>
          </w:p>
        </w:tc>
      </w:tr>
    </w:tbl>
    <w:p/>
    <w:p>
      <w:r>
        <w:t>Because the source does not provide a separate recorded revenue value for every product line, product revenue is analytically allocated from transaction-level revenue using catalog-price shares within each receipt. This distinction is documented in the dashboard.</w:t>
      </w:r>
    </w:p>
    <w:p>
      <w:pPr>
        <w:pStyle w:val="Heading1"/>
      </w:pPr>
      <w:r>
        <w:t>9. Exploratory and Business Analytics</w:t>
      </w:r>
    </w:p>
    <w:p>
      <w:r>
        <w:t>Key overall metrics from the processed dataset: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Metric</w:t>
            </w:r>
          </w:p>
        </w:tc>
        <w:tc>
          <w:tcPr>
            <w:tcW w:type="dxa" w:w="4968"/>
            <w:vAlign w:val="center"/>
            <w:shd w:fill="D9EAF7"/>
          </w:tcPr>
          <w:p>
            <w:r/>
            <w:r>
              <w:rPr>
                <w:b/>
                <w:sz w:val="18"/>
              </w:rPr>
              <w:t>Value</w:t>
            </w:r>
          </w:p>
        </w:tc>
      </w:tr>
      <w:tr>
        <w:tc>
          <w:tcPr>
            <w:tcW w:type="dxa" w:w="4968"/>
            <w:vAlign w:val="center"/>
          </w:tcPr>
          <w:p>
            <w:r/>
            <w:r>
              <w:rPr>
                <w:b w:val="0"/>
                <w:sz w:val="18"/>
              </w:rPr>
              <w:t>Total Revenue</w:t>
            </w:r>
          </w:p>
        </w:tc>
        <w:tc>
          <w:tcPr>
            <w:tcW w:type="dxa" w:w="4968"/>
            <w:vAlign w:val="center"/>
          </w:tcPr>
          <w:p>
            <w:r/>
            <w:r>
              <w:rPr>
                <w:b w:val="0"/>
                <w:sz w:val="18"/>
              </w:rPr>
              <w:t>1,315,276,000</w:t>
            </w:r>
          </w:p>
        </w:tc>
      </w:tr>
      <w:tr>
        <w:tc>
          <w:tcPr>
            <w:tcW w:type="dxa" w:w="4968"/>
            <w:vAlign w:val="center"/>
          </w:tcPr>
          <w:p>
            <w:r/>
            <w:r>
              <w:rPr>
                <w:b w:val="0"/>
                <w:sz w:val="18"/>
              </w:rPr>
              <w:t>Net Revenue</w:t>
            </w:r>
          </w:p>
        </w:tc>
        <w:tc>
          <w:tcPr>
            <w:tcW w:type="dxa" w:w="4968"/>
            <w:vAlign w:val="center"/>
          </w:tcPr>
          <w:p>
            <w:r/>
            <w:r>
              <w:rPr>
                <w:b w:val="0"/>
                <w:sz w:val="18"/>
              </w:rPr>
              <w:t>1,184,933,340.54</w:t>
            </w:r>
          </w:p>
        </w:tc>
      </w:tr>
      <w:tr>
        <w:tc>
          <w:tcPr>
            <w:tcW w:type="dxa" w:w="4968"/>
            <w:vAlign w:val="center"/>
          </w:tcPr>
          <w:p>
            <w:r/>
            <w:r>
              <w:rPr>
                <w:b w:val="0"/>
                <w:sz w:val="18"/>
              </w:rPr>
              <w:t>Total Orders</w:t>
            </w:r>
          </w:p>
        </w:tc>
        <w:tc>
          <w:tcPr>
            <w:tcW w:type="dxa" w:w="4968"/>
            <w:vAlign w:val="center"/>
          </w:tcPr>
          <w:p>
            <w:r/>
            <w:r>
              <w:rPr>
                <w:b w:val="0"/>
                <w:sz w:val="18"/>
              </w:rPr>
              <w:t>53,820</w:t>
            </w:r>
          </w:p>
        </w:tc>
      </w:tr>
      <w:tr>
        <w:tc>
          <w:tcPr>
            <w:tcW w:type="dxa" w:w="4968"/>
            <w:vAlign w:val="center"/>
          </w:tcPr>
          <w:p>
            <w:r/>
            <w:r>
              <w:rPr>
                <w:b w:val="0"/>
                <w:sz w:val="18"/>
              </w:rPr>
              <w:t>Total Items</w:t>
            </w:r>
          </w:p>
        </w:tc>
        <w:tc>
          <w:tcPr>
            <w:tcW w:type="dxa" w:w="4968"/>
            <w:vAlign w:val="center"/>
          </w:tcPr>
          <w:p>
            <w:r/>
            <w:r>
              <w:rPr>
                <w:b w:val="0"/>
                <w:sz w:val="18"/>
              </w:rPr>
              <w:t>61,973</w:t>
            </w:r>
          </w:p>
        </w:tc>
      </w:tr>
      <w:tr>
        <w:tc>
          <w:tcPr>
            <w:tcW w:type="dxa" w:w="4968"/>
            <w:vAlign w:val="center"/>
          </w:tcPr>
          <w:p>
            <w:r/>
            <w:r>
              <w:rPr>
                <w:b w:val="0"/>
                <w:sz w:val="18"/>
              </w:rPr>
              <w:t>Average Order Value</w:t>
            </w:r>
          </w:p>
        </w:tc>
        <w:tc>
          <w:tcPr>
            <w:tcW w:type="dxa" w:w="4968"/>
            <w:vAlign w:val="center"/>
          </w:tcPr>
          <w:p>
            <w:r/>
            <w:r>
              <w:rPr>
                <w:b w:val="0"/>
                <w:sz w:val="18"/>
              </w:rPr>
              <w:t>24,438.42</w:t>
            </w:r>
          </w:p>
        </w:tc>
      </w:tr>
    </w:tbl>
    <w:p/>
    <w:p>
      <w:r>
        <w:t>Major analytical views include:</w:t>
      </w:r>
    </w:p>
    <w:p>
      <w:pPr>
        <w:pStyle w:val="ListBullet"/>
      </w:pPr>
      <w:r>
        <w:t>Monthly revenue and order trends</w:t>
      </w:r>
    </w:p>
    <w:p>
      <w:pPr>
        <w:pStyle w:val="ListBullet"/>
      </w:pPr>
      <w:r>
        <w:t>Revenue and order comparison by outlet</w:t>
      </w:r>
    </w:p>
    <w:p>
      <w:pPr>
        <w:pStyle w:val="ListBullet"/>
      </w:pPr>
      <w:r>
        <w:t>Day-of-week demand</w:t>
      </w:r>
    </w:p>
    <w:p>
      <w:pPr>
        <w:pStyle w:val="ListBullet"/>
      </w:pPr>
      <w:r>
        <w:t>Hourly demand</w:t>
      </w:r>
    </w:p>
    <w:p>
      <w:pPr>
        <w:pStyle w:val="ListBullet"/>
      </w:pPr>
      <w:r>
        <w:t>Time-period demand</w:t>
      </w:r>
    </w:p>
    <w:p>
      <w:pPr>
        <w:pStyle w:val="ListBullet"/>
      </w:pPr>
      <w:r>
        <w:t>Payment method distribution</w:t>
      </w:r>
    </w:p>
    <w:p>
      <w:pPr>
        <w:pStyle w:val="ListBullet"/>
      </w:pPr>
      <w:r>
        <w:t>Top products by units sold</w:t>
      </w:r>
    </w:p>
    <w:p>
      <w:pPr>
        <w:pStyle w:val="ListBullet"/>
      </w:pPr>
      <w:r>
        <w:t>Category revenue contribution</w:t>
      </w:r>
    </w:p>
    <w:p>
      <w:pPr>
        <w:pStyle w:val="Heading1"/>
      </w:pPr>
      <w:r>
        <w:t>10. Product and Category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Category</w:t>
            </w:r>
          </w:p>
        </w:tc>
        <w:tc>
          <w:tcPr>
            <w:tcW w:type="dxa" w:w="2484"/>
            <w:vAlign w:val="center"/>
            <w:shd w:fill="D9EAF7"/>
          </w:tcPr>
          <w:p>
            <w:r/>
            <w:r>
              <w:rPr>
                <w:b/>
                <w:sz w:val="18"/>
              </w:rPr>
              <w:t>Units Sold</w:t>
            </w:r>
          </w:p>
        </w:tc>
        <w:tc>
          <w:tcPr>
            <w:tcW w:type="dxa" w:w="2484"/>
            <w:vAlign w:val="center"/>
            <w:shd w:fill="D9EAF7"/>
          </w:tcPr>
          <w:p>
            <w:r/>
            <w:r>
              <w:rPr>
                <w:b/>
                <w:sz w:val="18"/>
              </w:rPr>
              <w:t>Allocated Revenue</w:t>
            </w:r>
          </w:p>
        </w:tc>
        <w:tc>
          <w:tcPr>
            <w:tcW w:type="dxa" w:w="2484"/>
            <w:vAlign w:val="center"/>
            <w:shd w:fill="D9EAF7"/>
          </w:tcPr>
          <w:p>
            <w:r/>
            <w:r>
              <w:rPr>
                <w:b/>
                <w:sz w:val="18"/>
              </w:rPr>
              <w:t>Revenue Share</w:t>
            </w:r>
          </w:p>
        </w:tc>
      </w:tr>
      <w:tr>
        <w:tc>
          <w:tcPr>
            <w:tcW w:type="dxa" w:w="2484"/>
            <w:vAlign w:val="center"/>
          </w:tcPr>
          <w:p>
            <w:r/>
            <w:r>
              <w:rPr>
                <w:b w:val="0"/>
                <w:sz w:val="18"/>
              </w:rPr>
              <w:t>Coffee</w:t>
            </w:r>
          </w:p>
        </w:tc>
        <w:tc>
          <w:tcPr>
            <w:tcW w:type="dxa" w:w="2484"/>
            <w:vAlign w:val="center"/>
          </w:tcPr>
          <w:p>
            <w:r/>
            <w:r>
              <w:rPr>
                <w:b w:val="0"/>
                <w:sz w:val="18"/>
              </w:rPr>
              <w:t>22,422</w:t>
            </w:r>
          </w:p>
        </w:tc>
        <w:tc>
          <w:tcPr>
            <w:tcW w:type="dxa" w:w="2484"/>
            <w:vAlign w:val="center"/>
          </w:tcPr>
          <w:p>
            <w:r/>
            <w:r>
              <w:rPr>
                <w:b w:val="0"/>
                <w:sz w:val="18"/>
              </w:rPr>
              <w:t>473,259,000</w:t>
            </w:r>
          </w:p>
        </w:tc>
        <w:tc>
          <w:tcPr>
            <w:tcW w:type="dxa" w:w="2484"/>
            <w:vAlign w:val="center"/>
          </w:tcPr>
          <w:p>
            <w:r/>
            <w:r>
              <w:rPr>
                <w:b w:val="0"/>
                <w:sz w:val="18"/>
              </w:rPr>
              <w:t>35.98%</w:t>
            </w:r>
          </w:p>
        </w:tc>
      </w:tr>
      <w:tr>
        <w:tc>
          <w:tcPr>
            <w:tcW w:type="dxa" w:w="2484"/>
            <w:vAlign w:val="center"/>
          </w:tcPr>
          <w:p>
            <w:r/>
            <w:r>
              <w:rPr>
                <w:b w:val="0"/>
                <w:sz w:val="18"/>
              </w:rPr>
              <w:t>Menu Gedhe</w:t>
            </w:r>
          </w:p>
        </w:tc>
        <w:tc>
          <w:tcPr>
            <w:tcW w:type="dxa" w:w="2484"/>
            <w:vAlign w:val="center"/>
          </w:tcPr>
          <w:p>
            <w:r/>
            <w:r>
              <w:rPr>
                <w:b w:val="0"/>
                <w:sz w:val="18"/>
              </w:rPr>
              <w:t>12,581</w:t>
            </w:r>
          </w:p>
        </w:tc>
        <w:tc>
          <w:tcPr>
            <w:tcW w:type="dxa" w:w="2484"/>
            <w:vAlign w:val="center"/>
          </w:tcPr>
          <w:p>
            <w:r/>
            <w:r>
              <w:rPr>
                <w:b w:val="0"/>
                <w:sz w:val="18"/>
              </w:rPr>
              <w:t>343,030,000</w:t>
            </w:r>
          </w:p>
        </w:tc>
        <w:tc>
          <w:tcPr>
            <w:tcW w:type="dxa" w:w="2484"/>
            <w:vAlign w:val="center"/>
          </w:tcPr>
          <w:p>
            <w:r/>
            <w:r>
              <w:rPr>
                <w:b w:val="0"/>
                <w:sz w:val="18"/>
              </w:rPr>
              <w:t>26.08%</w:t>
            </w:r>
          </w:p>
        </w:tc>
      </w:tr>
      <w:tr>
        <w:tc>
          <w:tcPr>
            <w:tcW w:type="dxa" w:w="2484"/>
            <w:vAlign w:val="center"/>
          </w:tcPr>
          <w:p>
            <w:r/>
            <w:r>
              <w:rPr>
                <w:b w:val="0"/>
                <w:sz w:val="18"/>
              </w:rPr>
              <w:t>Other</w:t>
            </w:r>
          </w:p>
        </w:tc>
        <w:tc>
          <w:tcPr>
            <w:tcW w:type="dxa" w:w="2484"/>
            <w:vAlign w:val="center"/>
          </w:tcPr>
          <w:p>
            <w:r/>
            <w:r>
              <w:rPr>
                <w:b w:val="0"/>
                <w:sz w:val="18"/>
              </w:rPr>
              <w:t>9,995</w:t>
            </w:r>
          </w:p>
        </w:tc>
        <w:tc>
          <w:tcPr>
            <w:tcW w:type="dxa" w:w="2484"/>
            <w:vAlign w:val="center"/>
          </w:tcPr>
          <w:p>
            <w:r/>
            <w:r>
              <w:rPr>
                <w:b w:val="0"/>
                <w:sz w:val="18"/>
              </w:rPr>
              <w:t>216,337,000</w:t>
            </w:r>
          </w:p>
        </w:tc>
        <w:tc>
          <w:tcPr>
            <w:tcW w:type="dxa" w:w="2484"/>
            <w:vAlign w:val="center"/>
          </w:tcPr>
          <w:p>
            <w:r/>
            <w:r>
              <w:rPr>
                <w:b w:val="0"/>
                <w:sz w:val="18"/>
              </w:rPr>
              <w:t>16.45%</w:t>
            </w:r>
          </w:p>
        </w:tc>
      </w:tr>
      <w:tr>
        <w:tc>
          <w:tcPr>
            <w:tcW w:type="dxa" w:w="2484"/>
            <w:vAlign w:val="center"/>
          </w:tcPr>
          <w:p>
            <w:r/>
            <w:r>
              <w:rPr>
                <w:b w:val="0"/>
                <w:sz w:val="18"/>
              </w:rPr>
              <w:t>Tea</w:t>
            </w:r>
          </w:p>
        </w:tc>
        <w:tc>
          <w:tcPr>
            <w:tcW w:type="dxa" w:w="2484"/>
            <w:vAlign w:val="center"/>
          </w:tcPr>
          <w:p>
            <w:r/>
            <w:r>
              <w:rPr>
                <w:b w:val="0"/>
                <w:sz w:val="18"/>
              </w:rPr>
              <w:t>8,494</w:t>
            </w:r>
          </w:p>
        </w:tc>
        <w:tc>
          <w:tcPr>
            <w:tcW w:type="dxa" w:w="2484"/>
            <w:vAlign w:val="center"/>
          </w:tcPr>
          <w:p>
            <w:r/>
            <w:r>
              <w:rPr>
                <w:b w:val="0"/>
                <w:sz w:val="18"/>
              </w:rPr>
              <w:t>173,058,000</w:t>
            </w:r>
          </w:p>
        </w:tc>
        <w:tc>
          <w:tcPr>
            <w:tcW w:type="dxa" w:w="2484"/>
            <w:vAlign w:val="center"/>
          </w:tcPr>
          <w:p>
            <w:r/>
            <w:r>
              <w:rPr>
                <w:b w:val="0"/>
                <w:sz w:val="18"/>
              </w:rPr>
              <w:t>13.16%</w:t>
            </w:r>
          </w:p>
        </w:tc>
      </w:tr>
      <w:tr>
        <w:tc>
          <w:tcPr>
            <w:tcW w:type="dxa" w:w="2484"/>
            <w:vAlign w:val="center"/>
          </w:tcPr>
          <w:p>
            <w:r/>
            <w:r>
              <w:rPr>
                <w:b w:val="0"/>
                <w:sz w:val="18"/>
              </w:rPr>
              <w:t>Snacks</w:t>
            </w:r>
          </w:p>
        </w:tc>
        <w:tc>
          <w:tcPr>
            <w:tcW w:type="dxa" w:w="2484"/>
            <w:vAlign w:val="center"/>
          </w:tcPr>
          <w:p>
            <w:r/>
            <w:r>
              <w:rPr>
                <w:b w:val="0"/>
                <w:sz w:val="18"/>
              </w:rPr>
              <w:t>5,832</w:t>
            </w:r>
          </w:p>
        </w:tc>
        <w:tc>
          <w:tcPr>
            <w:tcW w:type="dxa" w:w="2484"/>
            <w:vAlign w:val="center"/>
          </w:tcPr>
          <w:p>
            <w:r/>
            <w:r>
              <w:rPr>
                <w:b w:val="0"/>
                <w:sz w:val="18"/>
              </w:rPr>
              <w:t>91,851,000</w:t>
            </w:r>
          </w:p>
        </w:tc>
        <w:tc>
          <w:tcPr>
            <w:tcW w:type="dxa" w:w="2484"/>
            <w:vAlign w:val="center"/>
          </w:tcPr>
          <w:p>
            <w:r/>
            <w:r>
              <w:rPr>
                <w:b w:val="0"/>
                <w:sz w:val="18"/>
              </w:rPr>
              <w:t>6.98%</w:t>
            </w:r>
          </w:p>
        </w:tc>
      </w:tr>
      <w:tr>
        <w:tc>
          <w:tcPr>
            <w:tcW w:type="dxa" w:w="2484"/>
            <w:vAlign w:val="center"/>
          </w:tcPr>
          <w:p>
            <w:r/>
            <w:r>
              <w:rPr>
                <w:b w:val="0"/>
                <w:sz w:val="18"/>
              </w:rPr>
              <w:t>Add on</w:t>
            </w:r>
          </w:p>
        </w:tc>
        <w:tc>
          <w:tcPr>
            <w:tcW w:type="dxa" w:w="2484"/>
            <w:vAlign w:val="center"/>
          </w:tcPr>
          <w:p>
            <w:r/>
            <w:r>
              <w:rPr>
                <w:b w:val="0"/>
                <w:sz w:val="18"/>
              </w:rPr>
              <w:t>2,649</w:t>
            </w:r>
          </w:p>
        </w:tc>
        <w:tc>
          <w:tcPr>
            <w:tcW w:type="dxa" w:w="2484"/>
            <w:vAlign w:val="center"/>
          </w:tcPr>
          <w:p>
            <w:r/>
            <w:r>
              <w:rPr>
                <w:b w:val="0"/>
                <w:sz w:val="18"/>
              </w:rPr>
              <w:t>17,741,000</w:t>
            </w:r>
          </w:p>
        </w:tc>
        <w:tc>
          <w:tcPr>
            <w:tcW w:type="dxa" w:w="2484"/>
            <w:vAlign w:val="center"/>
          </w:tcPr>
          <w:p>
            <w:r/>
            <w:r>
              <w:rPr>
                <w:b w:val="0"/>
                <w:sz w:val="18"/>
              </w:rPr>
              <w:t>1.35%</w:t>
            </w:r>
          </w:p>
        </w:tc>
      </w:tr>
    </w:tbl>
    <w:p/>
    <w:p>
      <w:r>
        <w:t>The product analysis identifies high-volume products such as Friendly Coffee (Ice), Friendly Coffee (Hot), Americano Hot Arabica and BLACK Houseblend. These results are used as descriptive business signals rather than as proof of future performance.</w:t>
      </w:r>
    </w:p>
    <w:p>
      <w:pPr>
        <w:pStyle w:val="Heading1"/>
      </w:pPr>
      <w:r>
        <w:t>11. Demand Forecasting Methodology</w:t>
      </w:r>
    </w:p>
    <w:p>
      <w:r>
        <w:t>Forecasting was performed at daily outlet level using order count as the target. The dataset contains 816 daily outlet rows: 272 calendar dates × 3 outlets.</w:t>
      </w:r>
    </w:p>
    <w:p>
      <w:r>
        <w:t>Forecast features include:</w:t>
      </w:r>
    </w:p>
    <w:p>
      <w:pPr>
        <w:pStyle w:val="ListBullet"/>
      </w:pPr>
      <w:r>
        <w:t>Outlet</w:t>
      </w:r>
    </w:p>
    <w:p>
      <w:pPr>
        <w:pStyle w:val="ListBullet"/>
      </w:pPr>
      <w:r>
        <w:t>Day of Week</w:t>
      </w:r>
    </w:p>
    <w:p>
      <w:pPr>
        <w:pStyle w:val="ListBullet"/>
      </w:pPr>
      <w:r>
        <w:t>Month</w:t>
      </w:r>
    </w:p>
    <w:p>
      <w:pPr>
        <w:pStyle w:val="ListBullet"/>
      </w:pPr>
      <w:r>
        <w:t>Day</w:t>
      </w:r>
    </w:p>
    <w:p>
      <w:pPr>
        <w:pStyle w:val="ListBullet"/>
      </w:pPr>
      <w:r>
        <w:t>Week of Year</w:t>
      </w:r>
    </w:p>
    <w:p>
      <w:pPr>
        <w:pStyle w:val="ListBullet"/>
      </w:pPr>
      <w:r>
        <w:t>Week of Month</w:t>
      </w:r>
    </w:p>
    <w:p>
      <w:pPr>
        <w:pStyle w:val="ListBullet"/>
      </w:pPr>
      <w:r>
        <w:t>Quarter</w:t>
      </w:r>
    </w:p>
    <w:p>
      <w:pPr>
        <w:pStyle w:val="ListBullet"/>
      </w:pPr>
      <w:r>
        <w:t>Weekend indicator</w:t>
      </w:r>
    </w:p>
    <w:p>
      <w:pPr>
        <w:pStyle w:val="ListBullet"/>
      </w:pPr>
      <w:r>
        <w:t>1-day lag</w:t>
      </w:r>
    </w:p>
    <w:p>
      <w:pPr>
        <w:pStyle w:val="ListBullet"/>
      </w:pPr>
      <w:r>
        <w:t>7-day lag</w:t>
      </w:r>
    </w:p>
    <w:p>
      <w:pPr>
        <w:pStyle w:val="ListBullet"/>
      </w:pPr>
      <w:r>
        <w:t>14-day lag</w:t>
      </w:r>
    </w:p>
    <w:p>
      <w:pPr>
        <w:pStyle w:val="ListBullet"/>
      </w:pPr>
      <w:r>
        <w:t>28-day lag</w:t>
      </w:r>
    </w:p>
    <w:p>
      <w:pPr>
        <w:pStyle w:val="ListBullet"/>
      </w:pPr>
      <w:r>
        <w:t>7-day rolling mean</w:t>
      </w:r>
    </w:p>
    <w:p>
      <w:pPr>
        <w:pStyle w:val="ListBullet"/>
      </w:pPr>
      <w:r>
        <w:t>14-day rolling mean</w:t>
      </w:r>
    </w:p>
    <w:p>
      <w:pPr>
        <w:pStyle w:val="ListBullet"/>
      </w:pPr>
      <w:r>
        <w:t>28-day rolling mean</w:t>
      </w:r>
    </w:p>
    <w:p>
      <w:r>
        <w:t>Lag and rolling features were designed to avoid target leakage. Rolling statistics use shifted historical values rather than including the current target value.</w:t>
      </w:r>
    </w:p>
    <w:p>
      <w:r>
        <w:t>A chronological holdout was used instead of a random train/test split. Training covered 2025-01-02 to 2025-08-07 and testing covered 2025-08-08 to 2025-09-30.</w:t>
      </w:r>
    </w:p>
    <w:p>
      <w:pPr>
        <w:pStyle w:val="Heading1"/>
      </w:pPr>
      <w:r>
        <w:t>12. Model Comparison and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Model</w:t>
            </w:r>
          </w:p>
        </w:tc>
        <w:tc>
          <w:tcPr>
            <w:tcW w:type="dxa" w:w="1987"/>
            <w:vAlign w:val="center"/>
            <w:shd w:fill="D9EAF7"/>
          </w:tcPr>
          <w:p>
            <w:r/>
            <w:r>
              <w:rPr>
                <w:b/>
                <w:sz w:val="18"/>
              </w:rPr>
              <w:t>MAE</w:t>
            </w:r>
          </w:p>
        </w:tc>
        <w:tc>
          <w:tcPr>
            <w:tcW w:type="dxa" w:w="1987"/>
            <w:vAlign w:val="center"/>
            <w:shd w:fill="D9EAF7"/>
          </w:tcPr>
          <w:p>
            <w:r/>
            <w:r>
              <w:rPr>
                <w:b/>
                <w:sz w:val="18"/>
              </w:rPr>
              <w:t>RMSE</w:t>
            </w:r>
          </w:p>
        </w:tc>
        <w:tc>
          <w:tcPr>
            <w:tcW w:type="dxa" w:w="1987"/>
            <w:vAlign w:val="center"/>
            <w:shd w:fill="D9EAF7"/>
          </w:tcPr>
          <w:p>
            <w:r/>
            <w:r>
              <w:rPr>
                <w:b/>
                <w:sz w:val="18"/>
              </w:rPr>
              <w:t>WAPE</w:t>
            </w:r>
          </w:p>
        </w:tc>
        <w:tc>
          <w:tcPr>
            <w:tcW w:type="dxa" w:w="1987"/>
            <w:vAlign w:val="center"/>
            <w:shd w:fill="D9EAF7"/>
          </w:tcPr>
          <w:p>
            <w:r/>
            <w:r>
              <w:rPr>
                <w:b/>
                <w:sz w:val="18"/>
              </w:rPr>
              <w:t>sMAPE</w:t>
            </w:r>
          </w:p>
        </w:tc>
      </w:tr>
      <w:tr>
        <w:tc>
          <w:tcPr>
            <w:tcW w:type="dxa" w:w="1987"/>
            <w:vAlign w:val="center"/>
          </w:tcPr>
          <w:p>
            <w:r/>
            <w:r>
              <w:rPr>
                <w:b w:val="0"/>
                <w:sz w:val="18"/>
              </w:rPr>
              <w:t>HistGradientBoosting</w:t>
            </w:r>
          </w:p>
        </w:tc>
        <w:tc>
          <w:tcPr>
            <w:tcW w:type="dxa" w:w="1987"/>
            <w:vAlign w:val="center"/>
          </w:tcPr>
          <w:p>
            <w:r/>
            <w:r>
              <w:rPr>
                <w:b w:val="0"/>
                <w:sz w:val="18"/>
              </w:rPr>
              <w:t>6.447</w:t>
            </w:r>
          </w:p>
        </w:tc>
        <w:tc>
          <w:tcPr>
            <w:tcW w:type="dxa" w:w="1987"/>
            <w:vAlign w:val="center"/>
          </w:tcPr>
          <w:p>
            <w:r/>
            <w:r>
              <w:rPr>
                <w:b w:val="0"/>
                <w:sz w:val="18"/>
              </w:rPr>
              <w:t>8.307</w:t>
            </w:r>
          </w:p>
        </w:tc>
        <w:tc>
          <w:tcPr>
            <w:tcW w:type="dxa" w:w="1987"/>
            <w:vAlign w:val="center"/>
          </w:tcPr>
          <w:p>
            <w:r/>
            <w:r>
              <w:rPr>
                <w:b w:val="0"/>
                <w:sz w:val="18"/>
              </w:rPr>
              <w:t>10.31%</w:t>
            </w:r>
          </w:p>
        </w:tc>
        <w:tc>
          <w:tcPr>
            <w:tcW w:type="dxa" w:w="1987"/>
            <w:vAlign w:val="center"/>
          </w:tcPr>
          <w:p>
            <w:r/>
            <w:r>
              <w:rPr>
                <w:b w:val="0"/>
                <w:sz w:val="18"/>
              </w:rPr>
              <w:t>10.97%</w:t>
            </w:r>
          </w:p>
        </w:tc>
      </w:tr>
      <w:tr>
        <w:tc>
          <w:tcPr>
            <w:tcW w:type="dxa" w:w="1987"/>
            <w:vAlign w:val="center"/>
          </w:tcPr>
          <w:p>
            <w:r/>
            <w:r>
              <w:rPr>
                <w:b w:val="0"/>
                <w:sz w:val="18"/>
              </w:rPr>
              <w:t>Random Forest</w:t>
            </w:r>
          </w:p>
        </w:tc>
        <w:tc>
          <w:tcPr>
            <w:tcW w:type="dxa" w:w="1987"/>
            <w:vAlign w:val="center"/>
          </w:tcPr>
          <w:p>
            <w:r/>
            <w:r>
              <w:rPr>
                <w:b w:val="0"/>
                <w:sz w:val="18"/>
              </w:rPr>
              <w:t>6.717</w:t>
            </w:r>
          </w:p>
        </w:tc>
        <w:tc>
          <w:tcPr>
            <w:tcW w:type="dxa" w:w="1987"/>
            <w:vAlign w:val="center"/>
          </w:tcPr>
          <w:p>
            <w:r/>
            <w:r>
              <w:rPr>
                <w:b w:val="0"/>
                <w:sz w:val="18"/>
              </w:rPr>
              <w:t>8.517</w:t>
            </w:r>
          </w:p>
        </w:tc>
        <w:tc>
          <w:tcPr>
            <w:tcW w:type="dxa" w:w="1987"/>
            <w:vAlign w:val="center"/>
          </w:tcPr>
          <w:p>
            <w:r/>
            <w:r>
              <w:rPr>
                <w:b w:val="0"/>
                <w:sz w:val="18"/>
              </w:rPr>
              <w:t>10.74%</w:t>
            </w:r>
          </w:p>
        </w:tc>
        <w:tc>
          <w:tcPr>
            <w:tcW w:type="dxa" w:w="1987"/>
            <w:vAlign w:val="center"/>
          </w:tcPr>
          <w:p>
            <w:r/>
            <w:r>
              <w:rPr>
                <w:b w:val="0"/>
                <w:sz w:val="18"/>
              </w:rPr>
              <w:t>11.61%</w:t>
            </w:r>
          </w:p>
        </w:tc>
      </w:tr>
      <w:tr>
        <w:tc>
          <w:tcPr>
            <w:tcW w:type="dxa" w:w="1987"/>
            <w:vAlign w:val="center"/>
          </w:tcPr>
          <w:p>
            <w:r/>
            <w:r>
              <w:rPr>
                <w:b w:val="0"/>
                <w:sz w:val="18"/>
              </w:rPr>
              <w:t>Weekly Naive Baseline</w:t>
            </w:r>
          </w:p>
        </w:tc>
        <w:tc>
          <w:tcPr>
            <w:tcW w:type="dxa" w:w="1987"/>
            <w:vAlign w:val="center"/>
          </w:tcPr>
          <w:p>
            <w:r/>
            <w:r>
              <w:rPr>
                <w:b w:val="0"/>
                <w:sz w:val="18"/>
              </w:rPr>
              <w:t>8.235</w:t>
            </w:r>
          </w:p>
        </w:tc>
        <w:tc>
          <w:tcPr>
            <w:tcW w:type="dxa" w:w="1987"/>
            <w:vAlign w:val="center"/>
          </w:tcPr>
          <w:p>
            <w:r/>
            <w:r>
              <w:rPr>
                <w:b w:val="0"/>
                <w:sz w:val="18"/>
              </w:rPr>
              <w:t>11.018</w:t>
            </w:r>
          </w:p>
        </w:tc>
        <w:tc>
          <w:tcPr>
            <w:tcW w:type="dxa" w:w="1987"/>
            <w:vAlign w:val="center"/>
          </w:tcPr>
          <w:p>
            <w:r/>
            <w:r>
              <w:rPr>
                <w:b w:val="0"/>
                <w:sz w:val="18"/>
              </w:rPr>
              <w:t>13.16%</w:t>
            </w:r>
          </w:p>
        </w:tc>
        <w:tc>
          <w:tcPr>
            <w:tcW w:type="dxa" w:w="1987"/>
            <w:vAlign w:val="center"/>
          </w:tcPr>
          <w:p>
            <w:r/>
            <w:r>
              <w:rPr>
                <w:b w:val="0"/>
                <w:sz w:val="18"/>
              </w:rPr>
              <w:t>13.55%</w:t>
            </w:r>
          </w:p>
        </w:tc>
      </w:tr>
      <w:tr>
        <w:tc>
          <w:tcPr>
            <w:tcW w:type="dxa" w:w="1987"/>
            <w:vAlign w:val="center"/>
          </w:tcPr>
          <w:p>
            <w:r/>
            <w:r>
              <w:rPr>
                <w:b w:val="0"/>
                <w:sz w:val="18"/>
              </w:rPr>
              <w:t>Linear Regression</w:t>
            </w:r>
          </w:p>
        </w:tc>
        <w:tc>
          <w:tcPr>
            <w:tcW w:type="dxa" w:w="1987"/>
            <w:vAlign w:val="center"/>
          </w:tcPr>
          <w:p>
            <w:r/>
            <w:r>
              <w:rPr>
                <w:b w:val="0"/>
                <w:sz w:val="18"/>
              </w:rPr>
              <w:t>10.804</w:t>
            </w:r>
          </w:p>
        </w:tc>
        <w:tc>
          <w:tcPr>
            <w:tcW w:type="dxa" w:w="1987"/>
            <w:vAlign w:val="center"/>
          </w:tcPr>
          <w:p>
            <w:r/>
            <w:r>
              <w:rPr>
                <w:b w:val="0"/>
                <w:sz w:val="18"/>
              </w:rPr>
              <w:t>13.060</w:t>
            </w:r>
          </w:p>
        </w:tc>
        <w:tc>
          <w:tcPr>
            <w:tcW w:type="dxa" w:w="1987"/>
            <w:vAlign w:val="center"/>
          </w:tcPr>
          <w:p>
            <w:r/>
            <w:r>
              <w:rPr>
                <w:b w:val="0"/>
                <w:sz w:val="18"/>
              </w:rPr>
              <w:t>17.27%</w:t>
            </w:r>
          </w:p>
        </w:tc>
        <w:tc>
          <w:tcPr>
            <w:tcW w:type="dxa" w:w="1987"/>
            <w:vAlign w:val="center"/>
          </w:tcPr>
          <w:p>
            <w:r/>
            <w:r>
              <w:rPr>
                <w:b w:val="0"/>
                <w:sz w:val="18"/>
              </w:rPr>
              <w:t>18.03%</w:t>
            </w:r>
          </w:p>
        </w:tc>
      </w:tr>
    </w:tbl>
    <w:p/>
    <w:p>
      <w:r>
        <w:t>HistGradientBoosting was selected because it produced the lowest error among the evaluated models on the held-out chronological test period. Its MAE was approximately 6.45 orders per outlet-day and WAPE was 10.31%.</w:t>
      </w:r>
    </w:p>
    <w:p>
      <w:r>
        <w:t>The model result should be interpreted within the limits of the available data: the dataset covers only January to September 2025 and evaluation uses one chronological holdout period. The reported metrics should not be interpreted as a guarantee of future accuracy.</w:t>
      </w:r>
    </w:p>
    <w:p>
      <w:pPr>
        <w:pStyle w:val="Heading1"/>
      </w:pPr>
      <w:r>
        <w:t>13. 14-Day Forecast</w:t>
      </w:r>
    </w:p>
    <w:p>
      <w:r>
        <w:t>The selected model was used recursively to generate forecasts from 2025-10-01 to 2025-10-14.</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Outlet</w:t>
            </w:r>
          </w:p>
        </w:tc>
        <w:tc>
          <w:tcPr>
            <w:tcW w:type="dxa" w:w="2484"/>
            <w:vAlign w:val="center"/>
            <w:shd w:fill="D9EAF7"/>
          </w:tcPr>
          <w:p>
            <w:r/>
            <w:r>
              <w:rPr>
                <w:b/>
                <w:sz w:val="18"/>
              </w:rPr>
              <w:t>14-Day Forecast Orders</w:t>
            </w:r>
          </w:p>
        </w:tc>
        <w:tc>
          <w:tcPr>
            <w:tcW w:type="dxa" w:w="2484"/>
            <w:vAlign w:val="center"/>
            <w:shd w:fill="D9EAF7"/>
          </w:tcPr>
          <w:p>
            <w:r/>
            <w:r>
              <w:rPr>
                <w:b/>
                <w:sz w:val="18"/>
              </w:rPr>
              <w:t>Average Daily Orders</w:t>
            </w:r>
          </w:p>
        </w:tc>
        <w:tc>
          <w:tcPr>
            <w:tcW w:type="dxa" w:w="2484"/>
            <w:vAlign w:val="center"/>
            <w:shd w:fill="D9EAF7"/>
          </w:tcPr>
          <w:p>
            <w:r/>
            <w:r>
              <w:rPr>
                <w:b/>
                <w:sz w:val="18"/>
              </w:rPr>
              <w:t>Maximum Daily Orders</w:t>
            </w:r>
          </w:p>
        </w:tc>
      </w:tr>
      <w:tr>
        <w:tc>
          <w:tcPr>
            <w:tcW w:type="dxa" w:w="2484"/>
            <w:vAlign w:val="center"/>
          </w:tcPr>
          <w:p>
            <w:r/>
            <w:r>
              <w:rPr>
                <w:b w:val="0"/>
                <w:sz w:val="18"/>
              </w:rPr>
              <w:t>SHOP001</w:t>
            </w:r>
          </w:p>
        </w:tc>
        <w:tc>
          <w:tcPr>
            <w:tcW w:type="dxa" w:w="2484"/>
            <w:vAlign w:val="center"/>
          </w:tcPr>
          <w:p>
            <w:r/>
            <w:r>
              <w:rPr>
                <w:b w:val="0"/>
                <w:sz w:val="18"/>
              </w:rPr>
              <w:t>1,420</w:t>
            </w:r>
          </w:p>
        </w:tc>
        <w:tc>
          <w:tcPr>
            <w:tcW w:type="dxa" w:w="2484"/>
            <w:vAlign w:val="center"/>
          </w:tcPr>
          <w:p>
            <w:r/>
            <w:r>
              <w:rPr>
                <w:b w:val="0"/>
                <w:sz w:val="18"/>
              </w:rPr>
              <w:t>101.43</w:t>
            </w:r>
          </w:p>
        </w:tc>
        <w:tc>
          <w:tcPr>
            <w:tcW w:type="dxa" w:w="2484"/>
            <w:vAlign w:val="center"/>
          </w:tcPr>
          <w:p>
            <w:r/>
            <w:r>
              <w:rPr>
                <w:b w:val="0"/>
                <w:sz w:val="18"/>
              </w:rPr>
              <w:t>107</w:t>
            </w:r>
          </w:p>
        </w:tc>
      </w:tr>
      <w:tr>
        <w:tc>
          <w:tcPr>
            <w:tcW w:type="dxa" w:w="2484"/>
            <w:vAlign w:val="center"/>
          </w:tcPr>
          <w:p>
            <w:r/>
            <w:r>
              <w:rPr>
                <w:b w:val="0"/>
                <w:sz w:val="18"/>
              </w:rPr>
              <w:t>SHOP002</w:t>
            </w:r>
          </w:p>
        </w:tc>
        <w:tc>
          <w:tcPr>
            <w:tcW w:type="dxa" w:w="2484"/>
            <w:vAlign w:val="center"/>
          </w:tcPr>
          <w:p>
            <w:r/>
            <w:r>
              <w:rPr>
                <w:b w:val="0"/>
                <w:sz w:val="18"/>
              </w:rPr>
              <w:t>479</w:t>
            </w:r>
          </w:p>
        </w:tc>
        <w:tc>
          <w:tcPr>
            <w:tcW w:type="dxa" w:w="2484"/>
            <w:vAlign w:val="center"/>
          </w:tcPr>
          <w:p>
            <w:r/>
            <w:r>
              <w:rPr>
                <w:b w:val="0"/>
                <w:sz w:val="18"/>
              </w:rPr>
              <w:t>34.21</w:t>
            </w:r>
          </w:p>
        </w:tc>
        <w:tc>
          <w:tcPr>
            <w:tcW w:type="dxa" w:w="2484"/>
            <w:vAlign w:val="center"/>
          </w:tcPr>
          <w:p>
            <w:r/>
            <w:r>
              <w:rPr>
                <w:b w:val="0"/>
                <w:sz w:val="18"/>
              </w:rPr>
              <w:t>40</w:t>
            </w:r>
          </w:p>
        </w:tc>
      </w:tr>
      <w:tr>
        <w:tc>
          <w:tcPr>
            <w:tcW w:type="dxa" w:w="2484"/>
            <w:vAlign w:val="center"/>
          </w:tcPr>
          <w:p>
            <w:r/>
            <w:r>
              <w:rPr>
                <w:b w:val="0"/>
                <w:sz w:val="18"/>
              </w:rPr>
              <w:t>SHOP003</w:t>
            </w:r>
          </w:p>
        </w:tc>
        <w:tc>
          <w:tcPr>
            <w:tcW w:type="dxa" w:w="2484"/>
            <w:vAlign w:val="center"/>
          </w:tcPr>
          <w:p>
            <w:r/>
            <w:r>
              <w:rPr>
                <w:b w:val="0"/>
                <w:sz w:val="18"/>
              </w:rPr>
              <w:t>842</w:t>
            </w:r>
          </w:p>
        </w:tc>
        <w:tc>
          <w:tcPr>
            <w:tcW w:type="dxa" w:w="2484"/>
            <w:vAlign w:val="center"/>
          </w:tcPr>
          <w:p>
            <w:r/>
            <w:r>
              <w:rPr>
                <w:b w:val="0"/>
                <w:sz w:val="18"/>
              </w:rPr>
              <w:t>60.14</w:t>
            </w:r>
          </w:p>
        </w:tc>
        <w:tc>
          <w:tcPr>
            <w:tcW w:type="dxa" w:w="2484"/>
            <w:vAlign w:val="center"/>
          </w:tcPr>
          <w:p>
            <w:r/>
            <w:r>
              <w:rPr>
                <w:b w:val="0"/>
                <w:sz w:val="18"/>
              </w:rPr>
              <w:t>65</w:t>
            </w:r>
          </w:p>
        </w:tc>
      </w:tr>
      <w:tr>
        <w:tc>
          <w:tcPr>
            <w:tcW w:type="dxa" w:w="2484"/>
            <w:vAlign w:val="center"/>
          </w:tcPr>
          <w:p>
            <w:r/>
            <w:r>
              <w:rPr>
                <w:b w:val="0"/>
                <w:sz w:val="18"/>
              </w:rPr>
              <w:t>Total</w:t>
            </w:r>
          </w:p>
        </w:tc>
        <w:tc>
          <w:tcPr>
            <w:tcW w:type="dxa" w:w="2484"/>
            <w:vAlign w:val="center"/>
          </w:tcPr>
          <w:p>
            <w:r/>
            <w:r>
              <w:rPr>
                <w:b w:val="0"/>
                <w:sz w:val="18"/>
              </w:rPr>
              <w:t>2,741</w:t>
            </w:r>
          </w:p>
        </w:tc>
        <w:tc>
          <w:tcPr>
            <w:tcW w:type="dxa" w:w="2484"/>
            <w:vAlign w:val="center"/>
          </w:tcPr>
          <w:p>
            <w:r/>
            <w:r>
              <w:rPr>
                <w:b w:val="0"/>
                <w:sz w:val="18"/>
              </w:rPr>
              <w:t>195.79 network/day</w:t>
            </w:r>
          </w:p>
        </w:tc>
        <w:tc>
          <w:tcPr>
            <w:tcW w:type="dxa" w:w="2484"/>
            <w:vAlign w:val="center"/>
          </w:tcPr>
          <w:p>
            <w:r/>
            <w:r>
              <w:rPr>
                <w:b w:val="0"/>
                <w:sz w:val="18"/>
              </w:rPr>
              <w:t>—</w:t>
            </w:r>
          </w:p>
        </w:tc>
      </w:tr>
    </w:tbl>
    <w:p/>
    <w:p>
      <w:r>
        <w:t>These values are model-generated estimates and should be validated against actual future sales before being used for operational planning.</w:t>
      </w:r>
    </w:p>
    <w:p>
      <w:pPr>
        <w:pStyle w:val="Heading1"/>
      </w:pPr>
      <w:r>
        <w:t>14. Business Decision Layer</w:t>
      </w:r>
    </w:p>
    <w:p>
      <w:r>
        <w:t>A separate business-insights layer converts model outputs into simple operational signals. This makes the project easier for non-technical users because they do not need to interpret raw ML output.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Outlet</w:t>
            </w:r>
          </w:p>
        </w:tc>
        <w:tc>
          <w:tcPr>
            <w:tcW w:type="dxa" w:w="2484"/>
            <w:vAlign w:val="center"/>
            <w:shd w:fill="D9EAF7"/>
          </w:tcPr>
          <w:p>
            <w:r/>
            <w:r>
              <w:rPr>
                <w:b/>
                <w:sz w:val="18"/>
              </w:rPr>
              <w:t>Forecast Orders</w:t>
            </w:r>
          </w:p>
        </w:tc>
        <w:tc>
          <w:tcPr>
            <w:tcW w:type="dxa" w:w="2484"/>
            <w:vAlign w:val="center"/>
            <w:shd w:fill="D9EAF7"/>
          </w:tcPr>
          <w:p>
            <w:r/>
            <w:r>
              <w:rPr>
                <w:b/>
                <w:sz w:val="18"/>
              </w:rPr>
              <w:t>Forecast Share</w:t>
            </w:r>
          </w:p>
        </w:tc>
        <w:tc>
          <w:tcPr>
            <w:tcW w:type="dxa" w:w="2484"/>
            <w:vAlign w:val="center"/>
            <w:shd w:fill="D9EAF7"/>
          </w:tcPr>
          <w:p>
            <w:r/>
            <w:r>
              <w:rPr>
                <w:b/>
                <w:sz w:val="18"/>
              </w:rPr>
              <w:t>Operational Signal</w:t>
            </w:r>
          </w:p>
        </w:tc>
      </w:tr>
      <w:tr>
        <w:tc>
          <w:tcPr>
            <w:tcW w:type="dxa" w:w="2484"/>
            <w:vAlign w:val="center"/>
          </w:tcPr>
          <w:p>
            <w:r/>
            <w:r>
              <w:rPr>
                <w:b w:val="0"/>
                <w:sz w:val="18"/>
              </w:rPr>
              <w:t>SHOP001</w:t>
            </w:r>
          </w:p>
        </w:tc>
        <w:tc>
          <w:tcPr>
            <w:tcW w:type="dxa" w:w="2484"/>
            <w:vAlign w:val="center"/>
          </w:tcPr>
          <w:p>
            <w:r/>
            <w:r>
              <w:rPr>
                <w:b w:val="0"/>
                <w:sz w:val="18"/>
              </w:rPr>
              <w:t>1,420</w:t>
            </w:r>
          </w:p>
        </w:tc>
        <w:tc>
          <w:tcPr>
            <w:tcW w:type="dxa" w:w="2484"/>
            <w:vAlign w:val="center"/>
          </w:tcPr>
          <w:p>
            <w:r/>
            <w:r>
              <w:rPr>
                <w:b w:val="0"/>
                <w:sz w:val="18"/>
              </w:rPr>
              <w:t>51.81%</w:t>
            </w:r>
          </w:p>
        </w:tc>
        <w:tc>
          <w:tcPr>
            <w:tcW w:type="dxa" w:w="2484"/>
            <w:vAlign w:val="center"/>
          </w:tcPr>
          <w:p>
            <w:r/>
            <w:r>
              <w:rPr>
                <w:b w:val="0"/>
                <w:sz w:val="18"/>
              </w:rPr>
              <w:t>Maintain strong operational capacity</w:t>
            </w:r>
          </w:p>
        </w:tc>
      </w:tr>
      <w:tr>
        <w:tc>
          <w:tcPr>
            <w:tcW w:type="dxa" w:w="2484"/>
            <w:vAlign w:val="center"/>
          </w:tcPr>
          <w:p>
            <w:r/>
            <w:r>
              <w:rPr>
                <w:b w:val="0"/>
                <w:sz w:val="18"/>
              </w:rPr>
              <w:t>SHOP002</w:t>
            </w:r>
          </w:p>
        </w:tc>
        <w:tc>
          <w:tcPr>
            <w:tcW w:type="dxa" w:w="2484"/>
            <w:vAlign w:val="center"/>
          </w:tcPr>
          <w:p>
            <w:r/>
            <w:r>
              <w:rPr>
                <w:b w:val="0"/>
                <w:sz w:val="18"/>
              </w:rPr>
              <w:t>479</w:t>
            </w:r>
          </w:p>
        </w:tc>
        <w:tc>
          <w:tcPr>
            <w:tcW w:type="dxa" w:w="2484"/>
            <w:vAlign w:val="center"/>
          </w:tcPr>
          <w:p>
            <w:r/>
            <w:r>
              <w:rPr>
                <w:b w:val="0"/>
                <w:sz w:val="18"/>
              </w:rPr>
              <w:t>17.48%</w:t>
            </w:r>
          </w:p>
        </w:tc>
        <w:tc>
          <w:tcPr>
            <w:tcW w:type="dxa" w:w="2484"/>
            <w:vAlign w:val="center"/>
          </w:tcPr>
          <w:p>
            <w:r/>
            <w:r>
              <w:rPr>
                <w:b w:val="0"/>
                <w:sz w:val="18"/>
              </w:rPr>
              <w:t>Monitor demand and avoid overstaffing</w:t>
            </w:r>
          </w:p>
        </w:tc>
      </w:tr>
      <w:tr>
        <w:tc>
          <w:tcPr>
            <w:tcW w:type="dxa" w:w="2484"/>
            <w:vAlign w:val="center"/>
          </w:tcPr>
          <w:p>
            <w:r/>
            <w:r>
              <w:rPr>
                <w:b w:val="0"/>
                <w:sz w:val="18"/>
              </w:rPr>
              <w:t>SHOP003</w:t>
            </w:r>
          </w:p>
        </w:tc>
        <w:tc>
          <w:tcPr>
            <w:tcW w:type="dxa" w:w="2484"/>
            <w:vAlign w:val="center"/>
          </w:tcPr>
          <w:p>
            <w:r/>
            <w:r>
              <w:rPr>
                <w:b w:val="0"/>
                <w:sz w:val="18"/>
              </w:rPr>
              <w:t>842</w:t>
            </w:r>
          </w:p>
        </w:tc>
        <w:tc>
          <w:tcPr>
            <w:tcW w:type="dxa" w:w="2484"/>
            <w:vAlign w:val="center"/>
          </w:tcPr>
          <w:p>
            <w:r/>
            <w:r>
              <w:rPr>
                <w:b w:val="0"/>
                <w:sz w:val="18"/>
              </w:rPr>
              <w:t>30.72%</w:t>
            </w:r>
          </w:p>
        </w:tc>
        <w:tc>
          <w:tcPr>
            <w:tcW w:type="dxa" w:w="2484"/>
            <w:vAlign w:val="center"/>
          </w:tcPr>
          <w:p>
            <w:r/>
            <w:r>
              <w:rPr>
                <w:b w:val="0"/>
                <w:sz w:val="18"/>
              </w:rPr>
              <w:t>Maintain normal operations</w:t>
            </w:r>
          </w:p>
        </w:tc>
      </w:tr>
    </w:tbl>
    <w:p/>
    <w:p>
      <w:r>
        <w:t>The decision layer is intentionally presented as a support tool, not an automated management system. Actual business decisions should consider staffing, inventory, promotions, holidays and other information not present in the dataset.</w:t>
      </w:r>
    </w:p>
    <w:p>
      <w:pPr>
        <w:pStyle w:val="Heading1"/>
      </w:pPr>
      <w:r>
        <w:t>15. Streamlit Dashboard</w:t>
      </w:r>
    </w:p>
    <w:p>
      <w:r>
        <w:t>The final application is an interactive Streamlit dashboard designed to make the complete analysis accessible from one interface.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Dashboard Section</w:t>
            </w:r>
          </w:p>
        </w:tc>
        <w:tc>
          <w:tcPr>
            <w:tcW w:type="dxa" w:w="4968"/>
            <w:vAlign w:val="center"/>
            <w:shd w:fill="D9EAF7"/>
          </w:tcPr>
          <w:p>
            <w:r/>
            <w:r>
              <w:rPr>
                <w:b/>
                <w:sz w:val="18"/>
              </w:rPr>
              <w:t>Purpose</w:t>
            </w:r>
          </w:p>
        </w:tc>
      </w:tr>
      <w:tr>
        <w:tc>
          <w:tcPr>
            <w:tcW w:type="dxa" w:w="4968"/>
            <w:vAlign w:val="center"/>
          </w:tcPr>
          <w:p>
            <w:r/>
            <w:r>
              <w:rPr>
                <w:b w:val="0"/>
                <w:sz w:val="18"/>
              </w:rPr>
              <w:t>Executive Overview</w:t>
            </w:r>
          </w:p>
        </w:tc>
        <w:tc>
          <w:tcPr>
            <w:tcW w:type="dxa" w:w="4968"/>
            <w:vAlign w:val="center"/>
          </w:tcPr>
          <w:p>
            <w:r/>
            <w:r>
              <w:rPr>
                <w:b w:val="0"/>
                <w:sz w:val="18"/>
              </w:rPr>
              <w:t>High-level KPIs and overall performance</w:t>
            </w:r>
          </w:p>
        </w:tc>
      </w:tr>
      <w:tr>
        <w:tc>
          <w:tcPr>
            <w:tcW w:type="dxa" w:w="4968"/>
            <w:vAlign w:val="center"/>
          </w:tcPr>
          <w:p>
            <w:r/>
            <w:r>
              <w:rPr>
                <w:b w:val="0"/>
                <w:sz w:val="18"/>
              </w:rPr>
              <w:t>Sales Analytics</w:t>
            </w:r>
          </w:p>
        </w:tc>
        <w:tc>
          <w:tcPr>
            <w:tcW w:type="dxa" w:w="4968"/>
            <w:vAlign w:val="center"/>
          </w:tcPr>
          <w:p>
            <w:r/>
            <w:r>
              <w:rPr>
                <w:b w:val="0"/>
                <w:sz w:val="18"/>
              </w:rPr>
              <w:t>Day, hour, time-period and payment analysis</w:t>
            </w:r>
          </w:p>
        </w:tc>
      </w:tr>
      <w:tr>
        <w:tc>
          <w:tcPr>
            <w:tcW w:type="dxa" w:w="4968"/>
            <w:vAlign w:val="center"/>
          </w:tcPr>
          <w:p>
            <w:r/>
            <w:r>
              <w:rPr>
                <w:b w:val="0"/>
                <w:sz w:val="18"/>
              </w:rPr>
              <w:t>Product Intelligence</w:t>
            </w:r>
          </w:p>
        </w:tc>
        <w:tc>
          <w:tcPr>
            <w:tcW w:type="dxa" w:w="4968"/>
            <w:vAlign w:val="center"/>
          </w:tcPr>
          <w:p>
            <w:r/>
            <w:r>
              <w:rPr>
                <w:b w:val="0"/>
                <w:sz w:val="18"/>
              </w:rPr>
              <w:t>Product and category performance</w:t>
            </w:r>
          </w:p>
        </w:tc>
      </w:tr>
      <w:tr>
        <w:tc>
          <w:tcPr>
            <w:tcW w:type="dxa" w:w="4968"/>
            <w:vAlign w:val="center"/>
          </w:tcPr>
          <w:p>
            <w:r/>
            <w:r>
              <w:rPr>
                <w:b w:val="0"/>
                <w:sz w:val="18"/>
              </w:rPr>
              <w:t>Outlet Intelligence</w:t>
            </w:r>
          </w:p>
        </w:tc>
        <w:tc>
          <w:tcPr>
            <w:tcW w:type="dxa" w:w="4968"/>
            <w:vAlign w:val="center"/>
          </w:tcPr>
          <w:p>
            <w:r/>
            <w:r>
              <w:rPr>
                <w:b w:val="0"/>
                <w:sz w:val="18"/>
              </w:rPr>
              <w:t>Outlet comparison</w:t>
            </w:r>
          </w:p>
        </w:tc>
      </w:tr>
      <w:tr>
        <w:tc>
          <w:tcPr>
            <w:tcW w:type="dxa" w:w="4968"/>
            <w:vAlign w:val="center"/>
          </w:tcPr>
          <w:p>
            <w:r/>
            <w:r>
              <w:rPr>
                <w:b w:val="0"/>
                <w:sz w:val="18"/>
              </w:rPr>
              <w:t>Demand Forecast</w:t>
            </w:r>
          </w:p>
        </w:tc>
        <w:tc>
          <w:tcPr>
            <w:tcW w:type="dxa" w:w="4968"/>
            <w:vAlign w:val="center"/>
          </w:tcPr>
          <w:p>
            <w:r/>
            <w:r>
              <w:rPr>
                <w:b w:val="0"/>
                <w:sz w:val="18"/>
              </w:rPr>
              <w:t>Future demand and model metrics</w:t>
            </w:r>
          </w:p>
        </w:tc>
      </w:tr>
      <w:tr>
        <w:tc>
          <w:tcPr>
            <w:tcW w:type="dxa" w:w="4968"/>
            <w:vAlign w:val="center"/>
          </w:tcPr>
          <w:p>
            <w:r/>
            <w:r>
              <w:rPr>
                <w:b w:val="0"/>
                <w:sz w:val="18"/>
              </w:rPr>
              <w:t>Business Insights</w:t>
            </w:r>
          </w:p>
        </w:tc>
        <w:tc>
          <w:tcPr>
            <w:tcW w:type="dxa" w:w="4968"/>
            <w:vAlign w:val="center"/>
          </w:tcPr>
          <w:p>
            <w:r/>
            <w:r>
              <w:rPr>
                <w:b w:val="0"/>
                <w:sz w:val="18"/>
              </w:rPr>
              <w:t>Operational signals and forecast summaries</w:t>
            </w:r>
          </w:p>
        </w:tc>
      </w:tr>
    </w:tbl>
    <w:p/>
    <w:p>
      <w:r>
        <w:t>Live application: https://restaurant-sales-intelligence-13.streamlit.app/</w:t>
      </w:r>
    </w:p>
    <w:p>
      <w:pPr>
        <w:pStyle w:val="Heading1"/>
      </w:pPr>
      <w:r>
        <w:t>16. Project Repository and Deployment</w:t>
      </w:r>
    </w:p>
    <w:p>
      <w:r>
        <w:t>The project is version-controlled using Git and hosted on GitHub. The dashboard is deployed using Streamlit Community Cloud.</w:t>
      </w:r>
    </w:p>
    <w:p>
      <w:r>
        <w:t>GitHub repository:</w:t>
      </w:r>
    </w:p>
    <w:p>
      <w:r>
        <w:t>https://github.com/4kayasitayashu/restaurant-sales-intelligence</w:t>
      </w:r>
    </w:p>
    <w:p>
      <w:r>
        <w:t>The repository includes the dashboard, processed datasets, reports, model artifact, source code, requirements file and README documentation. Raw source data is excluded through .gitignore.</w:t>
      </w:r>
    </w:p>
    <w:p>
      <w:r>
        <w:t>For local use, the project can be cloned, dependencies installed from requirements.txt, and the dashboard started using: streamlit run dashboard/app.py</w:t>
      </w:r>
    </w:p>
    <w:p>
      <w:pPr>
        <w:pStyle w:val="Heading1"/>
      </w:pPr>
      <w:r>
        <w:t>17. Key Challenges and Solutions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Challenge</w:t>
            </w:r>
          </w:p>
        </w:tc>
        <w:tc>
          <w:tcPr>
            <w:tcW w:type="dxa" w:w="4968"/>
            <w:vAlign w:val="center"/>
            <w:shd w:fill="D9EAF7"/>
          </w:tcPr>
          <w:p>
            <w:r/>
            <w:r>
              <w:rPr>
                <w:b/>
                <w:sz w:val="18"/>
              </w:rPr>
              <w:t>Solution</w:t>
            </w:r>
          </w:p>
        </w:tc>
      </w:tr>
      <w:tr>
        <w:tc>
          <w:tcPr>
            <w:tcW w:type="dxa" w:w="4968"/>
            <w:vAlign w:val="center"/>
          </w:tcPr>
          <w:p>
            <w:r/>
            <w:r>
              <w:rPr>
                <w:b w:val="0"/>
                <w:sz w:val="18"/>
              </w:rPr>
              <w:t>Multi-item transaction strings</w:t>
            </w:r>
          </w:p>
        </w:tc>
        <w:tc>
          <w:tcPr>
            <w:tcW w:type="dxa" w:w="4968"/>
            <w:vAlign w:val="center"/>
          </w:tcPr>
          <w:p>
            <w:r/>
            <w:r>
              <w:rPr>
                <w:b w:val="0"/>
                <w:sz w:val="18"/>
              </w:rPr>
              <w:t>Built catalog-based item matching and validated all parsed items.</w:t>
            </w:r>
          </w:p>
        </w:tc>
      </w:tr>
      <w:tr>
        <w:tc>
          <w:tcPr>
            <w:tcW w:type="dxa" w:w="4968"/>
            <w:vAlign w:val="center"/>
          </w:tcPr>
          <w:p>
            <w:r/>
            <w:r>
              <w:rPr>
                <w:b w:val="0"/>
                <w:sz w:val="18"/>
              </w:rPr>
              <w:t>Product-level revenue not directly recorded</w:t>
            </w:r>
          </w:p>
        </w:tc>
        <w:tc>
          <w:tcPr>
            <w:tcW w:type="dxa" w:w="4968"/>
            <w:vAlign w:val="center"/>
          </w:tcPr>
          <w:p>
            <w:r/>
            <w:r>
              <w:rPr>
                <w:b w:val="0"/>
                <w:sz w:val="18"/>
              </w:rPr>
              <w:t>Used documented catalog-price-share allocation.</w:t>
            </w:r>
          </w:p>
        </w:tc>
      </w:tr>
      <w:tr>
        <w:tc>
          <w:tcPr>
            <w:tcW w:type="dxa" w:w="4968"/>
            <w:vAlign w:val="center"/>
          </w:tcPr>
          <w:p>
            <w:r/>
            <w:r>
              <w:rPr>
                <w:b w:val="0"/>
                <w:sz w:val="18"/>
              </w:rPr>
              <w:t>Forecast leakage risk</w:t>
            </w:r>
          </w:p>
        </w:tc>
        <w:tc>
          <w:tcPr>
            <w:tcW w:type="dxa" w:w="4968"/>
            <w:vAlign w:val="center"/>
          </w:tcPr>
          <w:p>
            <w:r/>
            <w:r>
              <w:rPr>
                <w:b w:val="0"/>
                <w:sz w:val="18"/>
              </w:rPr>
              <w:t>Used shifted lag/rolling features and chronological evaluation.</w:t>
            </w:r>
          </w:p>
        </w:tc>
      </w:tr>
      <w:tr>
        <w:tc>
          <w:tcPr>
            <w:tcW w:type="dxa" w:w="4968"/>
            <w:vAlign w:val="center"/>
          </w:tcPr>
          <w:p>
            <w:r/>
            <w:r>
              <w:rPr>
                <w:b w:val="0"/>
                <w:sz w:val="18"/>
              </w:rPr>
              <w:t>Different model performance</w:t>
            </w:r>
          </w:p>
        </w:tc>
        <w:tc>
          <w:tcPr>
            <w:tcW w:type="dxa" w:w="4968"/>
            <w:vAlign w:val="center"/>
          </w:tcPr>
          <w:p>
            <w:r/>
            <w:r>
              <w:rPr>
                <w:b w:val="0"/>
                <w:sz w:val="18"/>
              </w:rPr>
              <w:t>Compared multiple models against a weekly naive baseline.</w:t>
            </w:r>
          </w:p>
        </w:tc>
      </w:tr>
      <w:tr>
        <w:tc>
          <w:tcPr>
            <w:tcW w:type="dxa" w:w="4968"/>
            <w:vAlign w:val="center"/>
          </w:tcPr>
          <w:p>
            <w:r/>
            <w:r>
              <w:rPr>
                <w:b w:val="0"/>
                <w:sz w:val="18"/>
              </w:rPr>
              <w:t>Technical ML output difficult for users</w:t>
            </w:r>
          </w:p>
        </w:tc>
        <w:tc>
          <w:tcPr>
            <w:tcW w:type="dxa" w:w="4968"/>
            <w:vAlign w:val="center"/>
          </w:tcPr>
          <w:p>
            <w:r/>
            <w:r>
              <w:rPr>
                <w:b w:val="0"/>
                <w:sz w:val="18"/>
              </w:rPr>
              <w:t>Added a business decision layer and interactive dashboard.</w:t>
            </w:r>
          </w:p>
        </w:tc>
      </w:tr>
      <w:tr>
        <w:tc>
          <w:tcPr>
            <w:tcW w:type="dxa" w:w="4968"/>
            <w:vAlign w:val="center"/>
          </w:tcPr>
          <w:p>
            <w:r/>
            <w:r>
              <w:rPr>
                <w:b w:val="0"/>
                <w:sz w:val="18"/>
              </w:rPr>
              <w:t>Deployment reproducibility</w:t>
            </w:r>
          </w:p>
        </w:tc>
        <w:tc>
          <w:tcPr>
            <w:tcW w:type="dxa" w:w="4968"/>
            <w:vAlign w:val="center"/>
          </w:tcPr>
          <w:p>
            <w:r/>
            <w:r>
              <w:rPr>
                <w:b w:val="0"/>
                <w:sz w:val="18"/>
              </w:rPr>
              <w:t>Added requirements.txt, README and GitHub/Streamlit instructions.</w:t>
            </w:r>
          </w:p>
        </w:tc>
      </w:tr>
    </w:tbl>
    <w:p/>
    <w:p>
      <w:pPr>
        <w:pStyle w:val="Heading1"/>
      </w:pPr>
      <w:r>
        <w:t>18. Limitations</w:t>
      </w:r>
    </w:p>
    <w:p>
      <w:pPr>
        <w:pStyle w:val="ListBullet"/>
      </w:pPr>
      <w:r>
        <w:t>The available dataset covers January to September 2025, so full-year seasonal behavior cannot be established.</w:t>
      </w:r>
    </w:p>
    <w:p>
      <w:pPr>
        <w:pStyle w:val="ListBullet"/>
      </w:pPr>
      <w:r>
        <w:t>Customer-level analysis is limited because identifiable customer IDs are not available.</w:t>
      </w:r>
    </w:p>
    <w:p>
      <w:pPr>
        <w:pStyle w:val="ListBullet"/>
      </w:pPr>
      <w:r>
        <w:t>Product revenue is analytically allocated from transaction-level revenue rather than taken from recorded POS line-item revenue.</w:t>
      </w:r>
    </w:p>
    <w:p>
      <w:pPr>
        <w:pStyle w:val="ListBullet"/>
      </w:pPr>
      <w:r>
        <w:t>The forecast model predicts order count, not profit, inventory consumption or staffing hours.</w:t>
      </w:r>
    </w:p>
    <w:p>
      <w:pPr>
        <w:pStyle w:val="ListBullet"/>
      </w:pPr>
      <w:r>
        <w:t>External drivers such as weather, holidays, promotions and local events are not included.</w:t>
      </w:r>
    </w:p>
    <w:p>
      <w:pPr>
        <w:pStyle w:val="ListBullet"/>
      </w:pPr>
      <w:r>
        <w:t>Forecast performance is evaluated on one chronological holdout period.</w:t>
      </w:r>
    </w:p>
    <w:p>
      <w:pPr>
        <w:pStyle w:val="Heading1"/>
      </w:pPr>
      <w:r>
        <w:t>19. Future Scope</w:t>
      </w:r>
    </w:p>
    <w:p>
      <w:pPr>
        <w:pStyle w:val="ListBullet"/>
      </w:pPr>
      <w:r>
        <w:t>Add longer historical data covering multiple years.</w:t>
      </w:r>
    </w:p>
    <w:p>
      <w:pPr>
        <w:pStyle w:val="ListBullet"/>
      </w:pPr>
      <w:r>
        <w:t>Add holidays, promotions, weather and local-event features.</w:t>
      </w:r>
    </w:p>
    <w:p>
      <w:pPr>
        <w:pStyle w:val="ListBullet"/>
      </w:pPr>
      <w:r>
        <w:t>Forecast product-level or category-level demand.</w:t>
      </w:r>
    </w:p>
    <w:p>
      <w:pPr>
        <w:pStyle w:val="ListBullet"/>
      </w:pPr>
      <w:r>
        <w:t>Add inventory and stock-out prediction.</w:t>
      </w:r>
    </w:p>
    <w:p>
      <w:pPr>
        <w:pStyle w:val="ListBullet"/>
      </w:pPr>
      <w:r>
        <w:t>Add staffing requirement forecasting.</w:t>
      </w:r>
    </w:p>
    <w:p>
      <w:pPr>
        <w:pStyle w:val="ListBullet"/>
      </w:pPr>
      <w:r>
        <w:t>Add automated model retraining when new sales data arrives.</w:t>
      </w:r>
    </w:p>
    <w:p>
      <w:pPr>
        <w:pStyle w:val="ListBullet"/>
      </w:pPr>
      <w:r>
        <w:t>Add monitoring of actual vs predicted demand after deployment.</w:t>
      </w:r>
    </w:p>
    <w:p>
      <w:pPr>
        <w:pStyle w:val="ListBullet"/>
      </w:pPr>
      <w:r>
        <w:t>Add role-based access and database-backed production deployment.</w:t>
      </w:r>
    </w:p>
    <w:p>
      <w:pPr>
        <w:pStyle w:val="Heading1"/>
      </w:pPr>
      <w:r>
        <w:t>20. How to Explain the Project in an Interview</w:t>
      </w:r>
    </w:p>
    <w:p>
      <w:r>
        <w:t>A simple explanation is:</w:t>
      </w:r>
    </w:p>
    <w:p>
      <w:r>
        <w:rPr>
          <w:i/>
        </w:rPr>
        <w:t>"My project is a Restaurant Sales Intelligence and Demand Forecasting system. It analyzes restaurant sales data to understand revenue, products, categories, outlets and demand patterns. I then built a leakage-safe machine learning pipeline to predict daily order demand. I compared multiple models and selected HistGradientBoosting based on the test results. Finally, I converted the predictions and analysis into a Streamlit dashboard with business insights and a 14-day forecast, and deployed the application on Streamlit Cloud."</w:t>
      </w:r>
    </w:p>
    <w:p>
      <w:pPr>
        <w:pStyle w:val="Heading1"/>
      </w:pPr>
      <w:r>
        <w:t>21. Important Viva Questions</w:t>
      </w:r>
    </w:p>
    <w:p>
      <w:r>
        <w:rPr>
          <w:b/>
        </w:rPr>
        <w:t>Q: Why did you use a chronological split?</w:t>
      </w:r>
    </w:p>
    <w:p>
      <w:r>
        <w:t>A: Because forecasting is time-dependent. A random split can allow future patterns to enter training and give misleading evaluation.</w:t>
      </w:r>
    </w:p>
    <w:p>
      <w:r>
        <w:rPr>
          <w:b/>
        </w:rPr>
        <w:t>Q: Why did you compare against a baseline?</w:t>
      </w:r>
    </w:p>
    <w:p>
      <w:r>
        <w:t>A: A baseline tells us whether the machine learning model actually improves over a simple forecasting strategy.</w:t>
      </w:r>
    </w:p>
    <w:p>
      <w:r>
        <w:rPr>
          <w:b/>
        </w:rPr>
        <w:t>Q: Why HistGradientBoosting?</w:t>
      </w:r>
    </w:p>
    <w:p>
      <w:r>
        <w:t>A: It achieved the lowest MAE, RMSE, WAPE and sMAPE among the evaluated models on the chronological holdout.</w:t>
      </w:r>
    </w:p>
    <w:p>
      <w:r>
        <w:rPr>
          <w:b/>
        </w:rPr>
        <w:t>Q: What is data leakage?</w:t>
      </w:r>
    </w:p>
    <w:p>
      <w:r>
        <w:t>A: It is when information that would not be available at prediction time is accidentally used to build a feature or train the model.</w:t>
      </w:r>
    </w:p>
    <w:p>
      <w:r>
        <w:rPr>
          <w:b/>
        </w:rPr>
        <w:t>Q: What does MAE mean?</w:t>
      </w:r>
    </w:p>
    <w:p>
      <w:r>
        <w:t>A: Mean Absolute Error represents the average absolute difference between predicted and actual order counts.</w:t>
      </w:r>
    </w:p>
    <w:p>
      <w:r>
        <w:rPr>
          <w:b/>
        </w:rPr>
        <w:t>Q: Why is WAPE useful?</w:t>
      </w:r>
    </w:p>
    <w:p>
      <w:r>
        <w:t>A: It gives an error measure relative to total actual demand and is easy to interpret for aggregated business forecasting.</w:t>
      </w:r>
    </w:p>
    <w:p>
      <w:r>
        <w:rPr>
          <w:b/>
        </w:rPr>
        <w:t>Q: Why did you not do customer segmentation?</w:t>
      </w:r>
    </w:p>
    <w:p>
      <w:r>
        <w:t>A: The selected dataset does not contain reliable customer identifiers, so customer-level behavior was not fabricated.</w:t>
      </w:r>
    </w:p>
    <w:p>
      <w:r>
        <w:rPr>
          <w:b/>
        </w:rPr>
        <w:t>Q: How is the project useful to a restaurant?</w:t>
      </w:r>
    </w:p>
    <w:p>
      <w:r>
        <w:t>A: It provides a single view of sales performance and expected demand, helping managers understand demand patterns and plan operations.</w:t>
      </w:r>
    </w:p>
    <w:p>
      <w:pPr>
        <w:pStyle w:val="Heading1"/>
      </w:pPr>
      <w:r>
        <w:t>22. Conclusion</w:t>
      </w:r>
    </w:p>
    <w:p>
      <w:r>
        <w:t>This project demonstrates a complete Data Science workflow from raw transaction data to a deployed business application. It combines data preparation, descriptive analytics, product intelligence, machine learning forecasting and decision support in a single system.</w:t>
      </w:r>
    </w:p>
    <w:p>
      <w:r>
        <w:t>The key outcome is not only a forecasting model, but a practical pipeline that turns restaurant data into understandable information for decision-making. The deployed Streamlit dashboard makes the result accessible without requiring the user to run notebooks or understand the underlying code.</w:t>
      </w:r>
    </w:p>
    <w:p>
      <w:pPr>
        <w:pStyle w:val="Heading1"/>
      </w:pPr>
      <w:r>
        <w:t>23. References</w:t>
      </w:r>
    </w:p>
    <w:p>
      <w:pPr>
        <w:pStyle w:val="ListNumber"/>
      </w:pPr>
      <w:r>
        <w:t>Mendeley Data, Anonymous F&amp;B POS Dataset, Version 2: https://data.mendeley.com/datasets/kcgf45y24m/2</w:t>
      </w:r>
    </w:p>
    <w:p>
      <w:pPr>
        <w:pStyle w:val="ListNumber"/>
      </w:pPr>
      <w:r>
        <w:t>Project GitHub Repository: https://github.com/4kayasitayashu/restaurant-sales-intelligence</w:t>
      </w:r>
    </w:p>
    <w:p>
      <w:pPr>
        <w:pStyle w:val="ListNumber"/>
      </w:pPr>
      <w:r>
        <w:t>Live Streamlit Dashboard: https://restaurant-sales-intelligence-13.streamlit.app/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Restaurant Sales Intelligence &amp; Demand Forecasting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