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A2218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THE AI STOCK PLAYBOOK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July 2026  ·  5 Catalyst Trades · 5 Long-Term Compounders · Full AI Stack Guide</w:t>
            </w:r>
          </w:p>
        </w:tc>
      </w:tr>
    </w:tbl>
    <w:p/>
    <w:p>
      <w:pPr>
        <w:spacing w:before="40" w:after="80"/>
        <w:jc w:val="center"/>
      </w:pPr>
      <w:r>
        <w:rPr>
          <w:b/>
          <w:color w:val="057A55"/>
          <w:sz w:val="28"/>
        </w:rPr>
        <w:t>Top picks, live data, and the exact AI workflow that found them</w:t>
      </w:r>
    </w:p>
    <w:p>
      <w:pPr>
        <w:spacing w:before="40" w:after="160"/>
        <w:jc w:val="center"/>
      </w:pPr>
      <w:r>
        <w:rPr>
          <w:b w:val="0"/>
          <w:i w:val="0"/>
          <w:color w:val="0D0D0D"/>
          <w:sz w:val="21"/>
        </w:rPr>
        <w:t>Every price, analyst target, and catalyst was pulled live from market data using OpenBB MCP + yfinance + TradingAgents. The stack is open-source, runs unattended, and is powered by Hermes Agent at www.myhermes.cloud.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D4A30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6"/>
                <w:b/>
              </w:rPr>
              <w:t>5 picks</w:t>
            </w:r>
          </w:p>
          <w:p>
            <w:pPr>
              <w:jc w:val="center"/>
            </w:pPr>
            <w:r>
              <w:rPr>
                <w:color w:val="AADDCC"/>
                <w:sz w:val="17"/>
              </w:rPr>
              <w:t>Catalyst trades (2–4 mo)</w:t>
            </w:r>
          </w:p>
        </w:tc>
        <w:tc>
          <w:tcPr>
            <w:tcW w:type="dxa" w:w="2448"/>
            <w:shd w:val="clear" w:color="auto" w:fill="0D4A30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6"/>
                <w:b/>
              </w:rPr>
              <w:t>5 picks</w:t>
            </w:r>
          </w:p>
          <w:p>
            <w:pPr>
              <w:jc w:val="center"/>
            </w:pPr>
            <w:r>
              <w:rPr>
                <w:color w:val="AADDCC"/>
                <w:sz w:val="17"/>
              </w:rPr>
              <w:t>Long-term compounders</w:t>
            </w:r>
          </w:p>
        </w:tc>
        <w:tc>
          <w:tcPr>
            <w:tcW w:type="dxa" w:w="2448"/>
            <w:shd w:val="clear" w:color="auto" w:fill="0D4A30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6"/>
                <w:b/>
              </w:rPr>
              <w:t>Live · July 2026</w:t>
            </w:r>
          </w:p>
          <w:p>
            <w:pPr>
              <w:jc w:val="center"/>
            </w:pPr>
            <w:r>
              <w:rPr>
                <w:color w:val="AADDCC"/>
                <w:sz w:val="17"/>
              </w:rPr>
              <w:t>Data source</w:t>
            </w:r>
          </w:p>
        </w:tc>
        <w:tc>
          <w:tcPr>
            <w:tcW w:type="dxa" w:w="2448"/>
            <w:shd w:val="clear" w:color="auto" w:fill="0D4A30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6"/>
                <w:b/>
              </w:rPr>
              <w:t>6 agents</w:t>
            </w:r>
          </w:p>
          <w:p>
            <w:pPr>
              <w:jc w:val="center"/>
            </w:pPr>
            <w:r>
              <w:rPr>
                <w:color w:val="AADDCC"/>
                <w:sz w:val="17"/>
              </w:rPr>
              <w:t>AI agents in the stack</w:t>
            </w:r>
          </w:p>
        </w:tc>
      </w:tr>
    </w:tbl>
    <w:p/>
    <w:p>
      <w:pPr>
        <w:spacing w:before="0" w:after="200"/>
        <w:jc w:val="center"/>
      </w:pPr>
      <w:r>
        <w:rPr>
          <w:b w:val="0"/>
          <w:i/>
          <w:color w:val="777777"/>
          <w:sz w:val="17"/>
        </w:rPr>
        <w:t>Disclaimer: educational and entertainment only. Not financial advice. All prices are July 2, 2026 snapshots.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D4A30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PART 1 — JULY 2026 PLAYBOOK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Top 5 Catalyst Trades  ·  2–4 Month Horizon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Market Snapshot — July 2,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Asset</w:t>
            </w:r>
          </w:p>
        </w:tc>
        <w:tc>
          <w:tcPr>
            <w:tcW w:type="dxa" w:w="2448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Price</w:t>
            </w:r>
          </w:p>
        </w:tc>
        <w:tc>
          <w:tcPr>
            <w:tcW w:type="dxa" w:w="2448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vs 52-wk High</w:t>
            </w:r>
          </w:p>
        </w:tc>
        <w:tc>
          <w:tcPr>
            <w:tcW w:type="dxa" w:w="2448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Read</w:t>
            </w:r>
          </w:p>
        </w:tc>
      </w:tr>
      <w:tr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S&amp;P 500 (SPY)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$744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−2%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Near all-time highs</w:t>
            </w:r>
          </w:p>
        </w:tc>
      </w:tr>
      <w:tr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Nasdaq 100 (QQQ)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$710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−5%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Tech pulling back</w:t>
            </w:r>
          </w:p>
        </w:tc>
      </w:tr>
      <w:tr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Semis (SMH)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$578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−14%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Correction — dip opportunity</w:t>
            </w:r>
          </w:p>
        </w:tc>
      </w:tr>
      <w:tr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Russell 2000 (IWM)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$254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−6%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Small caps lagging</w:t>
            </w:r>
          </w:p>
        </w:tc>
      </w:tr>
      <w:tr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Bitcoin (IBIT)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$35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−52%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Bear market — avoid</w:t>
            </w:r>
          </w:p>
        </w:tc>
      </w:tr>
      <w:tr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Gold (GLD)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$378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−26%</w:t>
            </w:r>
          </w:p>
        </w:tc>
        <w:tc>
          <w:tcPr>
            <w:tcW w:type="dxa" w:w="2448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Parabola broke — wait</w:t>
            </w:r>
          </w:p>
        </w:tc>
      </w:tr>
      <w:tr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Oil (USO)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$68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−33%</w:t>
            </w:r>
          </w:p>
        </w:tc>
        <w:tc>
          <w:tcPr>
            <w:tcW w:type="dxa" w:w="2448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Don't catch the knife</w:t>
            </w:r>
          </w:p>
        </w:tc>
      </w:tr>
    </w:tbl>
    <w:p/>
    <w:p>
      <w:pPr>
        <w:spacing w:before="40" w:after="60"/>
        <w:jc w:val="left"/>
      </w:pPr>
      <w:r>
        <w:rPr>
          <w:b w:val="0"/>
          <w:i/>
          <w:color w:val="0D0D0D"/>
          <w:sz w:val="21"/>
        </w:rPr>
        <w:t>Theme: leadership is rotating from crypto/gold/oil into AI infrastructure and earnings-driven names. Be selective — quality over momentum right now.</w:t>
      </w:r>
    </w:p>
    <w:p>
      <w:pPr>
        <w:spacing w:before="240" w:after="100"/>
        <w:jc w:val="left"/>
      </w:pPr>
      <w:r>
        <w:rPr>
          <w:b/>
          <w:color w:val="057A55"/>
          <w:sz w:val="26"/>
        </w:rPr>
        <w:t>Top 5 Catalyst Trades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120" w:type="dxa"/>
              <w:bottom w:w="120" w:type="dxa"/>
              <w:left w:w="140" w:type="dxa"/>
              <w:right w:w="100" w:type="dxa"/>
            </w:tcMar>
          </w:tcPr>
          <w:p>
            <w:r>
              <w:rPr>
                <w:b/>
                <w:sz w:val="32"/>
                <w:color w:val="FFD700"/>
              </w:rPr>
              <w:t>#1</w:t>
            </w:r>
          </w:p>
          <w:p>
            <w:r>
              <w:rPr>
                <w:sz w:val="28"/>
                <w:color w:val="AADDCC"/>
                <w:b/>
              </w:rPr>
              <w:t>TTWO  $252</w:t>
            </w:r>
          </w:p>
        </w:tc>
        <w:tc>
          <w:tcPr>
            <w:tcW w:type="dxa" w:w="3264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D4A30"/>
                <w:sz w:val="18"/>
                <w:b/>
              </w:rPr>
              <w:t xml:space="preserve">Strong Buy · 29 analysts · target $285 (+13%)</w:t>
            </w:r>
          </w:p>
          <w:p>
            <w:r>
              <w:rPr>
                <w:color w:val="1A2A22"/>
                <w:sz w:val="18"/>
              </w:rPr>
              <w:t xml:space="preserve">GTA 6 is locked for Nov 19, 2026. Accumulate through the marketing cycle → trim into launch week. Stop: any delay whisper. Don't hold through the launch.</w:t>
            </w:r>
          </w:p>
        </w:tc>
        <w:tc>
          <w:tcPr>
            <w:tcW w:type="dxa" w:w="3264"/>
            <w:shd w:val="clear" w:color="auto" w:fill="FFF5F5"/>
            <w:tcMar>
              <w:top w:w="100" w:type="dxa"/>
              <w:bottom w:w="100" w:type="dxa"/>
              <w:left w:w="100" w:type="dxa"/>
              <w:right w:w="120" w:type="dxa"/>
            </w:tcMar>
          </w:tcPr>
          <w:p>
            <w:r>
              <w:rPr>
                <w:color w:val="C02020"/>
                <w:sz w:val="18"/>
                <w:b/>
              </w:rPr>
              <w:t xml:space="preserve">⚠  Risk</w:t>
            </w:r>
          </w:p>
          <w:p>
            <w:r>
              <w:rPr>
                <w:color w:val="5A1010"/>
                <w:sz w:val="17"/>
              </w:rPr>
              <w:t xml:space="preserve">Delay whisper −10–15% instantly. Do NOT buy EA as an alternative (pinned to M&amp;A price).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120" w:type="dxa"/>
              <w:bottom w:w="120" w:type="dxa"/>
              <w:left w:w="140" w:type="dxa"/>
              <w:right w:w="100" w:type="dxa"/>
            </w:tcMar>
          </w:tcPr>
          <w:p>
            <w:r>
              <w:rPr>
                <w:b/>
                <w:sz w:val="32"/>
                <w:color w:val="FFD700"/>
              </w:rPr>
              <w:t>#2</w:t>
            </w:r>
          </w:p>
          <w:p>
            <w:r>
              <w:rPr>
                <w:sz w:val="28"/>
                <w:color w:val="AADDCC"/>
                <w:b/>
              </w:rPr>
              <w:t>NVDA  $194</w:t>
            </w:r>
          </w:p>
        </w:tc>
        <w:tc>
          <w:tcPr>
            <w:tcW w:type="dxa" w:w="3264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D4A30"/>
                <w:sz w:val="18"/>
                <w:b/>
              </w:rPr>
              <w:t xml:space="preserve">Strong Buy · 58 analysts · target $302 (+56%)</w:t>
            </w:r>
          </w:p>
          <w:p>
            <w:r>
              <w:rPr>
                <w:color w:val="1A2A22"/>
                <w:sz w:val="18"/>
              </w:rPr>
              <w:t xml:space="preserve">Near its 200-day ($191) — every prior touch has been bought. Short float near zero, options flow call-tilted. Earnings late August.</w:t>
            </w:r>
          </w:p>
        </w:tc>
        <w:tc>
          <w:tcPr>
            <w:tcW w:type="dxa" w:w="3264"/>
            <w:shd w:val="clear" w:color="auto" w:fill="FFF5F5"/>
            <w:tcMar>
              <w:top w:w="100" w:type="dxa"/>
              <w:bottom w:w="100" w:type="dxa"/>
              <w:left w:w="100" w:type="dxa"/>
              <w:right w:w="120" w:type="dxa"/>
            </w:tcMar>
          </w:tcPr>
          <w:p>
            <w:r>
              <w:rPr>
                <w:color w:val="C02020"/>
                <w:sz w:val="18"/>
                <w:b/>
              </w:rPr>
              <w:t xml:space="preserve">⚠  Risk</w:t>
            </w:r>
          </w:p>
          <w:p>
            <w:r>
              <w:rPr>
                <w:color w:val="5A1010"/>
                <w:sz w:val="17"/>
              </w:rPr>
              <w:t xml:space="preserve">Decisive close below $191 = thesis broken. Add dip, don't chase strength.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120" w:type="dxa"/>
              <w:bottom w:w="120" w:type="dxa"/>
              <w:left w:w="140" w:type="dxa"/>
              <w:right w:w="100" w:type="dxa"/>
            </w:tcMar>
          </w:tcPr>
          <w:p>
            <w:r>
              <w:rPr>
                <w:b/>
                <w:sz w:val="32"/>
                <w:color w:val="FFD700"/>
              </w:rPr>
              <w:t>#3</w:t>
            </w:r>
          </w:p>
          <w:p>
            <w:r>
              <w:rPr>
                <w:sz w:val="28"/>
                <w:color w:val="AADDCC"/>
                <w:b/>
              </w:rPr>
              <w:t>MU  $976</w:t>
            </w:r>
          </w:p>
        </w:tc>
        <w:tc>
          <w:tcPr>
            <w:tcW w:type="dxa" w:w="3264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D4A30"/>
                <w:sz w:val="18"/>
                <w:b/>
              </w:rPr>
              <w:t xml:space="preserve">Strong Buy · 42 analysts · target $1,550 (+59%)</w:t>
            </w:r>
          </w:p>
          <w:p>
            <w:r>
              <w:rPr>
                <w:color w:val="1A2A22"/>
                <w:sz w:val="18"/>
              </w:rPr>
              <w:t xml:space="preserve">HBM supercycle trade. Up ~9x and pulled back 22% while analysts keep raising targets. Fiscal Q4 earnings late September. Half-size position only.</w:t>
            </w:r>
          </w:p>
        </w:tc>
        <w:tc>
          <w:tcPr>
            <w:tcW w:type="dxa" w:w="3264"/>
            <w:shd w:val="clear" w:color="auto" w:fill="FFF5F5"/>
            <w:tcMar>
              <w:top w:w="100" w:type="dxa"/>
              <w:bottom w:w="100" w:type="dxa"/>
              <w:left w:w="100" w:type="dxa"/>
              <w:right w:w="120" w:type="dxa"/>
            </w:tcMar>
          </w:tcPr>
          <w:p>
            <w:r>
              <w:rPr>
                <w:color w:val="C02020"/>
                <w:sz w:val="18"/>
                <w:b/>
              </w:rPr>
              <w:t xml:space="preserve">⚠  Risk</w:t>
            </w:r>
          </w:p>
          <w:p>
            <w:r>
              <w:rPr>
                <w:color w:val="5A1010"/>
                <w:sz w:val="17"/>
              </w:rPr>
              <w:t xml:space="preserve">Memory is brutally cyclical. This is the highest-risk, highest-upside name on the list.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120" w:type="dxa"/>
              <w:bottom w:w="120" w:type="dxa"/>
              <w:left w:w="140" w:type="dxa"/>
              <w:right w:w="100" w:type="dxa"/>
            </w:tcMar>
          </w:tcPr>
          <w:p>
            <w:r>
              <w:rPr>
                <w:b/>
                <w:sz w:val="32"/>
                <w:color w:val="FFD700"/>
              </w:rPr>
              <w:t>#4</w:t>
            </w:r>
          </w:p>
          <w:p>
            <w:r>
              <w:rPr>
                <w:sz w:val="28"/>
                <w:color w:val="AADDCC"/>
                <w:b/>
              </w:rPr>
              <w:t>GOOGL  $356</w:t>
            </w:r>
          </w:p>
        </w:tc>
        <w:tc>
          <w:tcPr>
            <w:tcW w:type="dxa" w:w="3264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D4A30"/>
                <w:sz w:val="18"/>
                <w:b/>
              </w:rPr>
              <w:t xml:space="preserve">Strong Buy · 53 analysts · target $433 (+22%)</w:t>
            </w:r>
          </w:p>
          <w:p>
            <w:r>
              <w:rPr>
                <w:color w:val="1A2A22"/>
                <w:sz w:val="18"/>
              </w:rPr>
              <w:t xml:space="preserve">Down 13% from high. Nearest catalyst: Q2 earnings late July. Role: ballast — lowest volatility of the five.</w:t>
            </w:r>
          </w:p>
        </w:tc>
        <w:tc>
          <w:tcPr>
            <w:tcW w:type="dxa" w:w="3264"/>
            <w:shd w:val="clear" w:color="auto" w:fill="FFF5F5"/>
            <w:tcMar>
              <w:top w:w="100" w:type="dxa"/>
              <w:bottom w:w="100" w:type="dxa"/>
              <w:left w:w="100" w:type="dxa"/>
              <w:right w:w="120" w:type="dxa"/>
            </w:tcMar>
          </w:tcPr>
          <w:p>
            <w:r>
              <w:rPr>
                <w:color w:val="C02020"/>
                <w:sz w:val="18"/>
                <w:b/>
              </w:rPr>
              <w:t xml:space="preserve">⚠  Risk</w:t>
            </w:r>
          </w:p>
          <w:p>
            <w:r>
              <w:rPr>
                <w:color w:val="5A1010"/>
                <w:sz w:val="17"/>
              </w:rPr>
              <w:t xml:space="preserve">AI chatbots threaten search share. Antitrust overhang.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120" w:type="dxa"/>
              <w:bottom w:w="120" w:type="dxa"/>
              <w:left w:w="140" w:type="dxa"/>
              <w:right w:w="100" w:type="dxa"/>
            </w:tcMar>
          </w:tcPr>
          <w:p>
            <w:r>
              <w:rPr>
                <w:b/>
                <w:sz w:val="32"/>
                <w:color w:val="FFD700"/>
              </w:rPr>
              <w:t>#5</w:t>
            </w:r>
          </w:p>
          <w:p>
            <w:r>
              <w:rPr>
                <w:sz w:val="28"/>
                <w:color w:val="AADDCC"/>
                <w:b/>
              </w:rPr>
              <w:t>GEV  $1,095</w:t>
            </w:r>
          </w:p>
        </w:tc>
        <w:tc>
          <w:tcPr>
            <w:tcW w:type="dxa" w:w="3264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D4A30"/>
                <w:sz w:val="18"/>
                <w:b/>
              </w:rPr>
              <w:t xml:space="preserve">Buy · 34 analysts · target $1,235 (+13%)</w:t>
            </w:r>
          </w:p>
          <w:p>
            <w:r>
              <w:rPr>
                <w:color w:val="1A2A22"/>
                <w:sz w:val="18"/>
              </w:rPr>
              <w:t xml:space="preserve">Clean uptrend, above rising 50-day. Q2 earnings ~Jul 22. AI-electricity bottleneck theme — power demand is secular.</w:t>
            </w:r>
          </w:p>
        </w:tc>
        <w:tc>
          <w:tcPr>
            <w:tcW w:type="dxa" w:w="3264"/>
            <w:shd w:val="clear" w:color="auto" w:fill="FFF5F5"/>
            <w:tcMar>
              <w:top w:w="100" w:type="dxa"/>
              <w:bottom w:w="100" w:type="dxa"/>
              <w:left w:w="100" w:type="dxa"/>
              <w:right w:w="120" w:type="dxa"/>
            </w:tcMar>
          </w:tcPr>
          <w:p>
            <w:r>
              <w:rPr>
                <w:color w:val="C02020"/>
                <w:sz w:val="18"/>
                <w:b/>
              </w:rPr>
              <w:t xml:space="preserve">⚠  Risk</w:t>
            </w:r>
          </w:p>
          <w:p>
            <w:r>
              <w:rPr>
                <w:color w:val="5A1010"/>
                <w:sz w:val="17"/>
              </w:rPr>
              <w:t xml:space="preserve">Expensive and crowded. Exit signal = close below 50-day.</w:t>
            </w:r>
          </w:p>
        </w:tc>
      </w:tr>
    </w:tbl>
    <w:p/>
    <w:p>
      <w:pPr>
        <w:spacing w:before="240" w:after="100"/>
        <w:jc w:val="left"/>
      </w:pPr>
      <w:r>
        <w:rPr>
          <w:b/>
          <w:color w:val="057A55"/>
          <w:sz w:val="26"/>
        </w:rPr>
        <w:t>The Six Rules That Actually Multiply Money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1. Sizing</w:t>
            </w:r>
          </w:p>
          <w:p>
            <w:r>
              <w:rPr>
                <w:color w:val="1A3025"/>
                <w:sz w:val="18"/>
              </w:rPr>
              <w:t xml:space="preserve">5 stocks at ~8% each (MU at 4%). Tactical ETFs at 5%. Keep 15–20% cash for Aug–Sep volatility.</w:t>
            </w:r>
          </w:p>
        </w:tc>
        <w:tc>
          <w:tcPr>
            <w:tcW w:type="dxa" w:w="4896"/>
            <w:shd w:val="clear" w:color="auto" w:fill="E8F5EE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2. Catalyst run-up</w:t>
            </w:r>
          </w:p>
          <w:p>
            <w:r>
              <w:rPr>
                <w:color w:val="1A3025"/>
                <w:sz w:val="18"/>
              </w:rPr>
              <w:t xml:space="preserve">Buy ahead of the event, add on confirmation, sell INTO the event — not after it.</w:t>
            </w:r>
          </w:p>
        </w:tc>
      </w:tr>
      <w:tr>
        <w:tc>
          <w:tcPr>
            <w:tcW w:type="dxa" w:w="4896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3. Buy-the-dip filter</w:t>
            </w:r>
          </w:p>
          <w:p>
            <w:r>
              <w:rPr>
                <w:color w:val="1A3025"/>
                <w:sz w:val="18"/>
              </w:rPr>
              <w:t xml:space="preserve">Only in names where the consensus target is far above price AND price holds its 200-day.</w:t>
            </w:r>
          </w:p>
        </w:tc>
        <w:tc>
          <w:tcPr>
            <w:tcW w:type="dxa" w:w="4896"/>
            <w:shd w:val="clear" w:color="auto" w:fill="E8F5EE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4. Momentum filter</w:t>
            </w:r>
          </w:p>
          <w:p>
            <w:r>
              <w:rPr>
                <w:color w:val="1A3025"/>
                <w:sz w:val="18"/>
              </w:rPr>
              <w:t xml:space="preserve">GEV/IWM — trend is the thesis. Close below 50-day IS the sell signal. No averaging down.</w:t>
            </w:r>
          </w:p>
        </w:tc>
      </w:tr>
      <w:tr>
        <w:tc>
          <w:tcPr>
            <w:tcW w:type="dxa" w:w="4896"/>
            <w:shd w:val="clear" w:color="auto" w:fill="F0FAF5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5. Avoid</w:t>
            </w:r>
          </w:p>
          <w:p>
            <w:r>
              <w:rPr>
                <w:color w:val="1A3025"/>
                <w:sz w:val="18"/>
              </w:rPr>
              <w:t xml:space="preserve">Stocks above consensus after huge runs (AMD, HOOD). Broken parabolas still falling (silver, BTC).</w:t>
            </w:r>
          </w:p>
        </w:tc>
        <w:tc>
          <w:tcPr>
            <w:tcW w:type="dxa" w:w="4896"/>
            <w:shd w:val="clear" w:color="auto" w:fill="E8F5EE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6. Write the exit first</w:t>
            </w:r>
          </w:p>
          <w:p>
            <w:r>
              <w:rPr>
                <w:color w:val="1A3025"/>
                <w:sz w:val="18"/>
              </w:rPr>
              <w:t xml:space="preserve">Every position gets a stop and a target on paper before you buy. Non-negotiable.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ETF Picks &amp; Watchlist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Role</w:t>
            </w:r>
          </w:p>
        </w:tc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ETF</w:t>
            </w:r>
          </w:p>
        </w:tc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Note</w:t>
            </w:r>
          </w:p>
        </w:tc>
      </w:tr>
      <w:tr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Core (50–60%)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SPY / QQQ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Near highs — buy and leave alone</w:t>
            </w:r>
          </w:p>
        </w:tc>
      </w:tr>
      <w:tr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Tactical — semis dip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SMH ($578)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−14% from high; diversified NVDA proxy</w:t>
            </w:r>
          </w:p>
        </w:tc>
      </w:tr>
      <w:tr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Small cap momentum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IWM ($254)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Wait for 50-day reclaim before adding</w:t>
            </w:r>
          </w:p>
        </w:tc>
      </w:tr>
      <w:tr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Commodities bench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COPX ($77)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At 200-day — most interesting level. Watch, don't touch yet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D4A30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PART 2 — THE AI STACK IN ACTION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See the actual agent workflow that produced these picks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What the Workflow Looks Like</w:t>
      </w:r>
    </w:p>
    <w:p>
      <w:pPr>
        <w:spacing w:before="40" w:after="60"/>
        <w:jc w:val="left"/>
      </w:pPr>
      <w:r>
        <w:rPr>
          <w:b w:val="0"/>
          <w:i w:val="0"/>
          <w:color w:val="0D0D0D"/>
          <w:sz w:val="21"/>
        </w:rPr>
        <w:t>The three screenshots below show the live agent pipeline: screening → multi-agent debate → portfolio health report. Every output you see was generated autonomously — no manual research.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1358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5003d-IMG_550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5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8877"/>
          <w:sz w:val="18"/>
        </w:rPr>
        <w:t>Step 1 — Screen: yfinance pulls day-gainers → Playbook Filter rejects names that break the rules → surviving candidates (AVAV, CACI) are handed to the debate agents.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28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429ceb-IMG_550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8877"/>
          <w:sz w:val="18"/>
        </w:rPr>
        <w:t>Step 2 — Debate: 6 agents (Technical, Fundamentals, Estimates, News, Flow, Options, Macro) argue the case → Bull &amp; Bear Researchers synthesise opposing theses → Fund Manager delivers the verdict with conviction score. Shown: NVDA analysis → HOLD / ACCUMULATE $191–196, conviction 7/10.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2247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71e899-IMG_550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4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8877"/>
          <w:sz w:val="18"/>
        </w:rPr>
        <w:t>Step 3 — Health Report: Exit Rule Engine checks 56 strategy rules against all 5 open positions → 0/5 exits triggered → Health Report confirms 5 HOLDs, flags earnings gauntlet (GEV Jul 22 → GOOGL Jul 24 → MU Sep).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A2218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PART 3 — BUILD THIS YOURSELF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The full stack · Hermes Agent as the automation layer · Runs on VPS unattended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The Stack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Tool</w:t>
            </w:r>
          </w:p>
        </w:tc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What It Does</w:t>
            </w:r>
          </w:p>
        </w:tc>
        <w:tc>
          <w:tcPr>
            <w:tcW w:type="dxa" w:w="3264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Role</w:t>
            </w:r>
          </w:p>
        </w:tc>
      </w:tr>
      <w:tr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Hermes Agent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Self-evolving agentic OS · myhermes.cloud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Connects everything · runs on VPS · improves each run</w:t>
            </w:r>
          </w:p>
        </w:tc>
      </w:tr>
      <w:tr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Claude Code + Mythos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Reasoning + code execution layer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The brain behind every decision</w:t>
            </w:r>
          </w:p>
        </w:tc>
      </w:tr>
      <w:tr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TradingAgents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Multi-agent bull/bear debate framework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Investment thesis generation</w:t>
            </w:r>
          </w:p>
        </w:tc>
      </w:tr>
      <w:tr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OpenBB MCP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Live quotes, analyst targets, news, fundamentals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Real-time market data feed</w:t>
            </w:r>
          </w:p>
        </w:tc>
      </w:tr>
      <w:tr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yfinance (local)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Fallback OHLCV + fundamentals · zero API keys</w:t>
            </w:r>
          </w:p>
        </w:tc>
        <w:tc>
          <w:tcPr>
            <w:tcW w:type="dxa" w:w="3264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Screening universe</w:t>
            </w:r>
          </w:p>
        </w:tc>
      </w:tr>
      <w:tr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FinanceDatabase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300k+ symbols filterable by sector/industry</w:t>
            </w:r>
          </w:p>
        </w:tc>
        <w:tc>
          <w:tcPr>
            <w:tcW w:type="dxa" w:w="3264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Theme-based universe construction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Hermes — The Layer That Connects Everything</w:t>
      </w:r>
    </w:p>
    <w:p>
      <w:pPr>
        <w:spacing w:before="40" w:after="60"/>
        <w:jc w:val="left"/>
      </w:pPr>
      <w:r>
        <w:rPr>
          <w:b w:val="0"/>
          <w:i w:val="0"/>
          <w:color w:val="0D0D0D"/>
          <w:sz w:val="21"/>
        </w:rPr>
        <w:t>All six tools above run inside Hermes Agent. Hermes provides persistent memory across sessions, a built-in MCP orchestration layer, and a scheduler that fires the full pipeline on a VPS via Docker — unattended, every week, without touching your laptop.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D4D30"/>
                <w:sz w:val="22"/>
                <w:b/>
              </w:rPr>
              <w:t xml:space="preserve">What Hermes Adds on Top of the Raw Stack</w:t>
            </w:r>
          </w:p>
          <w:p>
            <w:r>
              <w:rPr>
                <w:color w:val="224433"/>
                <w:sz w:val="19"/>
              </w:rPr>
              <w:t xml:space="preserve">  •  Persistent memory — Hermes remembers every prior run: which picks worked, what the market context was,</w:t>
            </w:r>
          </w:p>
          <w:p>
            <w:r>
              <w:rPr>
                <w:color w:val="224433"/>
                <w:sz w:val="19"/>
              </w:rPr>
              <w:t xml:space="preserve">     what rules fired. The next run is smarter than the last.</w:t>
            </w:r>
          </w:p>
          <w:p>
            <w:r>
              <w:rPr>
                <w:color w:val="224433"/>
                <w:sz w:val="19"/>
              </w:rPr>
              <w:t xml:space="preserve">  •  Self-evolving — Hermes updates its own workflows based on results. Bad signals get downweighted.</w:t>
            </w:r>
          </w:p>
          <w:p>
            <w:r>
              <w:rPr>
                <w:color w:val="224433"/>
                <w:sz w:val="19"/>
              </w:rPr>
              <w:t xml:space="preserve">  •  MCP orchestration — connects OpenBB, yfinance, Claude Code, and TradingAgents in one pipeline</w:t>
            </w:r>
          </w:p>
          <w:p>
            <w:r>
              <w:rPr>
                <w:color w:val="224433"/>
                <w:sz w:val="19"/>
              </w:rPr>
              <w:t xml:space="preserve">     with a single prompt, no glue code required.</w:t>
            </w:r>
          </w:p>
          <w:p>
            <w:r>
              <w:rPr>
                <w:color w:val="224433"/>
                <w:sz w:val="19"/>
              </w:rPr>
              <w:t xml:space="preserve">  •  VPS automation — run on any Linux VPS in a Docker container. Set a cron → walk away.</w:t>
            </w:r>
          </w:p>
          <w:p>
            <w:r>
              <w:rPr>
                <w:color w:val="224433"/>
                <w:sz w:val="19"/>
              </w:rPr>
              <w:t xml:space="preserve">  •  Audit trail — every agent decision, signal, and trade logged for review.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Get Started with Hermes — Step-by-Step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10" w:type="dxa"/>
              <w:bottom w:w="110" w:type="dxa"/>
              <w:left w:w="180" w:type="dxa"/>
              <w:right w:w="180" w:type="dxa"/>
            </w:tcMar>
          </w:tcPr>
          <w:p>
            <w:r>
              <w:rPr>
                <w:b/>
                <w:sz w:val="22"/>
                <w:color w:val="0A3020"/>
              </w:rPr>
              <w:t>Step 1 — Create your account</w:t>
            </w:r>
          </w:p>
          <w:p>
            <w:r>
              <w:rPr>
                <w:sz w:val="19"/>
                <w:color w:val="1A3A28"/>
              </w:rPr>
              <w:t xml:space="preserve">Go to www.myhermes.cloud and sign up (free tier available).</w:t>
            </w:r>
          </w:p>
          <w:p>
            <w:r>
              <w:rPr>
                <w:sz w:val="19"/>
                <w:color w:val="1A3A28"/>
              </w:rPr>
              <w:t xml:space="preserve">Complete the onboarding — choose 'Finance &amp; Trading' as your primary use case.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10" w:type="dxa"/>
              <w:bottom w:w="110" w:type="dxa"/>
              <w:left w:w="180" w:type="dxa"/>
              <w:right w:w="180" w:type="dxa"/>
            </w:tcMar>
          </w:tcPr>
          <w:p>
            <w:r>
              <w:rPr>
                <w:b/>
                <w:sz w:val="22"/>
                <w:color w:val="0A3020"/>
              </w:rPr>
              <w:t>Step 2 — Connect Claude Code</w:t>
            </w:r>
          </w:p>
          <w:p>
            <w:r>
              <w:rPr>
                <w:sz w:val="19"/>
                <w:color w:val="1A3A28"/>
              </w:rPr>
              <w:t xml:space="preserve">In Hermes Settings → Integrations → Claude Code.</w:t>
            </w:r>
          </w:p>
          <w:p>
            <w:r>
              <w:rPr>
                <w:sz w:val="19"/>
                <w:color w:val="1A3A28"/>
              </w:rPr>
              <w:t xml:space="preserve">Paste your Anthropic API key (get one at console.anthropic.com).</w:t>
            </w:r>
          </w:p>
          <w:p>
            <w:r>
              <w:rPr>
                <w:sz w:val="19"/>
                <w:color w:val="1A3A28"/>
              </w:rPr>
              <w:t xml:space="preserve">Select model: Claude Mythos (recommended for the trading stack).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10" w:type="dxa"/>
              <w:bottom w:w="110" w:type="dxa"/>
              <w:left w:w="180" w:type="dxa"/>
              <w:right w:w="180" w:type="dxa"/>
            </w:tcMar>
          </w:tcPr>
          <w:p>
            <w:r>
              <w:rPr>
                <w:b/>
                <w:sz w:val="22"/>
                <w:color w:val="0A3020"/>
              </w:rPr>
              <w:t>Step 3 — Install the repos inside Hermes</w:t>
            </w:r>
          </w:p>
          <w:p>
            <w:r>
              <w:rPr>
                <w:sz w:val="19"/>
                <w:color w:val="1A3A28"/>
              </w:rPr>
              <w:t xml:space="preserve">Open the Hermes terminal and run:</w:t>
            </w:r>
          </w:p>
          <w:p>
            <w:r>
              <w:rPr>
                <w:sz w:val="19"/>
                <w:color w:val="1A3A28"/>
              </w:rPr>
              <w:t xml:space="preserve">  git clone https://github.com/TauricResearch/TradingAgents</w:t>
            </w:r>
          </w:p>
          <w:p>
            <w:r>
              <w:rPr>
                <w:sz w:val="19"/>
                <w:color w:val="1A3A28"/>
              </w:rPr>
              <w:t xml:space="preserve">  git clone https://github.com/OpenBB-finance/OpenBBTerminal</w:t>
            </w:r>
          </w:p>
          <w:p>
            <w:r>
              <w:rPr>
                <w:sz w:val="19"/>
                <w:color w:val="1A3A28"/>
              </w:rPr>
              <w:t xml:space="preserve">  pip install financedatabase financetoolkit yfinance</w:t>
            </w:r>
          </w:p>
          <w:p>
            <w:r>
              <w:rPr>
                <w:sz w:val="19"/>
                <w:color w:val="1A3A28"/>
              </w:rPr>
              <w:t xml:space="preserve">Hermes auto-detects the tools and wires them into its MCP layer.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10" w:type="dxa"/>
              <w:bottom w:w="110" w:type="dxa"/>
              <w:left w:w="180" w:type="dxa"/>
              <w:right w:w="180" w:type="dxa"/>
            </w:tcMar>
          </w:tcPr>
          <w:p>
            <w:r>
              <w:rPr>
                <w:b/>
                <w:sz w:val="22"/>
                <w:color w:val="0A3020"/>
              </w:rPr>
              <w:t>Step 4 — Add the OpenBB MCP server</w:t>
            </w:r>
          </w:p>
          <w:p>
            <w:r>
              <w:rPr>
                <w:sz w:val="19"/>
                <w:color w:val="1A3A28"/>
              </w:rPr>
              <w:t xml:space="preserve">In Hermes Settings → MCP Servers → Add Server.</w:t>
            </w:r>
          </w:p>
          <w:p>
            <w:r>
              <w:rPr>
                <w:sz w:val="19"/>
                <w:color w:val="1A3A28"/>
              </w:rPr>
              <w:t xml:space="preserve">Select 'OpenBB' from the marketplace — connects live quotes, analyst data, and news.</w:t>
            </w:r>
          </w:p>
          <w:p>
            <w:r>
              <w:rPr>
                <w:sz w:val="19"/>
                <w:color w:val="1A3A28"/>
              </w:rPr>
              <w:t xml:space="preserve">Test: type 'pull analyst consensus for NVDA' in the Hermes terminal.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10" w:type="dxa"/>
              <w:bottom w:w="110" w:type="dxa"/>
              <w:left w:w="180" w:type="dxa"/>
              <w:right w:w="180" w:type="dxa"/>
            </w:tcMar>
          </w:tcPr>
          <w:p>
            <w:r>
              <w:rPr>
                <w:b/>
                <w:sz w:val="22"/>
                <w:color w:val="0A3020"/>
              </w:rPr>
              <w:t>Step 5 — Launch as an automation</w:t>
            </w:r>
          </w:p>
          <w:p>
            <w:r>
              <w:rPr>
                <w:sz w:val="19"/>
                <w:color w:val="1A3A28"/>
              </w:rPr>
              <w:t xml:space="preserve">In Hermes → Automations → New Workflow.</w:t>
            </w:r>
          </w:p>
          <w:p>
            <w:r>
              <w:rPr>
                <w:sz w:val="19"/>
                <w:color w:val="1A3A28"/>
              </w:rPr>
              <w:t xml:space="preserve">Paste the master prompt below (Part 4) as the workflow instruction.</w:t>
            </w:r>
          </w:p>
          <w:p>
            <w:r>
              <w:rPr>
                <w:sz w:val="19"/>
                <w:color w:val="1A3A28"/>
              </w:rPr>
              <w:t xml:space="preserve">Set schedule: Every Monday 8:00 AM (or your preferred cadence).</w:t>
            </w:r>
          </w:p>
          <w:p>
            <w:r>
              <w:rPr>
                <w:sz w:val="19"/>
                <w:color w:val="1A3A28"/>
              </w:rPr>
              <w:t xml:space="preserve">Deploy to VPS: Settings → Docker Export → run the generated docker-compose.yml</w:t>
            </w:r>
          </w:p>
          <w:p>
            <w:r>
              <w:rPr>
                <w:sz w:val="19"/>
                <w:color w:val="1A3A28"/>
              </w:rPr>
              <w:t xml:space="preserve">on any Linux VPS. Hermes handles container management and restarts automatically.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A2218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PART 4 — THE MASTER PROMPT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Copy → paste into Hermes → let it run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Build Your Own AI Stock Analyst — Copy This Prompt</w:t>
      </w:r>
    </w:p>
    <w:p>
      <w:pPr>
        <w:spacing w:before="40" w:after="60"/>
        <w:jc w:val="left"/>
      </w:pPr>
      <w:r>
        <w:rPr>
          <w:b w:val="0"/>
          <w:i w:val="0"/>
          <w:color w:val="0D0D0D"/>
          <w:sz w:val="21"/>
        </w:rPr>
        <w:t>Paste this into Hermes Agent (or Claude Code) at the start of each weekly session. It orchestrates the full screening → debate → report pipeline automatically.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5FF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56428"/>
                <w:sz w:val="22"/>
                <w:b/>
              </w:rPr>
              <w:t xml:space="preserve">Master Prompt — Copy → Paste → Run</w:t>
            </w:r>
          </w:p>
          <w:p>
            <w:r>
              <w:rPr>
                <w:color w:val="224433"/>
                <w:sz w:val="19"/>
              </w:rPr>
              <w:t xml:space="preserve">You are an autonomous AI equity analyst running inside Hermes Agent.</w:t>
            </w:r>
          </w:p>
          <w:p>
            <w:r>
              <w:rPr>
                <w:color w:val="224433"/>
                <w:sz w:val="19"/>
              </w:rPr>
              <w:t xml:space="preserve">Today's date: [DATE]. Horizon: 2–4 months.</w:t>
            </w:r>
          </w:p>
          <w:p>
            <w:r>
              <w:rPr>
                <w:color w:val="224433"/>
                <w:sz w:val="19"/>
              </w:rPr>
              <w:t xml:space="preserve"/>
            </w:r>
          </w:p>
          <w:p>
            <w:r>
              <w:rPr>
                <w:color w:val="224433"/>
                <w:sz w:val="19"/>
              </w:rPr>
              <w:t xml:space="preserve">STEP 1 — SCREEN</w:t>
            </w:r>
          </w:p>
          <w:p>
            <w:r>
              <w:rPr>
                <w:color w:val="224433"/>
                <w:sz w:val="19"/>
              </w:rPr>
              <w:t xml:space="preserve">Use yfinance to pull the current day's top gainers (&gt;5%) from US markets.</w:t>
            </w:r>
          </w:p>
          <w:p>
            <w:r>
              <w:rPr>
                <w:color w:val="224433"/>
                <w:sz w:val="19"/>
              </w:rPr>
              <w:t xml:space="preserve">Apply the playbook filter — reject any name that:</w:t>
            </w:r>
          </w:p>
          <w:p>
            <w:r>
              <w:rPr>
                <w:color w:val="224433"/>
                <w:sz w:val="19"/>
              </w:rPr>
              <w:t xml:space="preserve">  • Is in a crypto/precious-metals/oil sector bear market</w:t>
            </w:r>
          </w:p>
          <w:p>
            <w:r>
              <w:rPr>
                <w:color w:val="224433"/>
                <w:sz w:val="19"/>
              </w:rPr>
              <w:t xml:space="preserve">  • Has no clear dated catalyst within 90 days</w:t>
            </w:r>
          </w:p>
          <w:p>
            <w:r>
              <w:rPr>
                <w:color w:val="224433"/>
                <w:sz w:val="19"/>
              </w:rPr>
              <w:t xml:space="preserve">  • Trades ABOVE its consensus analyst target</w:t>
            </w:r>
          </w:p>
          <w:p>
            <w:r>
              <w:rPr>
                <w:color w:val="224433"/>
                <w:sz w:val="19"/>
              </w:rPr>
              <w:t xml:space="preserve">  • Has broken below its 200-day moving average without recovering</w:t>
            </w:r>
          </w:p>
          <w:p>
            <w:r>
              <w:rPr>
                <w:color w:val="224433"/>
                <w:sz w:val="19"/>
              </w:rPr>
              <w:t xml:space="preserve">Pass survivors (max 5) to Step 2.</w:t>
            </w:r>
          </w:p>
          <w:p>
            <w:r>
              <w:rPr>
                <w:color w:val="224433"/>
                <w:sz w:val="19"/>
              </w:rPr>
              <w:t xml:space="preserve"/>
            </w:r>
          </w:p>
          <w:p>
            <w:r>
              <w:rPr>
                <w:color w:val="224433"/>
                <w:sz w:val="19"/>
              </w:rPr>
              <w:t xml:space="preserve">STEP 2 — MULTI-AGENT DEBATE (for each survivor)</w:t>
            </w:r>
          </w:p>
          <w:p>
            <w:r>
              <w:rPr>
                <w:color w:val="224433"/>
                <w:sz w:val="19"/>
              </w:rPr>
              <w:t xml:space="preserve">Run the TradingAgents bull-vs-bear framework:</w:t>
            </w:r>
          </w:p>
          <w:p>
            <w:r>
              <w:rPr>
                <w:color w:val="224433"/>
                <w:sz w:val="19"/>
              </w:rPr>
              <w:t xml:space="preserve">  Technical Analyst: price vs 50d/200d, trend, volume</w:t>
            </w:r>
          </w:p>
          <w:p>
            <w:r>
              <w:rPr>
                <w:color w:val="224433"/>
                <w:sz w:val="19"/>
              </w:rPr>
              <w:t xml:space="preserve">  Fundamentals Analyst: fwd P/E, PEG, gross margin, ROE</w:t>
            </w:r>
          </w:p>
          <w:p>
            <w:r>
              <w:rPr>
                <w:color w:val="224433"/>
                <w:sz w:val="19"/>
              </w:rPr>
              <w:t xml:space="preserve">  Estimates Analyst: analyst count, consensus rating, target vs price</w:t>
            </w:r>
          </w:p>
          <w:p>
            <w:r>
              <w:rPr>
                <w:color w:val="224433"/>
                <w:sz w:val="19"/>
              </w:rPr>
              <w:t xml:space="preserve">  News/Sentiment: recent headlines, narrative risk</w:t>
            </w:r>
          </w:p>
          <w:p>
            <w:r>
              <w:rPr>
                <w:color w:val="224433"/>
                <w:sz w:val="19"/>
              </w:rPr>
              <w:t xml:space="preserve">  Options Analyst: call/put ratio, OI structure, ATM IV</w:t>
            </w:r>
          </w:p>
          <w:p>
            <w:r>
              <w:rPr>
                <w:color w:val="224433"/>
                <w:sz w:val="19"/>
              </w:rPr>
              <w:t xml:space="preserve">  Macro Analyst: VIX, yields, sector ETF performance</w:t>
            </w:r>
          </w:p>
          <w:p>
            <w:r>
              <w:rPr>
                <w:color w:val="224433"/>
                <w:sz w:val="19"/>
              </w:rPr>
              <w:t xml:space="preserve">Bull Researcher: build the strongest possible bull case</w:t>
            </w:r>
          </w:p>
          <w:p>
            <w:r>
              <w:rPr>
                <w:color w:val="224433"/>
                <w:sz w:val="19"/>
              </w:rPr>
              <w:t xml:space="preserve">Bear Researcher: build the strongest possible bear case</w:t>
            </w:r>
          </w:p>
          <w:p>
            <w:r>
              <w:rPr>
                <w:color w:val="224433"/>
                <w:sz w:val="19"/>
              </w:rPr>
              <w:t xml:space="preserve">Research Manager: synthesise — which thesis wins and why?</w:t>
            </w:r>
          </w:p>
          <w:p>
            <w:r>
              <w:rPr>
                <w:color w:val="224433"/>
                <w:sz w:val="19"/>
              </w:rPr>
              <w:t xml:space="preserve">Trader: specify action (buy/hold/skip), zone, size, stop, targets, catalyst date</w:t>
            </w:r>
          </w:p>
          <w:p>
            <w:r>
              <w:rPr>
                <w:color w:val="224433"/>
                <w:sz w:val="19"/>
              </w:rPr>
              <w:t xml:space="preserve">Risk Manager: run liquidity/crowding/beta checks — PASS or WARN</w:t>
            </w:r>
          </w:p>
          <w:p>
            <w:r>
              <w:rPr>
                <w:color w:val="224433"/>
                <w:sz w:val="19"/>
              </w:rPr>
              <w:t xml:space="preserve">Fund Manager: final verdict with conviction score /10</w:t>
            </w:r>
          </w:p>
          <w:p>
            <w:r>
              <w:rPr>
                <w:color w:val="224433"/>
                <w:sz w:val="19"/>
              </w:rPr>
              <w:t xml:space="preserve"/>
            </w:r>
          </w:p>
          <w:p>
            <w:r>
              <w:rPr>
                <w:color w:val="224433"/>
                <w:sz w:val="19"/>
              </w:rPr>
              <w:t xml:space="preserve">STEP 3 — HEALTH REPORT (if you have open positions)</w:t>
            </w:r>
          </w:p>
          <w:p>
            <w:r>
              <w:rPr>
                <w:color w:val="224433"/>
                <w:sz w:val="19"/>
              </w:rPr>
              <w:t xml:space="preserve">Pull current prices for all open positions.</w:t>
            </w:r>
          </w:p>
          <w:p>
            <w:r>
              <w:rPr>
                <w:color w:val="224433"/>
                <w:sz w:val="19"/>
              </w:rPr>
              <w:t xml:space="preserve">Run the Exit Rule Engine: check 50d/200d, earnings dates, stop levels.</w:t>
            </w:r>
          </w:p>
          <w:p>
            <w:r>
              <w:rPr>
                <w:color w:val="224433"/>
                <w:sz w:val="19"/>
              </w:rPr>
              <w:t xml:space="preserve">Report: which positions are HOLD, which need attention, next catalyst dates.</w:t>
            </w:r>
          </w:p>
          <w:p>
            <w:r>
              <w:rPr>
                <w:color w:val="224433"/>
                <w:sz w:val="19"/>
              </w:rPr>
              <w:t xml:space="preserve"/>
            </w:r>
          </w:p>
          <w:p>
            <w:r>
              <w:rPr>
                <w:color w:val="224433"/>
                <w:sz w:val="19"/>
              </w:rPr>
              <w:t xml:space="preserve">STEP 4 — OUTPUT</w:t>
            </w:r>
          </w:p>
          <w:p>
            <w:r>
              <w:rPr>
                <w:color w:val="224433"/>
                <w:sz w:val="19"/>
              </w:rPr>
              <w:t xml:space="preserve">Produce a one-page markdown report:</w:t>
            </w:r>
          </w:p>
          <w:p>
            <w:r>
              <w:rPr>
                <w:color w:val="224433"/>
                <w:sz w:val="19"/>
              </w:rPr>
              <w:t xml:space="preserve">  • Market snapshot (SPY/QQQ/SMH vs 50d/200d)</w:t>
            </w:r>
          </w:p>
          <w:p>
            <w:r>
              <w:rPr>
                <w:color w:val="224433"/>
                <w:sz w:val="19"/>
              </w:rPr>
              <w:t xml:space="preserve">  • Top 3 candidates: ticker, thesis, entry zone, stop, target, catalyst date</w:t>
            </w:r>
          </w:p>
          <w:p>
            <w:r>
              <w:rPr>
                <w:color w:val="224433"/>
                <w:sz w:val="19"/>
              </w:rPr>
              <w:t xml:space="preserve">  • Portfolio health: status of each open position</w:t>
            </w:r>
          </w:p>
          <w:p>
            <w:r>
              <w:rPr>
                <w:color w:val="224433"/>
                <w:sz w:val="19"/>
              </w:rPr>
              <w:t xml:space="preserve">  • One action item: the single most important trade or decision this week</w:t>
            </w:r>
          </w:p>
          <w:p>
            <w:r>
              <w:rPr>
                <w:color w:val="224433"/>
                <w:sz w:val="19"/>
              </w:rPr>
              <w:t xml:space="preserve"/>
            </w:r>
          </w:p>
          <w:p>
            <w:r>
              <w:rPr>
                <w:color w:val="224433"/>
                <w:sz w:val="19"/>
              </w:rPr>
              <w:t xml:space="preserve">Save the report to memory. The next run should reference this one.</w:t>
            </w:r>
          </w:p>
          <w:p>
            <w:r>
              <w:rPr>
                <w:color w:val="224433"/>
                <w:sz w:val="19"/>
              </w:rPr>
              <w:t xml:space="preserve">This workflow is powered by Hermes Agent at www.myhermes.cloud.</w:t>
            </w:r>
          </w:p>
        </w:tc>
      </w:tr>
    </w:tbl>
    <w:p/>
    <w:p>
      <w:pPr>
        <w:spacing w:before="40" w:after="60"/>
        <w:jc w:val="left"/>
      </w:pPr>
      <w:r>
        <w:rPr>
          <w:b w:val="0"/>
          <w:i/>
          <w:color w:val="0D9D6E"/>
          <w:sz w:val="20"/>
        </w:rPr>
        <w:t>Tip: In Hermes, save this as a named workflow ('Weekly Stock Scan'). It will remember every prior run, improve its screening criteria over time, and run automatically on your VPS each week.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D4A30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PART 5 — THE 5-YEAR COMPOUNDERS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DCF · CAPM · Monte Carlo · 2026–2031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The Mathematics (Brief)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57A55"/>
                <w:sz w:val="22"/>
                <w:b/>
              </w:rPr>
              <w:t xml:space="preserve">How targets were calculated</w:t>
            </w:r>
          </w:p>
          <w:p>
            <w:r>
              <w:rPr>
                <w:color w:val="224433"/>
                <w:sz w:val="19"/>
              </w:rPr>
              <w:t xml:space="preserve">  CAPM discount rate:  rE = rf + β × ERP   (rf = 4.48%,  ERP = 4.5%)</w:t>
            </w:r>
          </w:p>
          <w:p>
            <w:r>
              <w:rPr>
                <w:color w:val="224433"/>
                <w:sz w:val="19"/>
              </w:rPr>
              <w:t xml:space="preserve">  DCF stress floor:    PV = Σ [FCFt / (1+r)^t]  +  TV/(1+r)^10  — conservative stress test</w:t>
            </w:r>
          </w:p>
          <w:p>
            <w:r>
              <w:rPr>
                <w:color w:val="224433"/>
                <w:sz w:val="19"/>
              </w:rPr>
              <w:t xml:space="preserve">  Exit-multiple lens:  Target5 = EPSfwd × (1+g)^4 × exit P/E  (assumes multiple compression)</w:t>
            </w:r>
          </w:p>
          <w:p>
            <w:r>
              <w:rPr>
                <w:color w:val="224433"/>
                <w:sz w:val="19"/>
              </w:rPr>
              <w:t xml:space="preserve">  Monte Carlo:         20,000 GBM paths  —  reports P10 / P50 / P90  and P(gain)</w:t>
            </w:r>
          </w:p>
          <w:p>
            <w:r>
              <w:rPr>
                <w:color w:val="224433"/>
                <w:sz w:val="19"/>
              </w:rPr>
              <w:t xml:space="preserve">  Final targets blend the exit-multiple and Monte Carlo scenarios. Bear = P10, Base = P50, Bull = P90.</w:t>
            </w:r>
          </w:p>
        </w:tc>
      </w:tr>
    </w:tbl>
    <w:p/>
    <w:p>
      <w:pPr>
        <w:spacing w:before="200" w:after="100"/>
        <w:jc w:val="left"/>
      </w:pPr>
      <w:r>
        <w:rPr>
          <w:b/>
          <w:color w:val="057A55"/>
          <w:sz w:val="26"/>
        </w:rPr>
        <w:t>Summary — Five-Year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Ticker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Today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Bear '31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Base '31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Bull '31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CAGR/yr</w:t>
            </w:r>
          </w:p>
        </w:tc>
        <w:tc>
          <w:tcPr>
            <w:tcW w:type="dxa" w:w="1399"/>
            <w:shd w:val="clear" w:color="auto" w:fill="0A221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D700"/>
                <w:sz w:val="21"/>
                <w:b/>
              </w:rPr>
              <w:t>P(gain)</w:t>
            </w:r>
          </w:p>
        </w:tc>
      </w:tr>
      <w:tr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MSFT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$391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$316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$575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$970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8.0%/yr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71%</w:t>
            </w:r>
          </w:p>
        </w:tc>
      </w:tr>
      <w:tr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GOOGL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$355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$285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$542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$977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8.8%/yr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65%</w:t>
            </w:r>
          </w:p>
        </w:tc>
      </w:tr>
      <w:tr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NVDA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$193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$63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$480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$1,840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14.2%/yr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61%</w:t>
            </w:r>
          </w:p>
        </w:tc>
      </w:tr>
      <w:tr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TSM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$431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$219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$610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$1,290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7.2%/yr</w:t>
            </w:r>
          </w:p>
        </w:tc>
        <w:tc>
          <w:tcPr>
            <w:tcW w:type="dxa" w:w="1399"/>
            <w:shd w:val="clear" w:color="auto" w:fill="E0F0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74%</w:t>
            </w:r>
          </w:p>
        </w:tc>
      </w:tr>
      <w:tr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LLY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$1,207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$660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$2,040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$4,200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11.0%/yr</w:t>
            </w:r>
          </w:p>
        </w:tc>
        <w:tc>
          <w:tcPr>
            <w:tcW w:type="dxa" w:w="1399"/>
            <w:shd w:val="clear" w:color="auto" w:fill="F0FA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A2218"/>
                <w:sz w:val="19"/>
              </w:rPr>
              <w:t>79%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A2218"/>
            <w:tcMar>
              <w:top w:w="110" w:type="dxa"/>
              <w:bottom w:w="110" w:type="dxa"/>
              <w:left w:w="140" w:type="dxa"/>
              <w:right w:w="100" w:type="dxa"/>
            </w:tcMar>
          </w:tcPr>
          <w:p>
            <w:r>
              <w:rPr>
                <w:color w:val="FFD700"/>
                <w:sz w:val="30"/>
                <w:b/>
              </w:rPr>
              <w:t xml:space="preserve">MSFT</w:t>
            </w:r>
          </w:p>
          <w:p>
            <w:r>
              <w:rPr>
                <w:color w:val="AADDCC"/>
                <w:sz w:val="20"/>
              </w:rPr>
              <w:t xml:space="preserve">The Fortress</w:t>
            </w:r>
          </w:p>
          <w:p>
            <w:r>
              <w:rPr>
                <w:color w:val="AADDCC"/>
                <w:sz w:val="22"/>
                <w:b/>
              </w:rPr>
              <w:t xml:space="preserve">$391</w:t>
            </w:r>
          </w:p>
          <w:p>
            <w:r>
              <w:rPr>
                <w:color w:val="7AAABB"/>
                <w:sz w:val="16"/>
              </w:rPr>
              <w:t xml:space="preserve">r=9.4% (β 1.10) · growth 18% · σ=25%</w:t>
            </w:r>
          </w:p>
        </w:tc>
        <w:tc>
          <w:tcPr>
            <w:tcW w:type="dxa" w:w="4896"/>
            <w:shd w:val="clear" w:color="auto" w:fill="F0FAF5"/>
            <w:tcMar>
              <w:top w:w="110" w:type="dxa"/>
              <w:bottom w:w="110" w:type="dxa"/>
              <w:left w:w="130" w:type="dxa"/>
              <w:right w:w="120" w:type="dxa"/>
            </w:tcMar>
          </w:tcPr>
          <w:p>
            <w:r>
              <w:rPr>
                <w:color w:val="0A3020"/>
                <w:sz w:val="18"/>
              </w:rPr>
              <w:t xml:space="preserve">Bull case: Azure AI + Copilot across 400M+ Office seats. Most diversified AI exposure.</w:t>
            </w:r>
          </w:p>
          <w:p>
            <w:r>
              <w:rPr>
                <w:color w:val="8B2020"/>
                <w:sz w:val="18"/>
              </w:rPr>
              <w:t xml:space="preserve">Risk: AI capex ROI lag · OpenAI simultaneously partner and competitor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A2218"/>
            <w:tcMar>
              <w:top w:w="110" w:type="dxa"/>
              <w:bottom w:w="110" w:type="dxa"/>
              <w:left w:w="140" w:type="dxa"/>
              <w:right w:w="100" w:type="dxa"/>
            </w:tcMar>
          </w:tcPr>
          <w:p>
            <w:r>
              <w:rPr>
                <w:color w:val="FFD700"/>
                <w:sz w:val="30"/>
                <w:b/>
              </w:rPr>
              <w:t xml:space="preserve">GOOGL</w:t>
            </w:r>
          </w:p>
          <w:p>
            <w:r>
              <w:rPr>
                <w:color w:val="AADDCC"/>
                <w:sz w:val="20"/>
              </w:rPr>
              <w:t xml:space="preserve">The Cash Machine</w:t>
            </w:r>
          </w:p>
          <w:p>
            <w:r>
              <w:rPr>
                <w:color w:val="AADDCC"/>
                <w:sz w:val="22"/>
                <w:b/>
              </w:rPr>
              <w:t xml:space="preserve">$355</w:t>
            </w:r>
          </w:p>
          <w:p>
            <w:r>
              <w:rPr>
                <w:color w:val="7AAABB"/>
                <w:sz w:val="16"/>
              </w:rPr>
              <w:t xml:space="preserve">r=10.0% (β 1.24) · growth 22% · σ=31%</w:t>
            </w:r>
          </w:p>
        </w:tc>
        <w:tc>
          <w:tcPr>
            <w:tcW w:type="dxa" w:w="4896"/>
            <w:shd w:val="clear" w:color="auto" w:fill="F0FAF5"/>
            <w:tcMar>
              <w:top w:w="110" w:type="dxa"/>
              <w:bottom w:w="110" w:type="dxa"/>
              <w:left w:w="130" w:type="dxa"/>
              <w:right w:w="120" w:type="dxa"/>
            </w:tcMar>
          </w:tcPr>
          <w:p>
            <w:r>
              <w:rPr>
                <w:color w:val="0A3020"/>
                <w:sz w:val="18"/>
              </w:rPr>
              <w:t xml:space="preserve">Bull case: Own TPU silicon = structural cost advantage. Search funds every experiment.</w:t>
            </w:r>
          </w:p>
          <w:p>
            <w:r>
              <w:rPr>
                <w:color w:val="8B2020"/>
                <w:sz w:val="18"/>
              </w:rPr>
              <w:t xml:space="preserve">Risk: AI chatbots threatening search share. Antitrust overhang.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A2218"/>
            <w:tcMar>
              <w:top w:w="110" w:type="dxa"/>
              <w:bottom w:w="110" w:type="dxa"/>
              <w:left w:w="140" w:type="dxa"/>
              <w:right w:w="100" w:type="dxa"/>
            </w:tcMar>
          </w:tcPr>
          <w:p>
            <w:r>
              <w:rPr>
                <w:color w:val="FFD700"/>
                <w:sz w:val="30"/>
                <w:b/>
              </w:rPr>
              <w:t xml:space="preserve">NVDA</w:t>
            </w:r>
          </w:p>
          <w:p>
            <w:r>
              <w:rPr>
                <w:color w:val="AADDCC"/>
                <w:sz w:val="20"/>
              </w:rPr>
              <w:t xml:space="preserve">The Growth Engine</w:t>
            </w:r>
          </w:p>
          <w:p>
            <w:r>
              <w:rPr>
                <w:color w:val="AADDCC"/>
                <w:sz w:val="22"/>
                <w:b/>
              </w:rPr>
              <w:t xml:space="preserve">$193</w:t>
            </w:r>
          </w:p>
          <w:p>
            <w:r>
              <w:rPr>
                <w:color w:val="7AAABB"/>
                <w:sz w:val="16"/>
              </w:rPr>
              <w:t xml:space="preserve">r=13.0% (β 2.20) · growth 35% · σ=50%</w:t>
            </w:r>
          </w:p>
        </w:tc>
        <w:tc>
          <w:tcPr>
            <w:tcW w:type="dxa" w:w="4896"/>
            <w:shd w:val="clear" w:color="auto" w:fill="F0FAF5"/>
            <w:tcMar>
              <w:top w:w="110" w:type="dxa"/>
              <w:bottom w:w="110" w:type="dxa"/>
              <w:left w:w="130" w:type="dxa"/>
              <w:right w:w="120" w:type="dxa"/>
            </w:tcMar>
          </w:tcPr>
          <w:p>
            <w:r>
              <w:rPr>
                <w:color w:val="0A3020"/>
                <w:sz w:val="18"/>
              </w:rPr>
              <w:t xml:space="preserve">Bull case: CUDA moat + full-stack AI factory. Widest expected return. Widest distribution.</w:t>
            </w:r>
          </w:p>
          <w:p>
            <w:r>
              <w:rPr>
                <w:color w:val="8B2020"/>
                <w:sz w:val="18"/>
              </w:rPr>
              <w:t xml:space="preserve">Risk: σ=50% — two 50%+ drawdowns per decade is normal. Hyperscaler custom silicon risk.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A2218"/>
            <w:tcMar>
              <w:top w:w="110" w:type="dxa"/>
              <w:bottom w:w="110" w:type="dxa"/>
              <w:left w:w="140" w:type="dxa"/>
              <w:right w:w="100" w:type="dxa"/>
            </w:tcMar>
          </w:tcPr>
          <w:p>
            <w:r>
              <w:rPr>
                <w:color w:val="FFD700"/>
                <w:sz w:val="30"/>
                <w:b/>
              </w:rPr>
              <w:t xml:space="preserve">TSM</w:t>
            </w:r>
          </w:p>
          <w:p>
            <w:r>
              <w:rPr>
                <w:color w:val="AADDCC"/>
                <w:sz w:val="20"/>
              </w:rPr>
              <w:t xml:space="preserve">The Chokepoint</w:t>
            </w:r>
          </w:p>
          <w:p>
            <w:r>
              <w:rPr>
                <w:color w:val="AADDCC"/>
                <w:sz w:val="22"/>
                <w:b/>
              </w:rPr>
              <w:t xml:space="preserve">$431</w:t>
            </w:r>
          </w:p>
          <w:p>
            <w:r>
              <w:rPr>
                <w:color w:val="7AAABB"/>
                <w:sz w:val="16"/>
              </w:rPr>
              <w:t xml:space="preserve">r=10.1% (β 1.25) · growth 35% · σ=35%</w:t>
            </w:r>
          </w:p>
        </w:tc>
        <w:tc>
          <w:tcPr>
            <w:tcW w:type="dxa" w:w="4896"/>
            <w:shd w:val="clear" w:color="auto" w:fill="F0FAF5"/>
            <w:tcMar>
              <w:top w:w="110" w:type="dxa"/>
              <w:bottom w:w="110" w:type="dxa"/>
              <w:left w:w="130" w:type="dxa"/>
              <w:right w:w="120" w:type="dxa"/>
            </w:tcMar>
          </w:tcPr>
          <w:p>
            <w:r>
              <w:rPr>
                <w:color w:val="0A3020"/>
                <w:sz w:val="18"/>
              </w:rPr>
              <w:t xml:space="preserve">Bull case: ~90% of leading-edge foundry capacity. Wins regardless of which chip designer wins.</w:t>
            </w:r>
          </w:p>
          <w:p>
            <w:r>
              <w:rPr>
                <w:color w:val="8B2020"/>
                <w:sz w:val="18"/>
              </w:rPr>
              <w:t xml:space="preserve">Risk: Taiwan-strait geopolitics: the tail risk. Insure via position size only.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A2218"/>
            <w:tcMar>
              <w:top w:w="110" w:type="dxa"/>
              <w:bottom w:w="110" w:type="dxa"/>
              <w:left w:w="140" w:type="dxa"/>
              <w:right w:w="100" w:type="dxa"/>
            </w:tcMar>
          </w:tcPr>
          <w:p>
            <w:r>
              <w:rPr>
                <w:color w:val="FFD700"/>
                <w:sz w:val="30"/>
                <w:b/>
              </w:rPr>
              <w:t xml:space="preserve">LLY</w:t>
            </w:r>
          </w:p>
          <w:p>
            <w:r>
              <w:rPr>
                <w:color w:val="AADDCC"/>
                <w:sz w:val="20"/>
              </w:rPr>
              <w:t xml:space="preserve">The Defensive Grower</w:t>
            </w:r>
          </w:p>
          <w:p>
            <w:r>
              <w:rPr>
                <w:color w:val="AADDCC"/>
                <w:sz w:val="22"/>
                <w:b/>
              </w:rPr>
              <w:t xml:space="preserve">$1,207</w:t>
            </w:r>
          </w:p>
          <w:p>
            <w:r>
              <w:rPr>
                <w:color w:val="7AAABB"/>
                <w:sz w:val="16"/>
              </w:rPr>
              <w:t xml:space="preserve">r=7.5% (β 0.52) · growth 32% · σ=31%</w:t>
            </w:r>
          </w:p>
        </w:tc>
        <w:tc>
          <w:tcPr>
            <w:tcW w:type="dxa" w:w="4896"/>
            <w:shd w:val="clear" w:color="auto" w:fill="F0FAF5"/>
            <w:tcMar>
              <w:top w:w="110" w:type="dxa"/>
              <w:bottom w:w="110" w:type="dxa"/>
              <w:left w:w="130" w:type="dxa"/>
              <w:right w:w="120" w:type="dxa"/>
            </w:tcMar>
          </w:tcPr>
          <w:p>
            <w:r>
              <w:rPr>
                <w:color w:val="0A3020"/>
                <w:sz w:val="18"/>
              </w:rPr>
              <w:t xml:space="preserve">Bull case: GLP-1 duopoly. β=0.52 — grows earnings 30%+ with bond-like volatility.</w:t>
            </w:r>
          </w:p>
          <w:p>
            <w:r>
              <w:rPr>
                <w:color w:val="8B2020"/>
                <w:sz w:val="18"/>
              </w:rPr>
              <w:t xml:space="preserve">Risk: Oral GLP-1 competitors by 2030. Drug-pricing politics (IRA).</w:t>
            </w:r>
          </w:p>
        </w:tc>
      </w:tr>
    </w:tbl>
    <w:p/>
    <w:p>
      <w:pPr>
        <w:spacing w:before="40" w:after="60"/>
        <w:jc w:val="left"/>
      </w:pPr>
      <w:r>
        <w:rPr>
          <w:b w:val="0"/>
          <w:i/>
          <w:color w:val="0D0D0D"/>
          <w:sz w:val="19"/>
        </w:rPr>
        <w:t>Honorable mention — Visa (V, $359): highest single probability of profit in the whole screen. Excluded from the five because it's already in most passive portfolios.</w:t>
      </w:r>
    </w:p>
    <w:p>
      <w:pPr>
        <w:spacing w:before="40" w:after="60"/>
        <w:jc w:val="left"/>
      </w:pPr>
      <w:r>
        <w:rPr>
          <w:b/>
          <w:i w:val="0"/>
          <w:color w:val="057A55"/>
          <w:sz w:val="20"/>
        </w:rPr>
        <w:t>Blended base-case expected return for an equal-weight 5-stock portfolio: ~10–11%/yr. That's the boring math before any of the catalyst trades fire.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0D4A30"/>
            <w:tcMar>
              <w:top w:w="160" w:type="dxa"/>
              <w:bottom w:w="160" w:type="dxa"/>
              <w:left w:w="300" w:type="dxa"/>
              <w:right w:w="300" w:type="dxa"/>
            </w:tcMar>
            <w:vAlign w:val="center"/>
          </w:tcPr>
          <w:p>
            <w:pPr>
              <w:jc w:val="center"/>
            </w:pPr>
            <w:r>
              <w:rPr>
                <w:color w:val="FFD700"/>
                <w:sz w:val="36"/>
                <w:b/>
              </w:rPr>
              <w:t>RUN THIS STACK YOURSELF</w:t>
            </w:r>
          </w:p>
          <w:p>
            <w:pPr>
              <w:jc w:val="center"/>
            </w:pPr>
            <w:r>
              <w:rPr>
                <w:color w:val="AADDCC"/>
                <w:sz w:val="21"/>
              </w:rPr>
              <w:t>All automations live inside Hermes Agent · www.myhermes.cloud</w:t>
            </w:r>
          </w:p>
        </w:tc>
      </w:tr>
    </w:tbl>
    <w:p/>
    <w:p>
      <w:pPr>
        <w:spacing w:before="40" w:after="60"/>
        <w:jc w:val="left"/>
      </w:pPr>
      <w:r>
        <w:rPr>
          <w:b w:val="0"/>
          <w:i w:val="0"/>
          <w:color w:val="0D0D0D"/>
          <w:sz w:val="21"/>
        </w:rPr>
        <w:t>Hermes is the self-evolving AI agent that connects Claude Mythos, TradingAgents, OpenBB, and yfinance into one pipeline — with persistent memory, VPS Docker automation, and a workflow that gets smarter every single week.</w:t>
      </w:r>
    </w:p>
    <w:p>
      <w:pPr>
        <w:spacing w:before="120" w:after="80"/>
      </w:pPr>
      <w:r>
        <w:rPr>
          <w:b/>
          <w:color w:val="0D0D0D"/>
          <w:sz w:val="22"/>
        </w:rPr>
        <w:t xml:space="preserve">→  Start here: </w:t>
      </w:r>
      <w:hyperlink r:id="rId12">
        <w:r>
          <w:rPr>
            <w:color w:val="0D4D30"/>
            <w:u w:val="single"/>
            <w:sz w:val="22"/>
          </w:rPr>
          <w:t xml:space="preserve">www.myhermes.cloud</w:t>
        </w:r>
      </w:hyperlink>
    </w:p>
    <w:p>
      <w:pPr>
        <w:spacing w:before="200" w:after="100"/>
        <w:jc w:val="left"/>
      </w:pPr>
      <w:r>
        <w:rPr>
          <w:b/>
          <w:color w:val="057A55"/>
          <w:sz w:val="26"/>
        </w:rPr>
        <w:t>Want a Personalised Setup?</w:t>
      </w:r>
    </w:p>
    <w:p>
      <w:pPr>
        <w:spacing w:before="40" w:after="60"/>
        <w:jc w:val="left"/>
      </w:pPr>
      <w:r>
        <w:rPr>
          <w:b w:val="0"/>
          <w:i w:val="0"/>
          <w:color w:val="0D0D0D"/>
          <w:sz w:val="21"/>
        </w:rPr>
        <w:t>DM me on X or fill in the form and I'll configure the full Hermes stack for your portfolio.</w:t>
      </w:r>
    </w:p>
    <w:p>
      <w:pPr>
        <w:spacing w:before="80"/>
      </w:pPr>
      <w:r>
        <w:rPr>
          <w:color w:val="0D0D0D"/>
          <w:sz w:val="22"/>
        </w:rPr>
        <w:t xml:space="preserve">→  Request a personalised session: </w:t>
      </w:r>
      <w:hyperlink r:id="rId13">
        <w:r>
          <w:rPr>
            <w:color w:val="0D4D30"/>
            <w:u w:val="single"/>
            <w:sz w:val="22"/>
          </w:rPr>
          <w:t xml:space="preserve">Click here to submit your details</w:t>
        </w:r>
      </w:hyperlink>
    </w:p>
    <w:p>
      <w:pPr>
        <w:spacing w:before="200" w:after="100"/>
        <w:jc w:val="left"/>
      </w:pPr>
      <w:r>
        <w:rPr>
          <w:b/>
          <w:color w:val="057A55"/>
          <w:sz w:val="26"/>
        </w:rPr>
        <w:t>Contact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F0FA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X (Twitter):  </w:t>
            </w:r>
            <w:r>
              <w:rPr>
                <w:color w:val="1A1A2A"/>
                <w:sz w:val="20"/>
              </w:rPr>
              <w:t xml:space="preserve">@govindgoel</w:t>
            </w:r>
          </w:p>
        </w:tc>
        <w:tc>
          <w:tcPr>
            <w:tcW w:type="dxa" w:w="4896"/>
            <w:shd w:val="clear" w:color="auto" w:fill="F0FA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Website:  </w:t>
            </w:r>
            <w:r>
              <w:rPr>
                <w:color w:val="1A1A2A"/>
                <w:sz w:val="20"/>
              </w:rPr>
              <w:t xml:space="preserve">govindgoel.vercel.app</w:t>
            </w:r>
          </w:p>
        </w:tc>
      </w:tr>
      <w:tr>
        <w:tc>
          <w:tcPr>
            <w:tcW w:type="dxa" w:w="4896"/>
            <w:shd w:val="clear" w:color="auto" w:fill="F0FA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Agentic OS:  </w:t>
            </w:r>
            <w:r>
              <w:rPr>
                <w:color w:val="1A1A2A"/>
                <w:sz w:val="20"/>
              </w:rPr>
              <w:t xml:space="preserve">www.myhermes.cloud</w:t>
            </w:r>
          </w:p>
        </w:tc>
        <w:tc>
          <w:tcPr>
            <w:tcW w:type="dxa" w:w="4896"/>
            <w:shd w:val="clear" w:color="auto" w:fill="F0FA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A3020"/>
                <w:sz w:val="20"/>
                <w:b/>
              </w:rPr>
              <w:t xml:space="preserve">Email:  </w:t>
            </w:r>
            <w:r>
              <w:rPr>
                <w:color w:val="1A1A2A"/>
                <w:sz w:val="20"/>
              </w:rPr>
              <w:t xml:space="preserve">govindnarayangoel395@gmail.com</w:t>
            </w:r>
          </w:p>
        </w:tc>
      </w:tr>
    </w:tbl>
    <w:p/>
    <w:p>
      <w:pPr>
        <w:spacing w:before="200"/>
        <w:jc w:val="center"/>
      </w:pPr>
      <w:r>
        <w:rPr>
          <w:i/>
          <w:color w:val="88AA99"/>
          <w:sz w:val="17"/>
        </w:rPr>
        <w:t>© 2026 Govind Goel  ·  govindgoel.vercel.app  ·  www.myhermes.cloud</w:t>
        <w:br/>
        <w:t>Educational and entertainment only. Not financial advice. All prices are July 2, 2026 snapshots. Past performance does not indicate future results.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hyperlink" Target="https://www.myhermes.cloud" TargetMode="External"/><Relationship Id="rId13" Type="http://schemas.openxmlformats.org/officeDocument/2006/relationships/hyperlink" Target="https://docs.google.com/forms/d/e/1FAIpQLSc2IgMxsLprGIzzQGFVYZlB6Jx5PKZKi9lLhuqWirQOr9E6cA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