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aps/>
          <w:color w:val="B16327"/>
          <w:sz w:val="24"/>
        </w:rPr>
        <w:t>METEORIFY</w:t>
      </w:r>
      <w:r>
        <w:rPr>
          <w:rFonts w:ascii="Calibri" w:hAnsi="Calibri"/>
          <w:b w:val="0"/>
          <w:i w:val="0"/>
          <w:color w:val="8A8D96"/>
          <w:sz w:val="22"/>
        </w:rPr>
        <w:t xml:space="preserve">   ·   Studio</w:t>
      </w:r>
    </w:p>
    <w:p>
      <w:pPr>
        <w:spacing w:before="200" w:after="40"/>
      </w:pPr>
      <w:r>
        <w:rPr>
          <w:rFonts w:ascii="Georgia" w:hAnsi="Georgia"/>
          <w:b w:val="0"/>
          <w:i w:val="0"/>
          <w:color w:val="222428"/>
          <w:sz w:val="60"/>
        </w:rPr>
        <w:t>Scope of Work</w:t>
      </w:r>
    </w:p>
    <w:p>
      <w:pPr>
        <w:spacing w:after="40" w:before="0"/>
      </w:pPr>
      <w:r>
        <w:rPr>
          <w:rFonts w:ascii="Calibri" w:hAnsi="Calibri"/>
          <w:b/>
          <w:i w:val="0"/>
          <w:color w:val="222428"/>
          <w:sz w:val="24"/>
        </w:rPr>
        <w:t>Meteorify</w:t>
      </w:r>
      <w:r>
        <w:rPr>
          <w:rFonts w:ascii="Calibri" w:hAnsi="Calibri"/>
          <w:b w:val="0"/>
          <w:i w:val="0"/>
          <w:color w:val="8A8D96"/>
          <w:sz w:val="24"/>
        </w:rPr>
        <w:t xml:space="preserve">   ×   </w:t>
      </w:r>
      <w:r>
        <w:rPr>
          <w:rFonts w:ascii="Calibri" w:hAnsi="Calibri"/>
          <w:b/>
          <w:i w:val="0"/>
          <w:color w:val="222428"/>
          <w:sz w:val="24"/>
        </w:rPr>
        <w:t>DecentraLabs</w:t>
      </w:r>
    </w:p>
    <w:p>
      <w:pPr>
        <w:spacing w:after="200" w:before="0"/>
      </w:pPr>
      <w:r>
        <w:rPr>
          <w:rFonts w:ascii="Calibri" w:hAnsi="Calibri"/>
          <w:b/>
          <w:i w:val="0"/>
          <w:color w:val="B16327"/>
          <w:sz w:val="21"/>
        </w:rPr>
        <w:t>Phase 1  ·  Sales CRM</w:t>
      </w:r>
    </w:p>
    <w:tbl>
      <w:tblPr>
        <w:tblW w:type="auto" w:w="0"/>
        <w:jc w:val="center"/>
        <w:tblLook w:firstColumn="1" w:firstRow="1" w:lastColumn="0" w:lastRow="0" w:noHBand="0" w:noVBand="1" w:val="04A0"/>
      </w:tblPr>
      <w:tblGrid>
        <w:gridCol w:w="2448"/>
        <w:gridCol w:w="2448"/>
        <w:gridCol w:w="2448"/>
        <w:gridCol w:w="2448"/>
      </w:tblGrid>
      <w:tr>
        <w:tc>
          <w:tcPr>
            <w:tcW w:type="dxa" w:w="2448"/>
            <w:shd w:val="clear" w:color="auto" w:fill="FFFFFF"/>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tcPr>
          <w:p>
            <w:pPr>
              <w:spacing w:after="0"/>
            </w:pPr>
            <w:r/>
            <w:r>
              <w:rPr>
                <w:rFonts w:ascii="Calibri" w:hAnsi="Calibri"/>
                <w:b/>
                <w:i w:val="0"/>
                <w:caps/>
                <w:color w:val="B16327"/>
                <w:sz w:val="18"/>
              </w:rPr>
              <w:t>Issued</w:t>
            </w:r>
          </w:p>
        </w:tc>
        <w:tc>
          <w:tcPr>
            <w:tcW w:type="dxa" w:w="2448"/>
            <w:shd w:val="clear" w:color="auto" w:fill="FFFFFF"/>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tcPr>
          <w:p>
            <w:pPr>
              <w:spacing w:after="0"/>
            </w:pPr>
            <w:r/>
            <w:r>
              <w:rPr>
                <w:rFonts w:ascii="Calibri" w:hAnsi="Calibri"/>
                <w:b/>
                <w:i w:val="0"/>
                <w:caps/>
                <w:color w:val="B16327"/>
                <w:sz w:val="18"/>
              </w:rPr>
              <w:t>Reference</w:t>
            </w:r>
          </w:p>
        </w:tc>
        <w:tc>
          <w:tcPr>
            <w:tcW w:type="dxa" w:w="2448"/>
            <w:shd w:val="clear" w:color="auto" w:fill="FFFFFF"/>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tcPr>
          <w:p>
            <w:pPr>
              <w:spacing w:after="0"/>
            </w:pPr>
            <w:r/>
            <w:r>
              <w:rPr>
                <w:rFonts w:ascii="Calibri" w:hAnsi="Calibri"/>
                <w:b/>
                <w:i w:val="0"/>
                <w:caps/>
                <w:color w:val="B16327"/>
                <w:sz w:val="18"/>
              </w:rPr>
              <w:t>Status</w:t>
            </w:r>
          </w:p>
        </w:tc>
        <w:tc>
          <w:tcPr>
            <w:tcW w:type="dxa" w:w="2448"/>
            <w:shd w:val="clear" w:color="auto" w:fill="FFFFFF"/>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tcPr>
          <w:p>
            <w:pPr>
              <w:spacing w:after="0"/>
            </w:pPr>
            <w:r/>
            <w:r>
              <w:rPr>
                <w:rFonts w:ascii="Calibri" w:hAnsi="Calibri"/>
                <w:b/>
                <w:i w:val="0"/>
                <w:caps/>
                <w:color w:val="B16327"/>
                <w:sz w:val="18"/>
              </w:rPr>
              <w:t>Delivery</w:t>
            </w:r>
          </w:p>
        </w:tc>
      </w:tr>
      <w:tr>
        <w:tc>
          <w:tcPr>
            <w:tcW w:type="dxa" w:w="2448"/>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tcPr>
          <w:p>
            <w:pPr>
              <w:spacing w:after="0"/>
            </w:pPr>
            <w:r/>
            <w:r>
              <w:rPr>
                <w:rFonts w:ascii="Calibri" w:hAnsi="Calibri"/>
                <w:b w:val="0"/>
                <w:i w:val="0"/>
                <w:color w:val="555760"/>
                <w:sz w:val="19"/>
              </w:rPr>
              <w:t>21 June 2026</w:t>
            </w:r>
          </w:p>
        </w:tc>
        <w:tc>
          <w:tcPr>
            <w:tcW w:type="dxa" w:w="2448"/>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tcPr>
          <w:p>
            <w:pPr>
              <w:spacing w:after="0"/>
            </w:pPr>
            <w:r/>
            <w:r>
              <w:rPr>
                <w:rFonts w:ascii="Calibri" w:hAnsi="Calibri"/>
                <w:b w:val="0"/>
                <w:i w:val="0"/>
                <w:color w:val="555760"/>
                <w:sz w:val="19"/>
              </w:rPr>
              <w:t>MTR-SOW-2026-001</w:t>
            </w:r>
          </w:p>
        </w:tc>
        <w:tc>
          <w:tcPr>
            <w:tcW w:type="dxa" w:w="2448"/>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tcPr>
          <w:p>
            <w:pPr>
              <w:spacing w:after="0"/>
            </w:pPr>
            <w:r/>
            <w:r>
              <w:rPr>
                <w:rFonts w:ascii="Calibri" w:hAnsi="Calibri"/>
                <w:b w:val="0"/>
                <w:i w:val="0"/>
                <w:color w:val="555760"/>
                <w:sz w:val="19"/>
              </w:rPr>
              <w:t>Draft for review</w:t>
            </w:r>
          </w:p>
        </w:tc>
        <w:tc>
          <w:tcPr>
            <w:tcW w:type="dxa" w:w="2448"/>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tcPr>
          <w:p>
            <w:pPr>
              <w:spacing w:after="0"/>
            </w:pPr>
            <w:r/>
            <w:r>
              <w:rPr>
                <w:rFonts w:ascii="Calibri" w:hAnsi="Calibri"/>
                <w:b w:val="0"/>
                <w:i w:val="0"/>
                <w:color w:val="555760"/>
                <w:sz w:val="19"/>
              </w:rPr>
              <w:t>By agreement</w:t>
            </w:r>
          </w:p>
        </w:tc>
      </w:tr>
    </w:tbl>
    <w:p>
      <w:pPr>
        <w:spacing w:after="120"/>
      </w:pPr>
    </w:p>
    <w:p>
      <w:pPr>
        <w:spacing w:after="40" w:before="0"/>
      </w:pPr>
      <w:r>
        <w:rPr>
          <w:rFonts w:ascii="Calibri" w:hAnsi="Calibri"/>
          <w:b w:val="0"/>
          <w:i/>
          <w:color w:val="8A8D96"/>
          <w:sz w:val="19"/>
        </w:rPr>
        <w:t>Teams who have shipped with us:  Metaframe  ·  Mocho  ·  ACPL  ·  Expressmats</w:t>
      </w:r>
    </w:p>
    <w:p>
      <w:pPr>
        <w:spacing w:before="320" w:after="80"/>
        <w:pBdr>
          <w:bottom w:val="single" w:sz="4" w:space="4" w:color="DDD6C8"/>
        </w:pBdr>
      </w:pPr>
      <w:r>
        <w:rPr>
          <w:rFonts w:ascii="Georgia" w:hAnsi="Georgia"/>
          <w:b/>
          <w:i w:val="0"/>
          <w:color w:val="B16327"/>
          <w:sz w:val="24"/>
        </w:rPr>
        <w:t xml:space="preserve">01  </w:t>
      </w:r>
      <w:r>
        <w:rPr>
          <w:rFonts w:ascii="Georgia" w:hAnsi="Georgia"/>
          <w:b w:val="0"/>
          <w:i w:val="0"/>
          <w:color w:val="222428"/>
          <w:sz w:val="31"/>
        </w:rPr>
        <w:t>The objective</w:t>
      </w:r>
    </w:p>
    <w:p>
      <w:pPr>
        <w:spacing w:after="120" w:before="0"/>
      </w:pPr>
      <w:r>
        <w:rPr>
          <w:rFonts w:ascii="Georgia" w:hAnsi="Georgia"/>
          <w:b w:val="0"/>
          <w:i w:val="0"/>
          <w:color w:val="222428"/>
          <w:sz w:val="24"/>
        </w:rPr>
        <w:t>Give DecentraLabs one secure sales command centre that replaces the patchwork of CRMs and spreadsheets.</w:t>
      </w:r>
    </w:p>
    <w:p>
      <w:pPr>
        <w:spacing w:after="120" w:before="0"/>
      </w:pPr>
      <w:r>
        <w:rPr>
          <w:rFonts w:ascii="Calibri" w:hAnsi="Calibri"/>
          <w:b w:val="0"/>
          <w:i w:val="0"/>
          <w:color w:val="555760"/>
          <w:sz w:val="21"/>
        </w:rPr>
        <w:t>Phase 1 is the sales engine, the part of the business currently holding back revenue. By the end of the build, the team logs in to a single place where every lead, deal, payment and KPI lives together, with ad leads flowing in on their own and the floor ranked in real time. The calling and WhatsApp layer follows as Phase 1.5; the broader ops and AI work is Phases 2 and 3. Only the Phase 1 sales CRM is in scope and priced here.</w:t>
      </w:r>
    </w:p>
    <w:p>
      <w:pPr>
        <w:spacing w:before="320" w:after="80"/>
        <w:pBdr>
          <w:bottom w:val="single" w:sz="4" w:space="4" w:color="DDD6C8"/>
        </w:pBdr>
      </w:pPr>
      <w:r>
        <w:rPr>
          <w:rFonts w:ascii="Georgia" w:hAnsi="Georgia"/>
          <w:b/>
          <w:i w:val="0"/>
          <w:color w:val="B16327"/>
          <w:sz w:val="24"/>
        </w:rPr>
        <w:t xml:space="preserve">02  </w:t>
      </w:r>
      <w:r>
        <w:rPr>
          <w:rFonts w:ascii="Georgia" w:hAnsi="Georgia"/>
          <w:b w:val="0"/>
          <w:i w:val="0"/>
          <w:color w:val="222428"/>
          <w:sz w:val="31"/>
        </w:rPr>
        <w:t>How the CRM behaves</w:t>
      </w:r>
    </w:p>
    <w:p>
      <w:pPr>
        <w:spacing w:after="120" w:before="0"/>
      </w:pPr>
      <w:r>
        <w:rPr>
          <w:rFonts w:ascii="Calibri" w:hAnsi="Calibri"/>
          <w:b w:val="0"/>
          <w:i w:val="0"/>
          <w:color w:val="555760"/>
          <w:sz w:val="21"/>
        </w:rPr>
        <w:t>A lead arrives, lands on the board, gets worked and tracked as a deal, and feeds the leaderboard. One continuous flow, no re-keying. The calling and WhatsApp layer plugs into the same flow in Phase 1.5.</w:t>
      </w:r>
    </w:p>
    <w:p>
      <w:pPr>
        <w:spacing w:after="120" w:before="0"/>
      </w:pPr>
      <w:r>
        <w:rPr>
          <w:rFonts w:ascii="Calibri" w:hAnsi="Calibri"/>
          <w:b/>
          <w:i w:val="0"/>
          <w:color w:val="B16327"/>
          <w:sz w:val="20"/>
        </w:rPr>
        <w:t xml:space="preserve">Flow:  </w:t>
      </w:r>
      <w:r>
        <w:rPr>
          <w:rFonts w:ascii="Calibri" w:hAnsi="Calibri"/>
          <w:b w:val="0"/>
          <w:i w:val="0"/>
          <w:color w:val="555760"/>
          <w:sz w:val="20"/>
        </w:rPr>
        <w:t>Lead in  →  Pipeline board (New → Contacted → Qualified → Booked → Closed)  →  Notes &amp; payments recorded on the lead  →  KPIs and the Arena leaderboard update in real time.</w:t>
      </w:r>
    </w:p>
    <w:p>
      <w:pPr>
        <w:spacing w:before="320" w:after="80"/>
        <w:pBdr>
          <w:bottom w:val="single" w:sz="4" w:space="4" w:color="DDD6C8"/>
        </w:pBdr>
      </w:pPr>
      <w:r>
        <w:rPr>
          <w:rFonts w:ascii="Georgia" w:hAnsi="Georgia"/>
          <w:b/>
          <w:i w:val="0"/>
          <w:color w:val="B16327"/>
          <w:sz w:val="24"/>
        </w:rPr>
        <w:t xml:space="preserve">03  </w:t>
      </w:r>
      <w:r>
        <w:rPr>
          <w:rFonts w:ascii="Georgia" w:hAnsi="Georgia"/>
          <w:b w:val="0"/>
          <w:i w:val="0"/>
          <w:color w:val="222428"/>
          <w:sz w:val="31"/>
        </w:rPr>
        <w:t>How it is built</w:t>
      </w:r>
    </w:p>
    <w:p>
      <w:pPr>
        <w:spacing w:after="120" w:before="0"/>
      </w:pPr>
      <w:r>
        <w:rPr>
          <w:rFonts w:ascii="Calibri" w:hAnsi="Calibri"/>
          <w:b w:val="0"/>
          <w:i w:val="0"/>
          <w:color w:val="555760"/>
          <w:sz w:val="21"/>
        </w:rPr>
        <w:t>A custom, production stack on your own database and subdomain. Phase 1 ships the CRM and ad-lead intake. The calling and WhatsApp layer plugs into the same app in Phase 1.5, so nothing has to be rebuilt to add it.</w:t>
      </w:r>
    </w:p>
    <w:tbl>
      <w:tblPr>
        <w:tblW w:type="auto" w:w="0"/>
        <w:jc w:val="center"/>
        <w:tblLook w:firstColumn="1" w:firstRow="1" w:lastColumn="0" w:lastRow="0" w:noHBand="0" w:noVBand="1" w:val="04A0"/>
      </w:tblPr>
      <w:tblGrid>
        <w:gridCol w:w="4896"/>
        <w:gridCol w:w="4896"/>
      </w:tblGrid>
      <w:tr>
        <w:tc>
          <w:tcPr>
            <w:tcW w:type="dxa" w:w="3024"/>
            <w:shd w:val="clear" w:color="auto" w:fill="B16327"/>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tcPr>
          <w:p>
            <w:pPr>
              <w:spacing w:after="0"/>
            </w:pPr>
            <w:r/>
            <w:r>
              <w:rPr>
                <w:rFonts w:ascii="Calibri" w:hAnsi="Calibri"/>
                <w:b/>
                <w:i w:val="0"/>
                <w:caps/>
                <w:color w:val="FFFFFF"/>
                <w:sz w:val="18"/>
              </w:rPr>
              <w:t>Layer</w:t>
            </w:r>
          </w:p>
        </w:tc>
        <w:tc>
          <w:tcPr>
            <w:tcW w:type="dxa" w:w="6192"/>
            <w:shd w:val="clear" w:color="auto" w:fill="B16327"/>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tcPr>
          <w:p>
            <w:pPr>
              <w:spacing w:after="0"/>
            </w:pPr>
            <w:r/>
            <w:r>
              <w:rPr>
                <w:rFonts w:ascii="Calibri" w:hAnsi="Calibri"/>
                <w:b/>
                <w:i w:val="0"/>
                <w:caps/>
                <w:color w:val="FFFFFF"/>
                <w:sz w:val="18"/>
              </w:rPr>
              <w:t>What it is</w:t>
            </w:r>
          </w:p>
        </w:tc>
      </w:tr>
      <w:tr>
        <w:tc>
          <w:tcPr>
            <w:tcW w:type="dxa" w:w="3024"/>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tcPr>
          <w:p>
            <w:pPr>
              <w:spacing w:after="0"/>
            </w:pPr>
            <w:r/>
            <w:r>
              <w:rPr>
                <w:rFonts w:ascii="Calibri" w:hAnsi="Calibri"/>
                <w:b w:val="0"/>
                <w:i w:val="0"/>
                <w:color w:val="555760"/>
                <w:sz w:val="19"/>
              </w:rPr>
              <w:t>Next.js app</w:t>
            </w:r>
          </w:p>
        </w:tc>
        <w:tc>
          <w:tcPr>
            <w:tcW w:type="dxa" w:w="6192"/>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tcPr>
          <w:p>
            <w:pPr>
              <w:spacing w:after="0"/>
            </w:pPr>
            <w:r/>
            <w:r>
              <w:rPr>
                <w:rFonts w:ascii="Calibri" w:hAnsi="Calibri"/>
                <w:b w:val="0"/>
                <w:i w:val="0"/>
                <w:color w:val="555760"/>
                <w:sz w:val="19"/>
              </w:rPr>
              <w:t>Pipeline, lead cards, dashboards, mobile</w:t>
            </w:r>
          </w:p>
        </w:tc>
      </w:tr>
      <w:tr>
        <w:tc>
          <w:tcPr>
            <w:tcW w:type="dxa" w:w="3024"/>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shd w:val="clear" w:color="auto" w:fill="FAF6EE"/>
          </w:tcPr>
          <w:p>
            <w:pPr>
              <w:spacing w:after="0"/>
            </w:pPr>
            <w:r/>
            <w:r>
              <w:rPr>
                <w:rFonts w:ascii="Calibri" w:hAnsi="Calibri"/>
                <w:b w:val="0"/>
                <w:i w:val="0"/>
                <w:color w:val="555760"/>
                <w:sz w:val="19"/>
              </w:rPr>
              <w:t>App logic &amp; webhooks</w:t>
            </w:r>
          </w:p>
        </w:tc>
        <w:tc>
          <w:tcPr>
            <w:tcW w:type="dxa" w:w="6192"/>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shd w:val="clear" w:color="auto" w:fill="FAF6EE"/>
          </w:tcPr>
          <w:p>
            <w:pPr>
              <w:spacing w:after="0"/>
            </w:pPr>
            <w:r/>
            <w:r>
              <w:rPr>
                <w:rFonts w:ascii="Calibri" w:hAnsi="Calibri"/>
                <w:b w:val="0"/>
                <w:i w:val="0"/>
                <w:color w:val="555760"/>
                <w:sz w:val="19"/>
              </w:rPr>
              <w:t>Lead routing, KPI engine, ad-lead intake</w:t>
            </w:r>
          </w:p>
        </w:tc>
      </w:tr>
      <w:tr>
        <w:tc>
          <w:tcPr>
            <w:tcW w:type="dxa" w:w="3024"/>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tcPr>
          <w:p>
            <w:pPr>
              <w:spacing w:after="0"/>
            </w:pPr>
            <w:r/>
            <w:r>
              <w:rPr>
                <w:rFonts w:ascii="Calibri" w:hAnsi="Calibri"/>
                <w:b w:val="0"/>
                <w:i w:val="0"/>
                <w:color w:val="555760"/>
                <w:sz w:val="19"/>
              </w:rPr>
              <w:t>PostgreSQL — your database</w:t>
            </w:r>
          </w:p>
        </w:tc>
        <w:tc>
          <w:tcPr>
            <w:tcW w:type="dxa" w:w="6192"/>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tcPr>
          <w:p>
            <w:pPr>
              <w:spacing w:after="0"/>
            </w:pPr>
            <w:r/>
            <w:r>
              <w:rPr>
                <w:rFonts w:ascii="Calibri" w:hAnsi="Calibri"/>
                <w:b w:val="0"/>
                <w:i w:val="0"/>
                <w:color w:val="555760"/>
                <w:sz w:val="19"/>
              </w:rPr>
              <w:t>Relational, indexed, no spreadsheets</w:t>
            </w:r>
          </w:p>
        </w:tc>
      </w:tr>
      <w:tr>
        <w:tc>
          <w:tcPr>
            <w:tcW w:type="dxa" w:w="3024"/>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shd w:val="clear" w:color="auto" w:fill="FAF6EE"/>
          </w:tcPr>
          <w:p>
            <w:pPr>
              <w:spacing w:after="0"/>
            </w:pPr>
            <w:r/>
            <w:r>
              <w:rPr>
                <w:rFonts w:ascii="Calibri" w:hAnsi="Calibri"/>
                <w:b w:val="0"/>
                <w:i w:val="0"/>
                <w:color w:val="555760"/>
                <w:sz w:val="19"/>
              </w:rPr>
              <w:t>Lead sources</w:t>
            </w:r>
          </w:p>
        </w:tc>
        <w:tc>
          <w:tcPr>
            <w:tcW w:type="dxa" w:w="6192"/>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shd w:val="clear" w:color="auto" w:fill="FAF6EE"/>
          </w:tcPr>
          <w:p>
            <w:pPr>
              <w:spacing w:after="0"/>
            </w:pPr>
            <w:r/>
            <w:r>
              <w:rPr>
                <w:rFonts w:ascii="Calibri" w:hAnsi="Calibri"/>
                <w:b w:val="0"/>
                <w:i w:val="0"/>
                <w:color w:val="555760"/>
                <w:sz w:val="19"/>
              </w:rPr>
              <w:t>Meta Ads via webhook; CSV import and manual entry go straight into the app</w:t>
            </w:r>
          </w:p>
        </w:tc>
      </w:tr>
      <w:tr>
        <w:tc>
          <w:tcPr>
            <w:tcW w:type="dxa" w:w="3024"/>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tcPr>
          <w:p>
            <w:pPr>
              <w:spacing w:after="0"/>
            </w:pPr>
            <w:r/>
            <w:r>
              <w:rPr>
                <w:rFonts w:ascii="Calibri" w:hAnsi="Calibri"/>
                <w:b w:val="0"/>
                <w:i w:val="0"/>
                <w:color w:val="555760"/>
                <w:sz w:val="19"/>
              </w:rPr>
              <w:t>Calling &amp; messaging (Phase 1.5)</w:t>
            </w:r>
          </w:p>
        </w:tc>
        <w:tc>
          <w:tcPr>
            <w:tcW w:type="dxa" w:w="6192"/>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tcPr>
          <w:p>
            <w:pPr>
              <w:spacing w:after="0"/>
            </w:pPr>
            <w:r/>
            <w:r>
              <w:rPr>
                <w:rFonts w:ascii="Calibri" w:hAnsi="Calibri"/>
                <w:b w:val="0"/>
                <w:i w:val="0"/>
                <w:color w:val="555760"/>
                <w:sz w:val="19"/>
              </w:rPr>
              <w:t>Dialer, recordings, transcripts, WhatsApp</w:t>
            </w:r>
          </w:p>
        </w:tc>
      </w:tr>
      <w:tr>
        <w:tc>
          <w:tcPr>
            <w:tcW w:type="dxa" w:w="3024"/>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shd w:val="clear" w:color="auto" w:fill="FAF6EE"/>
          </w:tcPr>
          <w:p>
            <w:pPr>
              <w:spacing w:after="0"/>
            </w:pPr>
            <w:r/>
            <w:r>
              <w:rPr>
                <w:rFonts w:ascii="Calibri" w:hAnsi="Calibri"/>
                <w:b w:val="0"/>
                <w:i w:val="0"/>
                <w:color w:val="555760"/>
                <w:sz w:val="19"/>
              </w:rPr>
              <w:t>Access &amp; roles</w:t>
            </w:r>
          </w:p>
        </w:tc>
        <w:tc>
          <w:tcPr>
            <w:tcW w:type="dxa" w:w="6192"/>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shd w:val="clear" w:color="auto" w:fill="FAF6EE"/>
          </w:tcPr>
          <w:p>
            <w:pPr>
              <w:spacing w:after="0"/>
            </w:pPr>
            <w:r/>
            <w:r>
              <w:rPr>
                <w:rFonts w:ascii="Calibri" w:hAnsi="Calibri"/>
                <w:b w:val="0"/>
                <w:i w:val="0"/>
                <w:color w:val="555760"/>
                <w:sz w:val="19"/>
              </w:rPr>
              <w:t>Secure login, Founder / Closer / Setter scoping</w:t>
            </w:r>
          </w:p>
        </w:tc>
      </w:tr>
      <w:tr>
        <w:tc>
          <w:tcPr>
            <w:tcW w:type="dxa" w:w="3024"/>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tcPr>
          <w:p>
            <w:pPr>
              <w:spacing w:after="0"/>
            </w:pPr>
            <w:r/>
            <w:r>
              <w:rPr>
                <w:rFonts w:ascii="Calibri" w:hAnsi="Calibri"/>
                <w:b w:val="0"/>
                <w:i w:val="0"/>
                <w:color w:val="555760"/>
                <w:sz w:val="19"/>
              </w:rPr>
              <w:t>Hosting</w:t>
            </w:r>
          </w:p>
        </w:tc>
        <w:tc>
          <w:tcPr>
            <w:tcW w:type="dxa" w:w="6192"/>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tcPr>
          <w:p>
            <w:pPr>
              <w:spacing w:after="0"/>
            </w:pPr>
            <w:r/>
            <w:r>
              <w:rPr>
                <w:rFonts w:ascii="Calibri" w:hAnsi="Calibri"/>
                <w:b w:val="0"/>
                <w:i w:val="0"/>
                <w:color w:val="555760"/>
                <w:sz w:val="19"/>
              </w:rPr>
              <w:t>DecentraLabs subdomain, SSL, multi-client</w:t>
            </w:r>
          </w:p>
        </w:tc>
      </w:tr>
    </w:tbl>
    <w:p>
      <w:pPr>
        <w:spacing w:before="320" w:after="80"/>
        <w:pBdr>
          <w:bottom w:val="single" w:sz="4" w:space="4" w:color="DDD6C8"/>
        </w:pBdr>
      </w:pPr>
      <w:r>
        <w:rPr>
          <w:rFonts w:ascii="Georgia" w:hAnsi="Georgia"/>
          <w:b/>
          <w:i w:val="0"/>
          <w:color w:val="B16327"/>
          <w:sz w:val="24"/>
        </w:rPr>
        <w:t xml:space="preserve">04  </w:t>
      </w:r>
      <w:r>
        <w:rPr>
          <w:rFonts w:ascii="Georgia" w:hAnsi="Georgia"/>
          <w:b w:val="0"/>
          <w:i w:val="0"/>
          <w:color w:val="222428"/>
          <w:sz w:val="31"/>
        </w:rPr>
        <w:t>What we deliver</w:t>
      </w:r>
    </w:p>
    <w:p>
      <w:pPr>
        <w:spacing w:after="120" w:before="0"/>
      </w:pPr>
      <w:r>
        <w:rPr>
          <w:rFonts w:ascii="Calibri" w:hAnsi="Calibri"/>
          <w:b w:val="0"/>
          <w:i w:val="0"/>
          <w:color w:val="555760"/>
          <w:sz w:val="21"/>
        </w:rPr>
        <w:t>Each item states what it is, how you confirm it is done, and how many rounds of changes are included.</w:t>
      </w:r>
    </w:p>
    <w:p>
      <w:pPr>
        <w:spacing w:before="160" w:after="60"/>
      </w:pPr>
      <w:r>
        <w:rPr>
          <w:rFonts w:ascii="Calibri" w:hAnsi="Calibri"/>
          <w:b/>
          <w:i w:val="0"/>
          <w:color w:val="B16327"/>
          <w:sz w:val="20"/>
        </w:rPr>
        <w:t xml:space="preserve">D1   </w:t>
      </w:r>
      <w:r>
        <w:rPr>
          <w:rFonts w:ascii="Georgia" w:hAnsi="Georgia"/>
          <w:b/>
          <w:i w:val="0"/>
          <w:color w:val="222428"/>
          <w:sz w:val="24"/>
        </w:rPr>
        <w:t>Access &amp; roles</w:t>
      </w:r>
    </w:p>
    <w:p>
      <w:pPr>
        <w:pStyle w:val="ListBullet"/>
        <w:spacing w:after="60"/>
      </w:pPr>
      <w:r>
        <w:rPr>
          <w:rFonts w:ascii="Calibri" w:hAnsi="Calibri"/>
          <w:b w:val="0"/>
          <w:i w:val="0"/>
          <w:color w:val="555760"/>
          <w:sz w:val="21"/>
        </w:rPr>
        <w:t>Secure multi-user login. No shared or open access.</w:t>
      </w:r>
    </w:p>
    <w:p>
      <w:pPr>
        <w:pStyle w:val="ListBullet"/>
        <w:spacing w:after="60"/>
      </w:pPr>
      <w:r>
        <w:rPr>
          <w:rFonts w:ascii="Calibri" w:hAnsi="Calibri"/>
          <w:b w:val="0"/>
          <w:i w:val="0"/>
          <w:color w:val="555760"/>
          <w:sz w:val="21"/>
        </w:rPr>
        <w:t>Role-based access for Founder / Admin, Closer and Setter, each seeing only what it should.</w:t>
      </w:r>
    </w:p>
    <w:p>
      <w:pPr>
        <w:pStyle w:val="ListBullet"/>
        <w:spacing w:after="60"/>
      </w:pPr>
      <w:r>
        <w:rPr>
          <w:rFonts w:ascii="Calibri" w:hAnsi="Calibri"/>
          <w:b w:val="0"/>
          <w:i w:val="0"/>
          <w:color w:val="555760"/>
          <w:sz w:val="21"/>
        </w:rPr>
        <w:t>Admin view across the whole floor; reps scoped to their own leads and KPIs.</w:t>
      </w:r>
    </w:p>
    <w:p>
      <w:pPr>
        <w:spacing w:after="40"/>
        <w:ind w:left="0"/>
      </w:pPr>
      <w:r>
        <w:rPr>
          <w:rFonts w:ascii="Calibri" w:hAnsi="Calibri"/>
          <w:b/>
          <w:i w:val="0"/>
          <w:color w:val="B16327"/>
          <w:sz w:val="19"/>
        </w:rPr>
        <w:t xml:space="preserve">Acceptance — </w:t>
      </w:r>
      <w:r>
        <w:rPr>
          <w:rFonts w:ascii="Calibri" w:hAnsi="Calibri"/>
          <w:b w:val="0"/>
          <w:i/>
          <w:color w:val="8A8D96"/>
          <w:sz w:val="19"/>
        </w:rPr>
        <w:t>Each of the three roles logs in and sees exactly its permitted screens and data in a live test; a setter cannot view another rep's leads.</w:t>
      </w:r>
    </w:p>
    <w:p>
      <w:pPr>
        <w:spacing w:after="40"/>
        <w:ind w:left="0"/>
      </w:pPr>
      <w:r>
        <w:rPr>
          <w:rFonts w:ascii="Calibri" w:hAnsi="Calibri"/>
          <w:b/>
          <w:i w:val="0"/>
          <w:color w:val="B16327"/>
          <w:sz w:val="19"/>
        </w:rPr>
        <w:t xml:space="preserve">Revisions — </w:t>
      </w:r>
      <w:r>
        <w:rPr>
          <w:rFonts w:ascii="Calibri" w:hAnsi="Calibri"/>
          <w:b w:val="0"/>
          <w:i/>
          <w:color w:val="8A8D96"/>
          <w:sz w:val="19"/>
        </w:rPr>
        <w:t>2 rounds</w:t>
      </w:r>
    </w:p>
    <w:p>
      <w:pPr>
        <w:spacing w:before="160" w:after="60"/>
      </w:pPr>
      <w:r>
        <w:rPr>
          <w:rFonts w:ascii="Calibri" w:hAnsi="Calibri"/>
          <w:b/>
          <w:i w:val="0"/>
          <w:color w:val="B16327"/>
          <w:sz w:val="20"/>
        </w:rPr>
        <w:t xml:space="preserve">D2   </w:t>
      </w:r>
      <w:r>
        <w:rPr>
          <w:rFonts w:ascii="Georgia" w:hAnsi="Georgia"/>
          <w:b/>
          <w:i w:val="0"/>
          <w:color w:val="222428"/>
          <w:sz w:val="24"/>
        </w:rPr>
        <w:t>Leads, pipeline &amp; lead intake</w:t>
      </w:r>
    </w:p>
    <w:p>
      <w:pPr>
        <w:pStyle w:val="ListBullet"/>
        <w:spacing w:after="60"/>
      </w:pPr>
      <w:r>
        <w:rPr>
          <w:rFonts w:ascii="Calibri" w:hAnsi="Calibri"/>
          <w:b w:val="0"/>
          <w:i w:val="0"/>
          <w:color w:val="555760"/>
          <w:sz w:val="21"/>
        </w:rPr>
        <w:t>Lead card with contact, source, priority, follower count, budget, owner, status, notes and full activity history.</w:t>
      </w:r>
    </w:p>
    <w:p>
      <w:pPr>
        <w:pStyle w:val="ListBullet"/>
        <w:spacing w:after="60"/>
      </w:pPr>
      <w:r>
        <w:rPr>
          <w:rFonts w:ascii="Calibri" w:hAnsi="Calibri"/>
          <w:b w:val="0"/>
          <w:i w:val="0"/>
          <w:color w:val="555760"/>
          <w:sz w:val="21"/>
        </w:rPr>
        <w:t>Kanban pipeline with configurable stages (your milestones / qualified / cash-collected).</w:t>
      </w:r>
    </w:p>
    <w:p>
      <w:pPr>
        <w:pStyle w:val="ListBullet"/>
        <w:spacing w:after="60"/>
      </w:pPr>
      <w:r>
        <w:rPr>
          <w:rFonts w:ascii="Calibri" w:hAnsi="Calibri"/>
          <w:b w:val="0"/>
          <w:i w:val="0"/>
          <w:color w:val="555760"/>
          <w:sz w:val="21"/>
        </w:rPr>
        <w:t>Lead-source attribution, auto-tagging source and UTM on entry.</w:t>
      </w:r>
    </w:p>
    <w:p>
      <w:pPr>
        <w:pStyle w:val="ListBullet"/>
        <w:spacing w:after="60"/>
      </w:pPr>
      <w:r>
        <w:rPr>
          <w:rFonts w:ascii="Calibri" w:hAnsi="Calibri"/>
          <w:b w:val="0"/>
          <w:i w:val="0"/>
          <w:color w:val="555760"/>
          <w:sz w:val="21"/>
        </w:rPr>
        <w:t>Meta / Facebook Ads webhook, so new ad leads flow in automatically with no manual entry.</w:t>
      </w:r>
    </w:p>
    <w:p>
      <w:pPr>
        <w:pStyle w:val="ListBullet"/>
        <w:spacing w:after="60"/>
      </w:pPr>
      <w:r>
        <w:rPr>
          <w:rFonts w:ascii="Calibri" w:hAnsi="Calibri"/>
          <w:b w:val="0"/>
          <w:i w:val="0"/>
          <w:color w:val="555760"/>
          <w:sz w:val="21"/>
        </w:rPr>
        <w:t>CSV import with de-duplication to port existing GoHighLevel / Iron Forge data, plus CSV export.</w:t>
      </w:r>
    </w:p>
    <w:p>
      <w:pPr>
        <w:pStyle w:val="ListBullet"/>
        <w:spacing w:after="60"/>
      </w:pPr>
      <w:r>
        <w:rPr>
          <w:rFonts w:ascii="Calibri" w:hAnsi="Calibri"/>
          <w:b w:val="0"/>
          <w:i w:val="0"/>
          <w:color w:val="555760"/>
          <w:sz w:val="21"/>
        </w:rPr>
        <w:t>Global search, filters, saved views, bulk actions and round-robin assignment to reps.</w:t>
      </w:r>
    </w:p>
    <w:p>
      <w:pPr>
        <w:spacing w:after="40"/>
        <w:ind w:left="0"/>
      </w:pPr>
      <w:r>
        <w:rPr>
          <w:rFonts w:ascii="Calibri" w:hAnsi="Calibri"/>
          <w:b/>
          <w:i w:val="0"/>
          <w:color w:val="B16327"/>
          <w:sz w:val="19"/>
        </w:rPr>
        <w:t xml:space="preserve">Acceptance — </w:t>
      </w:r>
      <w:r>
        <w:rPr>
          <w:rFonts w:ascii="Calibri" w:hAnsi="Calibri"/>
          <w:b w:val="0"/>
          <w:i/>
          <w:color w:val="8A8D96"/>
          <w:sz w:val="19"/>
        </w:rPr>
        <w:t>A test ad lead arrives via webhook, a sample CSV imports with duplicates flagged, and a lead can be moved across all stages, assigned, filtered and found by search, with every change in its activity history.</w:t>
      </w:r>
    </w:p>
    <w:p>
      <w:pPr>
        <w:spacing w:after="40"/>
        <w:ind w:left="0"/>
      </w:pPr>
      <w:r>
        <w:rPr>
          <w:rFonts w:ascii="Calibri" w:hAnsi="Calibri"/>
          <w:b/>
          <w:i w:val="0"/>
          <w:color w:val="B16327"/>
          <w:sz w:val="19"/>
        </w:rPr>
        <w:t xml:space="preserve">Revisions — </w:t>
      </w:r>
      <w:r>
        <w:rPr>
          <w:rFonts w:ascii="Calibri" w:hAnsi="Calibri"/>
          <w:b w:val="0"/>
          <w:i/>
          <w:color w:val="8A8D96"/>
          <w:sz w:val="19"/>
        </w:rPr>
        <w:t>2 rounds</w:t>
      </w:r>
    </w:p>
    <w:p>
      <w:pPr>
        <w:spacing w:before="160" w:after="60"/>
      </w:pPr>
      <w:r>
        <w:rPr>
          <w:rFonts w:ascii="Calibri" w:hAnsi="Calibri"/>
          <w:b/>
          <w:i w:val="0"/>
          <w:color w:val="B16327"/>
          <w:sz w:val="20"/>
        </w:rPr>
        <w:t xml:space="preserve">D3   </w:t>
      </w:r>
      <w:r>
        <w:rPr>
          <w:rFonts w:ascii="Georgia" w:hAnsi="Georgia"/>
          <w:b/>
          <w:i w:val="0"/>
          <w:color w:val="222428"/>
          <w:sz w:val="24"/>
        </w:rPr>
        <w:t>Payments &amp; deals</w:t>
      </w:r>
    </w:p>
    <w:p>
      <w:pPr>
        <w:pStyle w:val="ListBullet"/>
        <w:spacing w:after="60"/>
      </w:pPr>
      <w:r>
        <w:rPr>
          <w:rFonts w:ascii="Calibri" w:hAnsi="Calibri"/>
          <w:b w:val="0"/>
          <w:i w:val="0"/>
          <w:color w:val="555760"/>
          <w:sz w:val="21"/>
        </w:rPr>
        <w:t>Deal value with split / partial payments, tracking each tranche (e.g. a 50,000 deal with 30,000 collected).</w:t>
      </w:r>
    </w:p>
    <w:p>
      <w:pPr>
        <w:pStyle w:val="ListBullet"/>
        <w:spacing w:after="60"/>
      </w:pPr>
      <w:r>
        <w:rPr>
          <w:rFonts w:ascii="Calibri" w:hAnsi="Calibri"/>
          <w:b w:val="0"/>
          <w:i w:val="0"/>
          <w:color w:val="555760"/>
          <w:sz w:val="21"/>
        </w:rPr>
        <w:t>Date-based reminder for the next payment split.</w:t>
      </w:r>
    </w:p>
    <w:p>
      <w:pPr>
        <w:pStyle w:val="ListBullet"/>
        <w:spacing w:after="60"/>
      </w:pPr>
      <w:r>
        <w:rPr>
          <w:rFonts w:ascii="Calibri" w:hAnsi="Calibri"/>
          <w:b w:val="0"/>
          <w:i w:val="0"/>
          <w:color w:val="555760"/>
          <w:sz w:val="21"/>
        </w:rPr>
        <w:t>Splits auto-feed the KPIs (cash collected, pending) with no double entry.</w:t>
      </w:r>
    </w:p>
    <w:p>
      <w:pPr>
        <w:pStyle w:val="ListBullet"/>
        <w:spacing w:after="60"/>
      </w:pPr>
      <w:r>
        <w:rPr>
          <w:rFonts w:ascii="Calibri" w:hAnsi="Calibri"/>
          <w:b w:val="0"/>
          <w:i w:val="0"/>
          <w:color w:val="555760"/>
          <w:sz w:val="21"/>
        </w:rPr>
        <w:t>Contract value, cash collected, pending / outstanding and deals closed.</w:t>
      </w:r>
    </w:p>
    <w:p>
      <w:pPr>
        <w:spacing w:after="40"/>
        <w:ind w:left="0"/>
      </w:pPr>
      <w:r>
        <w:rPr>
          <w:rFonts w:ascii="Calibri" w:hAnsi="Calibri"/>
          <w:b/>
          <w:i w:val="0"/>
          <w:color w:val="B16327"/>
          <w:sz w:val="19"/>
        </w:rPr>
        <w:t xml:space="preserve">Acceptance — </w:t>
      </w:r>
      <w:r>
        <w:rPr>
          <w:rFonts w:ascii="Calibri" w:hAnsi="Calibri"/>
          <w:b w:val="0"/>
          <w:i/>
          <w:color w:val="8A8D96"/>
          <w:sz w:val="19"/>
        </w:rPr>
        <w:t>A deal recorded with a partial payment updates cash-collected and pending automatically, and a split reminder appears on its due date.</w:t>
      </w:r>
    </w:p>
    <w:p>
      <w:pPr>
        <w:spacing w:after="40"/>
        <w:ind w:left="0"/>
      </w:pPr>
      <w:r>
        <w:rPr>
          <w:rFonts w:ascii="Calibri" w:hAnsi="Calibri"/>
          <w:b/>
          <w:i w:val="0"/>
          <w:color w:val="B16327"/>
          <w:sz w:val="19"/>
        </w:rPr>
        <w:t xml:space="preserve">Revisions — </w:t>
      </w:r>
      <w:r>
        <w:rPr>
          <w:rFonts w:ascii="Calibri" w:hAnsi="Calibri"/>
          <w:b w:val="0"/>
          <w:i/>
          <w:color w:val="8A8D96"/>
          <w:sz w:val="19"/>
        </w:rPr>
        <w:t>2 rounds</w:t>
      </w:r>
    </w:p>
    <w:p>
      <w:pPr>
        <w:spacing w:before="160" w:after="60"/>
      </w:pPr>
      <w:r>
        <w:rPr>
          <w:rFonts w:ascii="Calibri" w:hAnsi="Calibri"/>
          <w:b/>
          <w:i w:val="0"/>
          <w:color w:val="B16327"/>
          <w:sz w:val="20"/>
        </w:rPr>
        <w:t xml:space="preserve">D4   </w:t>
      </w:r>
      <w:r>
        <w:rPr>
          <w:rFonts w:ascii="Georgia" w:hAnsi="Georgia"/>
          <w:b/>
          <w:i w:val="0"/>
          <w:color w:val="222428"/>
          <w:sz w:val="24"/>
        </w:rPr>
        <w:t>KPIs, Arena &amp; graphs</w:t>
      </w:r>
    </w:p>
    <w:p>
      <w:pPr>
        <w:pStyle w:val="ListBullet"/>
        <w:spacing w:after="60"/>
      </w:pPr>
      <w:r>
        <w:rPr>
          <w:rFonts w:ascii="Calibri" w:hAnsi="Calibri"/>
          <w:b w:val="0"/>
          <w:i w:val="0"/>
          <w:color w:val="555760"/>
          <w:sz w:val="21"/>
        </w:rPr>
        <w:t>Arena leaderboard, a gamified per-rep ranking that drives the floor.</w:t>
      </w:r>
    </w:p>
    <w:p>
      <w:pPr>
        <w:pStyle w:val="ListBullet"/>
        <w:spacing w:after="60"/>
      </w:pPr>
      <w:r>
        <w:rPr>
          <w:rFonts w:ascii="Calibri" w:hAnsi="Calibri"/>
          <w:b w:val="0"/>
          <w:i w:val="0"/>
          <w:color w:val="555760"/>
          <w:sz w:val="21"/>
        </w:rPr>
        <w:t>Graphical dashboards with daily trend graphs, not just monthly totals.</w:t>
      </w:r>
    </w:p>
    <w:p>
      <w:pPr>
        <w:pStyle w:val="ListBullet"/>
        <w:spacing w:after="60"/>
      </w:pPr>
      <w:r>
        <w:rPr>
          <w:rFonts w:ascii="Calibri" w:hAnsi="Calibri"/>
          <w:b w:val="0"/>
          <w:i w:val="0"/>
          <w:color w:val="555760"/>
          <w:sz w:val="21"/>
        </w:rPr>
        <w:t>KPIs auto-computed from activity (bookings and payments) per rep and per team: booking rate, no-show, deals closed, close rate, revenue, cash collected, pending, collect rate, churn, leaderboard rank and trends. Call-based KPIs switch on with the dialer in Phase 1.5.</w:t>
      </w:r>
    </w:p>
    <w:p>
      <w:pPr>
        <w:spacing w:after="40"/>
        <w:ind w:left="0"/>
      </w:pPr>
      <w:r>
        <w:rPr>
          <w:rFonts w:ascii="Calibri" w:hAnsi="Calibri"/>
          <w:b/>
          <w:i w:val="0"/>
          <w:color w:val="B16327"/>
          <w:sz w:val="19"/>
        </w:rPr>
        <w:t xml:space="preserve">Acceptance — </w:t>
      </w:r>
      <w:r>
        <w:rPr>
          <w:rFonts w:ascii="Calibri" w:hAnsi="Calibri"/>
          <w:b w:val="0"/>
          <w:i/>
          <w:color w:val="8A8D96"/>
          <w:sz w:val="19"/>
        </w:rPr>
        <w:t>Logging bookings and payments updates the matching KPIs and the leaderboard order in real time, with daily, weekly and monthly trend views available.</w:t>
      </w:r>
    </w:p>
    <w:p>
      <w:pPr>
        <w:spacing w:after="40"/>
        <w:ind w:left="0"/>
      </w:pPr>
      <w:r>
        <w:rPr>
          <w:rFonts w:ascii="Calibri" w:hAnsi="Calibri"/>
          <w:b/>
          <w:i w:val="0"/>
          <w:color w:val="B16327"/>
          <w:sz w:val="19"/>
        </w:rPr>
        <w:t xml:space="preserve">Revisions — </w:t>
      </w:r>
      <w:r>
        <w:rPr>
          <w:rFonts w:ascii="Calibri" w:hAnsi="Calibri"/>
          <w:b w:val="0"/>
          <w:i/>
          <w:color w:val="8A8D96"/>
          <w:sz w:val="19"/>
        </w:rPr>
        <w:t>2 rounds</w:t>
      </w:r>
    </w:p>
    <w:p>
      <w:pPr>
        <w:spacing w:before="160" w:after="60"/>
      </w:pPr>
      <w:r>
        <w:rPr>
          <w:rFonts w:ascii="Calibri" w:hAnsi="Calibri"/>
          <w:b/>
          <w:i w:val="0"/>
          <w:color w:val="B16327"/>
          <w:sz w:val="20"/>
        </w:rPr>
        <w:t xml:space="preserve">D5   </w:t>
      </w:r>
      <w:r>
        <w:rPr>
          <w:rFonts w:ascii="Georgia" w:hAnsi="Georgia"/>
          <w:b/>
          <w:i w:val="0"/>
          <w:color w:val="222428"/>
          <w:sz w:val="24"/>
        </w:rPr>
        <w:t>Platform &amp; deployment</w:t>
      </w:r>
    </w:p>
    <w:p>
      <w:pPr>
        <w:pStyle w:val="ListBullet"/>
        <w:spacing w:after="60"/>
      </w:pPr>
      <w:r>
        <w:rPr>
          <w:rFonts w:ascii="Calibri" w:hAnsi="Calibri"/>
          <w:b w:val="0"/>
          <w:i w:val="0"/>
          <w:color w:val="555760"/>
          <w:sz w:val="21"/>
        </w:rPr>
        <w:t>Multi-client command centre to run several clients' sales from one place.</w:t>
      </w:r>
    </w:p>
    <w:p>
      <w:pPr>
        <w:pStyle w:val="ListBullet"/>
        <w:spacing w:after="60"/>
      </w:pPr>
      <w:r>
        <w:rPr>
          <w:rFonts w:ascii="Calibri" w:hAnsi="Calibri"/>
          <w:b w:val="0"/>
          <w:i w:val="0"/>
          <w:color w:val="555760"/>
          <w:sz w:val="21"/>
        </w:rPr>
        <w:t>Mobile-responsive across laptop, tablet and phone.</w:t>
      </w:r>
    </w:p>
    <w:p>
      <w:pPr>
        <w:pStyle w:val="ListBullet"/>
        <w:spacing w:after="60"/>
      </w:pPr>
      <w:r>
        <w:rPr>
          <w:rFonts w:ascii="Calibri" w:hAnsi="Calibri"/>
          <w:b w:val="0"/>
          <w:i w:val="0"/>
          <w:color w:val="555760"/>
          <w:sz w:val="21"/>
        </w:rPr>
        <w:t>Hosted on a DecentraLabs subdomain, secured with SSL, on your own database.</w:t>
      </w:r>
    </w:p>
    <w:p>
      <w:pPr>
        <w:pStyle w:val="ListBullet"/>
        <w:spacing w:after="60"/>
      </w:pPr>
      <w:r>
        <w:rPr>
          <w:rFonts w:ascii="Calibri" w:hAnsi="Calibri"/>
          <w:b w:val="0"/>
          <w:i w:val="0"/>
          <w:color w:val="555760"/>
          <w:sz w:val="21"/>
        </w:rPr>
        <w:t>Hosting, VPS and domain are included in Phase 1 — we set them up and cover them for the build.</w:t>
      </w:r>
    </w:p>
    <w:p>
      <w:pPr>
        <w:pStyle w:val="ListBullet"/>
        <w:spacing w:after="60"/>
      </w:pPr>
      <w:r>
        <w:rPr>
          <w:rFonts w:ascii="Calibri" w:hAnsi="Calibri"/>
          <w:b w:val="0"/>
          <w:i w:val="0"/>
          <w:color w:val="555760"/>
          <w:sz w:val="21"/>
        </w:rPr>
        <w:t>Live deployment and a walkthrough handover call.</w:t>
      </w:r>
    </w:p>
    <w:p>
      <w:pPr>
        <w:spacing w:after="40"/>
        <w:ind w:left="0"/>
      </w:pPr>
      <w:r>
        <w:rPr>
          <w:rFonts w:ascii="Calibri" w:hAnsi="Calibri"/>
          <w:b/>
          <w:i w:val="0"/>
          <w:color w:val="B16327"/>
          <w:sz w:val="19"/>
        </w:rPr>
        <w:t xml:space="preserve">Acceptance — </w:t>
      </w:r>
      <w:r>
        <w:rPr>
          <w:rFonts w:ascii="Calibri" w:hAnsi="Calibri"/>
          <w:b w:val="0"/>
          <w:i/>
          <w:color w:val="8A8D96"/>
          <w:sz w:val="19"/>
        </w:rPr>
        <w:t>The system is reachable on the agreed subdomain over HTTPS, usable on a phone, and demonstrated end-to-end on the handover call.</w:t>
      </w:r>
    </w:p>
    <w:p>
      <w:pPr>
        <w:spacing w:after="40"/>
        <w:ind w:left="0"/>
      </w:pPr>
      <w:r>
        <w:rPr>
          <w:rFonts w:ascii="Calibri" w:hAnsi="Calibri"/>
          <w:b/>
          <w:i w:val="0"/>
          <w:color w:val="B16327"/>
          <w:sz w:val="19"/>
        </w:rPr>
        <w:t xml:space="preserve">Revisions — </w:t>
      </w:r>
      <w:r>
        <w:rPr>
          <w:rFonts w:ascii="Calibri" w:hAnsi="Calibri"/>
          <w:b w:val="0"/>
          <w:i/>
          <w:color w:val="8A8D96"/>
          <w:sz w:val="19"/>
        </w:rPr>
        <w:t>2 rounds</w:t>
      </w:r>
    </w:p>
    <w:p>
      <w:pPr>
        <w:spacing w:before="320" w:after="80"/>
        <w:pBdr>
          <w:bottom w:val="single" w:sz="4" w:space="4" w:color="DDD6C8"/>
        </w:pBdr>
      </w:pPr>
      <w:r>
        <w:rPr>
          <w:rFonts w:ascii="Georgia" w:hAnsi="Georgia"/>
          <w:b/>
          <w:i w:val="0"/>
          <w:color w:val="B16327"/>
          <w:sz w:val="24"/>
        </w:rPr>
        <w:t xml:space="preserve">1.5  </w:t>
      </w:r>
      <w:r>
        <w:rPr>
          <w:rFonts w:ascii="Georgia" w:hAnsi="Georgia"/>
          <w:b w:val="0"/>
          <w:i w:val="0"/>
          <w:color w:val="222428"/>
          <w:sz w:val="31"/>
        </w:rPr>
        <w:t>Phase 1.5 — Calls &amp; messaging</w:t>
      </w:r>
    </w:p>
    <w:p>
      <w:pPr>
        <w:spacing w:after="120" w:before="0"/>
      </w:pPr>
      <w:r>
        <w:rPr>
          <w:rFonts w:ascii="Calibri" w:hAnsi="Calibri"/>
          <w:b w:val="0"/>
          <w:i w:val="0"/>
          <w:color w:val="555760"/>
          <w:sz w:val="21"/>
        </w:rPr>
        <w:t>The calling and messaging layer that sits on top of the Phase 1 CRM. It is scoped and priced separately, and the budget is to be decided for now, because it depends on the dialer provider, the WhatsApp number and the per-use costs we confirm with you first. It is built on the same stack, so it bolts onto Phase 1 without a rebuild.</w:t>
      </w:r>
    </w:p>
    <w:p>
      <w:pPr>
        <w:spacing w:before="160" w:after="60"/>
      </w:pPr>
      <w:r>
        <w:rPr>
          <w:rFonts w:ascii="Calibri" w:hAnsi="Calibri"/>
          <w:b/>
          <w:i w:val="0"/>
          <w:color w:val="B16327"/>
          <w:sz w:val="20"/>
        </w:rPr>
        <w:t xml:space="preserve">P1.5   </w:t>
      </w:r>
      <w:r>
        <w:rPr>
          <w:rFonts w:ascii="Georgia" w:hAnsi="Georgia"/>
          <w:b/>
          <w:i w:val="0"/>
          <w:color w:val="222428"/>
          <w:sz w:val="24"/>
        </w:rPr>
        <w:t>What it adds</w:t>
      </w:r>
    </w:p>
    <w:p>
      <w:pPr>
        <w:pStyle w:val="ListBullet"/>
        <w:spacing w:after="60"/>
      </w:pPr>
      <w:r>
        <w:rPr>
          <w:rFonts w:ascii="Calibri" w:hAnsi="Calibri"/>
          <w:b w:val="0"/>
          <w:i w:val="0"/>
          <w:color w:val="555760"/>
          <w:sz w:val="21"/>
        </w:rPr>
        <w:t>Click-to-call dialer from the lead card, no switching to another app.</w:t>
      </w:r>
    </w:p>
    <w:p>
      <w:pPr>
        <w:pStyle w:val="ListBullet"/>
        <w:spacing w:after="60"/>
      </w:pPr>
      <w:r>
        <w:rPr>
          <w:rFonts w:ascii="Calibri" w:hAnsi="Calibri"/>
          <w:b w:val="0"/>
          <w:i w:val="0"/>
          <w:color w:val="555760"/>
          <w:sz w:val="21"/>
        </w:rPr>
        <w:t>Call recordings and transcripts saved on the lead's activity history.</w:t>
      </w:r>
    </w:p>
    <w:p>
      <w:pPr>
        <w:pStyle w:val="ListBullet"/>
        <w:spacing w:after="60"/>
      </w:pPr>
      <w:r>
        <w:rPr>
          <w:rFonts w:ascii="Calibri" w:hAnsi="Calibri"/>
          <w:b w:val="0"/>
          <w:i w:val="0"/>
          <w:color w:val="555760"/>
          <w:sz w:val="21"/>
        </w:rPr>
        <w:t>WhatsApp send to a lead directly from the CRM.</w:t>
      </w:r>
    </w:p>
    <w:p>
      <w:pPr>
        <w:pStyle w:val="ListBullet"/>
        <w:spacing w:after="60"/>
      </w:pPr>
      <w:r>
        <w:rPr>
          <w:rFonts w:ascii="Calibri" w:hAnsi="Calibri"/>
          <w:b w:val="0"/>
          <w:i w:val="0"/>
          <w:color w:val="555760"/>
          <w:sz w:val="21"/>
        </w:rPr>
        <w:t>Call-based KPIs (call rate, connected, call outcomes) light up in the Arena once the dialer is live.</w:t>
      </w:r>
    </w:p>
    <w:p>
      <w:pPr>
        <w:spacing w:after="40"/>
        <w:ind w:left="0"/>
      </w:pPr>
      <w:r>
        <w:rPr>
          <w:rFonts w:ascii="Calibri" w:hAnsi="Calibri"/>
          <w:b/>
          <w:i w:val="0"/>
          <w:color w:val="B16327"/>
          <w:sz w:val="19"/>
        </w:rPr>
        <w:t xml:space="preserve">Budget — </w:t>
      </w:r>
      <w:r>
        <w:rPr>
          <w:rFonts w:ascii="Calibri" w:hAnsi="Calibri"/>
          <w:b w:val="0"/>
          <w:i/>
          <w:color w:val="8A8D96"/>
          <w:sz w:val="19"/>
        </w:rPr>
        <w:t>To be decided. Depends on the chosen dialer provider, WhatsApp number and usage costs, all confirmed with you before any commitment.</w:t>
      </w:r>
    </w:p>
    <w:p>
      <w:pPr>
        <w:spacing w:after="40"/>
        <w:ind w:left="0"/>
      </w:pPr>
      <w:r>
        <w:rPr>
          <w:rFonts w:ascii="Calibri" w:hAnsi="Calibri"/>
          <w:b/>
          <w:i w:val="0"/>
          <w:color w:val="B16327"/>
          <w:sz w:val="19"/>
        </w:rPr>
        <w:t xml:space="preserve">Timeline — </w:t>
      </w:r>
      <w:r>
        <w:rPr>
          <w:rFonts w:ascii="Calibri" w:hAnsi="Calibri"/>
          <w:b w:val="0"/>
          <w:i/>
          <w:color w:val="8A8D96"/>
          <w:sz w:val="19"/>
        </w:rPr>
        <w:t>Scheduled after Phase 1 acceptance, scoped alongside the pricing.</w:t>
      </w:r>
    </w:p>
    <w:p>
      <w:pPr>
        <w:spacing w:before="320" w:after="80"/>
        <w:pBdr>
          <w:bottom w:val="single" w:sz="4" w:space="4" w:color="DDD6C8"/>
        </w:pBdr>
      </w:pPr>
      <w:r>
        <w:rPr>
          <w:rFonts w:ascii="Georgia" w:hAnsi="Georgia"/>
          <w:b/>
          <w:i w:val="0"/>
          <w:color w:val="B16327"/>
          <w:sz w:val="24"/>
        </w:rPr>
        <w:t xml:space="preserve">05  </w:t>
      </w:r>
      <w:r>
        <w:rPr>
          <w:rFonts w:ascii="Georgia" w:hAnsi="Georgia"/>
          <w:b w:val="0"/>
          <w:i w:val="0"/>
          <w:color w:val="222428"/>
          <w:sz w:val="31"/>
        </w:rPr>
        <w:t>Not in Phase 1</w:t>
      </w:r>
    </w:p>
    <w:p>
      <w:pPr>
        <w:spacing w:after="120" w:before="0"/>
      </w:pPr>
      <w:r>
        <w:rPr>
          <w:rFonts w:ascii="Calibri" w:hAnsi="Calibri"/>
          <w:b w:val="0"/>
          <w:i w:val="0"/>
          <w:color w:val="555760"/>
          <w:sz w:val="21"/>
        </w:rPr>
        <w:t>The following are explicitly excluded. They can be added later through a signed change request (Section 10) or as part of Phases 2 and 3.</w:t>
      </w:r>
    </w:p>
    <w:p>
      <w:pPr>
        <w:pStyle w:val="ListBullet"/>
        <w:spacing w:after="60"/>
      </w:pPr>
      <w:r>
        <w:rPr>
          <w:rFonts w:ascii="Calibri" w:hAnsi="Calibri"/>
          <w:b/>
          <w:i w:val="0"/>
          <w:color w:val="222428"/>
          <w:sz w:val="21"/>
        </w:rPr>
        <w:t xml:space="preserve">Calls &amp; messaging: </w:t>
      </w:r>
      <w:r>
        <w:rPr>
          <w:rFonts w:ascii="Calibri" w:hAnsi="Calibri"/>
          <w:b w:val="0"/>
          <w:i w:val="0"/>
          <w:color w:val="555760"/>
          <w:sz w:val="21"/>
        </w:rPr>
        <w:t>the dialer, recordings, transcripts and WhatsApp are Phase 1.5, scoped and priced separately.</w:t>
      </w:r>
    </w:p>
    <w:p>
      <w:pPr>
        <w:pStyle w:val="ListBullet"/>
        <w:spacing w:after="60"/>
      </w:pPr>
      <w:r>
        <w:rPr>
          <w:rFonts w:ascii="Calibri" w:hAnsi="Calibri"/>
          <w:b/>
          <w:i w:val="0"/>
          <w:color w:val="222428"/>
          <w:sz w:val="21"/>
        </w:rPr>
        <w:t xml:space="preserve">Phase 2 — Ops / Agency: </w:t>
      </w:r>
      <w:r>
        <w:rPr>
          <w:rFonts w:ascii="Calibri" w:hAnsi="Calibri"/>
          <w:b w:val="0"/>
          <w:i w:val="0"/>
          <w:color w:val="555760"/>
          <w:sz w:val="21"/>
        </w:rPr>
        <w:t>content and delivery workflow, RevShare calculator, daily snapshot emails and agency delivery ops.</w:t>
      </w:r>
    </w:p>
    <w:p>
      <w:pPr>
        <w:pStyle w:val="ListBullet"/>
        <w:spacing w:after="60"/>
      </w:pPr>
      <w:r>
        <w:rPr>
          <w:rFonts w:ascii="Calibri" w:hAnsi="Calibri"/>
          <w:b/>
          <w:i w:val="0"/>
          <w:color w:val="222428"/>
          <w:sz w:val="21"/>
        </w:rPr>
        <w:t xml:space="preserve">Phase 3 — Marketing &amp; Revenue: </w:t>
      </w:r>
      <w:r>
        <w:rPr>
          <w:rFonts w:ascii="Calibri" w:hAnsi="Calibri"/>
          <w:b w:val="0"/>
          <w:i w:val="0"/>
          <w:color w:val="555760"/>
          <w:sz w:val="21"/>
        </w:rPr>
        <w:t>per-creator AI content tools (scriptwriter, hook, DM, competitor), marketing analytics and MRR / health-score.</w:t>
      </w:r>
    </w:p>
    <w:p>
      <w:pPr>
        <w:pStyle w:val="ListBullet"/>
        <w:spacing w:after="60"/>
      </w:pPr>
      <w:r>
        <w:rPr>
          <w:rFonts w:ascii="Calibri" w:hAnsi="Calibri"/>
          <w:b w:val="0"/>
          <w:i w:val="0"/>
          <w:color w:val="555760"/>
          <w:sz w:val="21"/>
        </w:rPr>
        <w:t>Email sequences, nurture automation and marketing-metric pulls (these sit in Phase 2).</w:t>
      </w:r>
    </w:p>
    <w:p>
      <w:pPr>
        <w:pStyle w:val="ListBullet"/>
        <w:spacing w:after="60"/>
      </w:pPr>
      <w:r>
        <w:rPr>
          <w:rFonts w:ascii="Calibri" w:hAnsi="Calibri"/>
          <w:b w:val="0"/>
          <w:i w:val="0"/>
          <w:color w:val="555760"/>
          <w:sz w:val="21"/>
        </w:rPr>
        <w:t>The dialer number, WhatsApp number and any third-party subscription or usage fees (these relate to Phase 1.5).</w:t>
      </w:r>
    </w:p>
    <w:p>
      <w:pPr>
        <w:pStyle w:val="ListBullet"/>
        <w:spacing w:after="60"/>
      </w:pPr>
      <w:r>
        <w:rPr>
          <w:rFonts w:ascii="Calibri" w:hAnsi="Calibri"/>
          <w:b w:val="0"/>
          <w:i w:val="0"/>
          <w:color w:val="555760"/>
          <w:sz w:val="21"/>
        </w:rPr>
        <w:t>Data cleaning beyond a straight import and de-duplication of the files you provide.</w:t>
      </w:r>
    </w:p>
    <w:p>
      <w:pPr>
        <w:pStyle w:val="ListBullet"/>
        <w:spacing w:after="60"/>
      </w:pPr>
      <w:r>
        <w:rPr>
          <w:rFonts w:ascii="Calibri" w:hAnsi="Calibri"/>
          <w:b w:val="0"/>
          <w:i w:val="0"/>
          <w:color w:val="555760"/>
          <w:sz w:val="21"/>
        </w:rPr>
        <w:t>Staff training beyond the single handover walkthrough.</w:t>
      </w:r>
    </w:p>
    <w:p>
      <w:pPr>
        <w:pStyle w:val="ListBullet"/>
        <w:spacing w:after="60"/>
      </w:pPr>
      <w:r>
        <w:rPr>
          <w:rFonts w:ascii="Calibri" w:hAnsi="Calibri"/>
          <w:b w:val="0"/>
          <w:i w:val="0"/>
          <w:color w:val="555760"/>
          <w:sz w:val="21"/>
        </w:rPr>
        <w:t>Any integration not named in Section 04.</w:t>
      </w:r>
    </w:p>
    <w:p>
      <w:pPr>
        <w:spacing w:before="320" w:after="80"/>
        <w:pBdr>
          <w:bottom w:val="single" w:sz="4" w:space="4" w:color="DDD6C8"/>
        </w:pBdr>
      </w:pPr>
      <w:r>
        <w:rPr>
          <w:rFonts w:ascii="Georgia" w:hAnsi="Georgia"/>
          <w:b/>
          <w:i w:val="0"/>
          <w:color w:val="B16327"/>
          <w:sz w:val="24"/>
        </w:rPr>
        <w:t xml:space="preserve">06  </w:t>
      </w:r>
      <w:r>
        <w:rPr>
          <w:rFonts w:ascii="Georgia" w:hAnsi="Georgia"/>
          <w:b w:val="0"/>
          <w:i w:val="0"/>
          <w:color w:val="222428"/>
          <w:sz w:val="31"/>
        </w:rPr>
        <w:t>The build sequence</w:t>
      </w:r>
    </w:p>
    <w:p>
      <w:pPr>
        <w:spacing w:after="120" w:before="0"/>
      </w:pPr>
      <w:r>
        <w:rPr>
          <w:rFonts w:ascii="Calibri" w:hAnsi="Calibri"/>
          <w:b w:val="0"/>
          <w:i w:val="0"/>
          <w:color w:val="555760"/>
          <w:sz w:val="21"/>
        </w:rPr>
        <w:t>Work runs in four stages, in this order, starting once the advance is paid and the access in Section 08 is in hand. The delivery date is agreed with you directly rather than fixed in this document.</w:t>
      </w:r>
    </w:p>
    <w:tbl>
      <w:tblPr>
        <w:tblW w:type="auto" w:w="0"/>
        <w:jc w:val="center"/>
        <w:tblLook w:firstColumn="1" w:firstRow="1" w:lastColumn="0" w:lastRow="0" w:noHBand="0" w:noVBand="1" w:val="04A0"/>
      </w:tblPr>
      <w:tblGrid>
        <w:gridCol w:w="3264"/>
        <w:gridCol w:w="3264"/>
        <w:gridCol w:w="3264"/>
      </w:tblGrid>
      <w:tr>
        <w:tc>
          <w:tcPr>
            <w:tcW w:type="dxa" w:w="1152"/>
            <w:shd w:val="clear" w:color="auto" w:fill="B16327"/>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tcPr>
          <w:p>
            <w:pPr>
              <w:spacing w:after="0"/>
            </w:pPr>
            <w:r/>
            <w:r>
              <w:rPr>
                <w:rFonts w:ascii="Calibri" w:hAnsi="Calibri"/>
                <w:b/>
                <w:i w:val="0"/>
                <w:caps/>
                <w:color w:val="FFFFFF"/>
                <w:sz w:val="18"/>
              </w:rPr>
              <w:t>Stage</w:t>
            </w:r>
          </w:p>
        </w:tc>
        <w:tc>
          <w:tcPr>
            <w:tcW w:type="dxa" w:w="1872"/>
            <w:shd w:val="clear" w:color="auto" w:fill="B16327"/>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tcPr>
          <w:p>
            <w:pPr>
              <w:spacing w:after="0"/>
            </w:pPr>
            <w:r/>
            <w:r>
              <w:rPr>
                <w:rFonts w:ascii="Calibri" w:hAnsi="Calibri"/>
                <w:b/>
                <w:i w:val="0"/>
                <w:caps/>
                <w:color w:val="FFFFFF"/>
                <w:sz w:val="18"/>
              </w:rPr>
              <w:t>Focus</w:t>
            </w:r>
          </w:p>
        </w:tc>
        <w:tc>
          <w:tcPr>
            <w:tcW w:type="dxa" w:w="6192"/>
            <w:shd w:val="clear" w:color="auto" w:fill="B16327"/>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tcPr>
          <w:p>
            <w:pPr>
              <w:spacing w:after="0"/>
            </w:pPr>
            <w:r/>
            <w:r>
              <w:rPr>
                <w:rFonts w:ascii="Calibri" w:hAnsi="Calibri"/>
                <w:b/>
                <w:i w:val="0"/>
                <w:caps/>
                <w:color w:val="FFFFFF"/>
                <w:sz w:val="18"/>
              </w:rPr>
              <w:t>What lands</w:t>
            </w:r>
          </w:p>
        </w:tc>
      </w:tr>
      <w:tr>
        <w:tc>
          <w:tcPr>
            <w:tcW w:type="dxa" w:w="1152"/>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tcPr>
          <w:p>
            <w:pPr>
              <w:spacing w:after="0"/>
            </w:pPr>
            <w:r/>
            <w:r>
              <w:rPr>
                <w:rFonts w:ascii="Calibri" w:hAnsi="Calibri"/>
                <w:b w:val="0"/>
                <w:i w:val="0"/>
                <w:color w:val="555760"/>
                <w:sz w:val="19"/>
              </w:rPr>
              <w:t>One</w:t>
            </w:r>
          </w:p>
        </w:tc>
        <w:tc>
          <w:tcPr>
            <w:tcW w:type="dxa" w:w="1872"/>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tcPr>
          <w:p>
            <w:pPr>
              <w:spacing w:after="0"/>
            </w:pPr>
            <w:r/>
            <w:r>
              <w:rPr>
                <w:rFonts w:ascii="Calibri" w:hAnsi="Calibri"/>
                <w:b w:val="0"/>
                <w:i w:val="0"/>
                <w:color w:val="555760"/>
                <w:sz w:val="19"/>
              </w:rPr>
              <w:t>Foundation</w:t>
            </w:r>
          </w:p>
        </w:tc>
        <w:tc>
          <w:tcPr>
            <w:tcW w:type="dxa" w:w="6192"/>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tcPr>
          <w:p>
            <w:pPr>
              <w:spacing w:after="0"/>
            </w:pPr>
            <w:r/>
            <w:r>
              <w:rPr>
                <w:rFonts w:ascii="Calibri" w:hAnsi="Calibri"/>
                <w:b w:val="0"/>
                <w:i w:val="0"/>
                <w:color w:val="555760"/>
                <w:sz w:val="19"/>
              </w:rPr>
              <w:t>Database and schema, secure login and role-based access, and a full import of your existing CRM data with de-duplication.</w:t>
            </w:r>
          </w:p>
        </w:tc>
      </w:tr>
      <w:tr>
        <w:tc>
          <w:tcPr>
            <w:tcW w:type="dxa" w:w="1152"/>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shd w:val="clear" w:color="auto" w:fill="FAF6EE"/>
          </w:tcPr>
          <w:p>
            <w:pPr>
              <w:spacing w:after="0"/>
            </w:pPr>
            <w:r/>
            <w:r>
              <w:rPr>
                <w:rFonts w:ascii="Calibri" w:hAnsi="Calibri"/>
                <w:b w:val="0"/>
                <w:i w:val="0"/>
                <w:color w:val="555760"/>
                <w:sz w:val="19"/>
              </w:rPr>
              <w:t>Two</w:t>
            </w:r>
          </w:p>
        </w:tc>
        <w:tc>
          <w:tcPr>
            <w:tcW w:type="dxa" w:w="1872"/>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shd w:val="clear" w:color="auto" w:fill="FAF6EE"/>
          </w:tcPr>
          <w:p>
            <w:pPr>
              <w:spacing w:after="0"/>
            </w:pPr>
            <w:r/>
            <w:r>
              <w:rPr>
                <w:rFonts w:ascii="Calibri" w:hAnsi="Calibri"/>
                <w:b w:val="0"/>
                <w:i w:val="0"/>
                <w:color w:val="555760"/>
                <w:sz w:val="19"/>
              </w:rPr>
              <w:t>Pipeline</w:t>
            </w:r>
          </w:p>
        </w:tc>
        <w:tc>
          <w:tcPr>
            <w:tcW w:type="dxa" w:w="6192"/>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shd w:val="clear" w:color="auto" w:fill="FAF6EE"/>
          </w:tcPr>
          <w:p>
            <w:pPr>
              <w:spacing w:after="0"/>
            </w:pPr>
            <w:r/>
            <w:r>
              <w:rPr>
                <w:rFonts w:ascii="Calibri" w:hAnsi="Calibri"/>
                <w:b w:val="0"/>
                <w:i w:val="0"/>
                <w:color w:val="555760"/>
                <w:sz w:val="19"/>
              </w:rPr>
              <w:t>Lead cards, configurable Kanban stages, source attribution, search, filters, saved views, round-robin, the Meta Ads webhook and CSV import / export.</w:t>
            </w:r>
          </w:p>
        </w:tc>
      </w:tr>
      <w:tr>
        <w:tc>
          <w:tcPr>
            <w:tcW w:type="dxa" w:w="1152"/>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tcPr>
          <w:p>
            <w:pPr>
              <w:spacing w:after="0"/>
            </w:pPr>
            <w:r/>
            <w:r>
              <w:rPr>
                <w:rFonts w:ascii="Calibri" w:hAnsi="Calibri"/>
                <w:b w:val="0"/>
                <w:i w:val="0"/>
                <w:color w:val="555760"/>
                <w:sz w:val="19"/>
              </w:rPr>
              <w:t>Three</w:t>
            </w:r>
          </w:p>
        </w:tc>
        <w:tc>
          <w:tcPr>
            <w:tcW w:type="dxa" w:w="1872"/>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tcPr>
          <w:p>
            <w:pPr>
              <w:spacing w:after="0"/>
            </w:pPr>
            <w:r/>
            <w:r>
              <w:rPr>
                <w:rFonts w:ascii="Calibri" w:hAnsi="Calibri"/>
                <w:b w:val="0"/>
                <w:i w:val="0"/>
                <w:color w:val="555760"/>
                <w:sz w:val="19"/>
              </w:rPr>
              <w:t>Revenue</w:t>
            </w:r>
          </w:p>
        </w:tc>
        <w:tc>
          <w:tcPr>
            <w:tcW w:type="dxa" w:w="6192"/>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tcPr>
          <w:p>
            <w:pPr>
              <w:spacing w:after="0"/>
            </w:pPr>
            <w:r/>
            <w:r>
              <w:rPr>
                <w:rFonts w:ascii="Calibri" w:hAnsi="Calibri"/>
                <w:b w:val="0"/>
                <w:i w:val="0"/>
                <w:color w:val="555760"/>
                <w:sz w:val="19"/>
              </w:rPr>
              <w:t>Deals and split-payment tracking, then the KPI engine, Arena leaderboard and dashboards computed from bookings and payments in real time.</w:t>
            </w:r>
          </w:p>
        </w:tc>
      </w:tr>
      <w:tr>
        <w:tc>
          <w:tcPr>
            <w:tcW w:type="dxa" w:w="1152"/>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shd w:val="clear" w:color="auto" w:fill="FAF6EE"/>
          </w:tcPr>
          <w:p>
            <w:pPr>
              <w:spacing w:after="0"/>
            </w:pPr>
            <w:r/>
            <w:r>
              <w:rPr>
                <w:rFonts w:ascii="Calibri" w:hAnsi="Calibri"/>
                <w:b w:val="0"/>
                <w:i w:val="0"/>
                <w:color w:val="555760"/>
                <w:sz w:val="19"/>
              </w:rPr>
              <w:t>Four</w:t>
            </w:r>
          </w:p>
        </w:tc>
        <w:tc>
          <w:tcPr>
            <w:tcW w:type="dxa" w:w="1872"/>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shd w:val="clear" w:color="auto" w:fill="FAF6EE"/>
          </w:tcPr>
          <w:p>
            <w:pPr>
              <w:spacing w:after="0"/>
            </w:pPr>
            <w:r/>
            <w:r>
              <w:rPr>
                <w:rFonts w:ascii="Calibri" w:hAnsi="Calibri"/>
                <w:b w:val="0"/>
                <w:i w:val="0"/>
                <w:color w:val="555760"/>
                <w:sz w:val="19"/>
              </w:rPr>
              <w:t>Launch</w:t>
            </w:r>
          </w:p>
        </w:tc>
        <w:tc>
          <w:tcPr>
            <w:tcW w:type="dxa" w:w="6192"/>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shd w:val="clear" w:color="auto" w:fill="FAF6EE"/>
          </w:tcPr>
          <w:p>
            <w:pPr>
              <w:spacing w:after="0"/>
            </w:pPr>
            <w:r/>
            <w:r>
              <w:rPr>
                <w:rFonts w:ascii="Calibri" w:hAnsi="Calibri"/>
                <w:b w:val="0"/>
                <w:i w:val="0"/>
                <w:color w:val="555760"/>
                <w:sz w:val="19"/>
              </w:rPr>
              <w:t>End-to-end testing, mobile-responsive polish, deployment on your subdomain with SSL, and a live walkthrough handover.</w:t>
            </w:r>
          </w:p>
        </w:tc>
      </w:tr>
    </w:tbl>
    <w:p>
      <w:pPr>
        <w:spacing w:before="320" w:after="80"/>
        <w:pBdr>
          <w:bottom w:val="single" w:sz="4" w:space="4" w:color="DDD6C8"/>
        </w:pBdr>
      </w:pPr>
      <w:r>
        <w:rPr>
          <w:rFonts w:ascii="Georgia" w:hAnsi="Georgia"/>
          <w:b/>
          <w:i w:val="0"/>
          <w:color w:val="B16327"/>
          <w:sz w:val="24"/>
        </w:rPr>
        <w:t xml:space="preserve">07  </w:t>
      </w:r>
      <w:r>
        <w:rPr>
          <w:rFonts w:ascii="Georgia" w:hAnsi="Georgia"/>
          <w:b w:val="0"/>
          <w:i w:val="0"/>
          <w:color w:val="222428"/>
          <w:sz w:val="31"/>
        </w:rPr>
        <w:t>How sign-off works</w:t>
      </w:r>
    </w:p>
    <w:p>
      <w:pPr>
        <w:pStyle w:val="ListBullet"/>
        <w:spacing w:after="60"/>
      </w:pPr>
      <w:r>
        <w:rPr>
          <w:rFonts w:ascii="Calibri" w:hAnsi="Calibri"/>
          <w:b w:val="0"/>
          <w:i w:val="0"/>
          <w:color w:val="555760"/>
          <w:sz w:val="21"/>
        </w:rPr>
        <w:t>We tell you when Phase 1 is ready for review.</w:t>
      </w:r>
    </w:p>
    <w:p>
      <w:pPr>
        <w:pStyle w:val="ListBullet"/>
        <w:spacing w:after="60"/>
      </w:pPr>
      <w:r>
        <w:rPr>
          <w:rFonts w:ascii="Calibri" w:hAnsi="Calibri"/>
          <w:b w:val="0"/>
          <w:i w:val="0"/>
          <w:color w:val="555760"/>
          <w:sz w:val="21"/>
        </w:rPr>
        <w:t>You have 3 business days to check it against the acceptance criteria in Section 04 and either accept it or send written, specific feedback.</w:t>
      </w:r>
    </w:p>
    <w:p>
      <w:pPr>
        <w:pStyle w:val="ListBullet"/>
        <w:spacing w:after="60"/>
      </w:pPr>
      <w:r>
        <w:rPr>
          <w:rFonts w:ascii="Calibri" w:hAnsi="Calibri"/>
          <w:b w:val="0"/>
          <w:i w:val="0"/>
          <w:color w:val="555760"/>
          <w:sz w:val="21"/>
        </w:rPr>
        <w:t>If we hear nothing within that window, Phase 1 is treated as accepted.</w:t>
      </w:r>
    </w:p>
    <w:p>
      <w:pPr>
        <w:pStyle w:val="ListBullet"/>
        <w:spacing w:after="60"/>
      </w:pPr>
      <w:r>
        <w:rPr>
          <w:rFonts w:ascii="Calibri" w:hAnsi="Calibri"/>
          <w:b w:val="0"/>
          <w:i w:val="0"/>
          <w:color w:val="555760"/>
          <w:sz w:val="21"/>
        </w:rPr>
        <w:t>Feedback within the included revision rounds is handled at no extra cost. Anything beyond that, or outside the agreed criteria, becomes a change request.</w:t>
      </w:r>
    </w:p>
    <w:p>
      <w:pPr>
        <w:spacing w:before="320" w:after="80"/>
        <w:pBdr>
          <w:bottom w:val="single" w:sz="4" w:space="4" w:color="DDD6C8"/>
        </w:pBdr>
      </w:pPr>
      <w:r>
        <w:rPr>
          <w:rFonts w:ascii="Georgia" w:hAnsi="Georgia"/>
          <w:b/>
          <w:i w:val="0"/>
          <w:color w:val="B16327"/>
          <w:sz w:val="24"/>
        </w:rPr>
        <w:t xml:space="preserve">08  </w:t>
      </w:r>
      <w:r>
        <w:rPr>
          <w:rFonts w:ascii="Georgia" w:hAnsi="Georgia"/>
          <w:b w:val="0"/>
          <w:i w:val="0"/>
          <w:color w:val="222428"/>
          <w:sz w:val="31"/>
        </w:rPr>
        <w:t>What we need from DecentraLabs</w:t>
      </w:r>
    </w:p>
    <w:p>
      <w:pPr>
        <w:spacing w:after="120" w:before="0"/>
      </w:pPr>
      <w:r>
        <w:rPr>
          <w:rFonts w:ascii="Calibri" w:hAnsi="Calibri"/>
          <w:b w:val="0"/>
          <w:i w:val="0"/>
          <w:color w:val="555760"/>
          <w:sz w:val="21"/>
        </w:rPr>
        <w:t>The timeline and the price assume you provide the following promptly at the start, so the build is not waiting on access.</w:t>
      </w:r>
    </w:p>
    <w:p>
      <w:pPr>
        <w:pStyle w:val="ListBullet"/>
        <w:spacing w:after="60"/>
      </w:pPr>
      <w:r>
        <w:rPr>
          <w:rFonts w:ascii="Calibri" w:hAnsi="Calibri"/>
          <w:b w:val="0"/>
          <w:i w:val="0"/>
          <w:color w:val="555760"/>
          <w:sz w:val="21"/>
        </w:rPr>
        <w:t>A single named point of contact who can give approvals during the build window.</w:t>
      </w:r>
    </w:p>
    <w:p>
      <w:pPr>
        <w:pStyle w:val="ListBullet"/>
        <w:spacing w:after="60"/>
      </w:pPr>
      <w:r>
        <w:rPr>
          <w:rFonts w:ascii="Calibri" w:hAnsi="Calibri"/>
          <w:b w:val="0"/>
          <w:i w:val="0"/>
          <w:color w:val="555760"/>
          <w:sz w:val="21"/>
        </w:rPr>
        <w:t>Export or admin access to your current CRMs (Iron Forge and GoHighLevel) for leads, stages and payments.</w:t>
      </w:r>
    </w:p>
    <w:p>
      <w:pPr>
        <w:pStyle w:val="ListBullet"/>
        <w:spacing w:after="60"/>
      </w:pPr>
      <w:r>
        <w:rPr>
          <w:rFonts w:ascii="Calibri" w:hAnsi="Calibri"/>
          <w:b w:val="0"/>
          <w:i w:val="0"/>
          <w:color w:val="555760"/>
          <w:sz w:val="21"/>
        </w:rPr>
        <w:t>Meta / Facebook Ads form and webhook access.</w:t>
      </w:r>
    </w:p>
    <w:p>
      <w:pPr>
        <w:pStyle w:val="ListBullet"/>
        <w:spacing w:after="60"/>
      </w:pPr>
      <w:r>
        <w:rPr>
          <w:rFonts w:ascii="Calibri" w:hAnsi="Calibri"/>
          <w:b w:val="0"/>
          <w:i w:val="0"/>
          <w:color w:val="555760"/>
          <w:sz w:val="21"/>
        </w:rPr>
        <w:t>Final stage names and your exact KPI definitions, confirmed against Section 04.</w:t>
      </w:r>
    </w:p>
    <w:p>
      <w:pPr>
        <w:pStyle w:val="ListBullet"/>
        <w:spacing w:after="60"/>
      </w:pPr>
      <w:r>
        <w:rPr>
          <w:rFonts w:ascii="Calibri" w:hAnsi="Calibri"/>
          <w:b w:val="0"/>
          <w:i w:val="0"/>
          <w:color w:val="555760"/>
          <w:sz w:val="21"/>
        </w:rPr>
        <w:t>Team list with roles (Admin / Closer / Setter).</w:t>
      </w:r>
    </w:p>
    <w:p>
      <w:pPr>
        <w:pStyle w:val="ListBullet"/>
        <w:spacing w:after="60"/>
      </w:pPr>
      <w:r>
        <w:rPr>
          <w:rFonts w:ascii="Calibri" w:hAnsi="Calibri"/>
          <w:b w:val="0"/>
          <w:i w:val="0"/>
          <w:color w:val="555760"/>
          <w:sz w:val="21"/>
        </w:rPr>
        <w:t>The subdomain you would like it hosted on (hosting, VPS and domain are covered by us in Phase 1). The dialer and WhatsApp numbers are needed for Phase 1.5, not Phase 1.</w:t>
      </w:r>
    </w:p>
    <w:p>
      <w:pPr>
        <w:spacing w:after="120" w:before="40"/>
      </w:pPr>
      <w:r>
        <w:rPr>
          <w:rFonts w:ascii="Calibri" w:hAnsi="Calibri"/>
          <w:b w:val="0"/>
          <w:i/>
          <w:color w:val="8A8D96"/>
          <w:sz w:val="20"/>
        </w:rPr>
        <w:t>Delays in providing access push the timeline out and may affect the price.</w:t>
      </w:r>
    </w:p>
    <w:p>
      <w:pPr>
        <w:spacing w:before="320" w:after="80"/>
        <w:pBdr>
          <w:bottom w:val="single" w:sz="4" w:space="4" w:color="DDD6C8"/>
        </w:pBdr>
      </w:pPr>
      <w:r>
        <w:rPr>
          <w:rFonts w:ascii="Georgia" w:hAnsi="Georgia"/>
          <w:b/>
          <w:i w:val="0"/>
          <w:color w:val="B16327"/>
          <w:sz w:val="24"/>
        </w:rPr>
        <w:t xml:space="preserve">09  </w:t>
      </w:r>
      <w:r>
        <w:rPr>
          <w:rFonts w:ascii="Georgia" w:hAnsi="Georgia"/>
          <w:b w:val="0"/>
          <w:i w:val="0"/>
          <w:color w:val="222428"/>
          <w:sz w:val="31"/>
        </w:rPr>
        <w:t>Tools &amp; running costs</w:t>
      </w:r>
    </w:p>
    <w:p>
      <w:pPr>
        <w:pStyle w:val="ListBullet"/>
        <w:spacing w:after="60"/>
      </w:pPr>
      <w:r>
        <w:rPr>
          <w:rFonts w:ascii="Calibri" w:hAnsi="Calibri"/>
          <w:b/>
          <w:i w:val="0"/>
          <w:color w:val="222428"/>
          <w:sz w:val="21"/>
        </w:rPr>
        <w:t xml:space="preserve">What we build with: </w:t>
      </w:r>
      <w:r>
        <w:rPr>
          <w:rFonts w:ascii="Calibri" w:hAnsi="Calibri"/>
          <w:b w:val="0"/>
          <w:i w:val="0"/>
          <w:color w:val="555760"/>
          <w:sz w:val="21"/>
        </w:rPr>
        <w:t>a production stack with a relational database, secure role-based auth and API-first integrations. No spreadsheets behind the scenes.</w:t>
      </w:r>
    </w:p>
    <w:p>
      <w:pPr>
        <w:pStyle w:val="ListBullet"/>
        <w:spacing w:after="60"/>
      </w:pPr>
      <w:r>
        <w:rPr>
          <w:rFonts w:ascii="Calibri" w:hAnsi="Calibri"/>
          <w:b/>
          <w:i w:val="0"/>
          <w:color w:val="222428"/>
          <w:sz w:val="21"/>
        </w:rPr>
        <w:t xml:space="preserve">Hosting, VPS and domain are included in Phase 1. </w:t>
      </w:r>
      <w:r>
        <w:rPr>
          <w:rFonts w:ascii="Calibri" w:hAnsi="Calibri"/>
          <w:b w:val="0"/>
          <w:i w:val="0"/>
          <w:color w:val="555760"/>
          <w:sz w:val="21"/>
        </w:rPr>
        <w:t>We set them up and cover them as part of the build price.</w:t>
      </w:r>
    </w:p>
    <w:p>
      <w:pPr>
        <w:pStyle w:val="ListBullet"/>
        <w:spacing w:after="60"/>
      </w:pPr>
      <w:r>
        <w:rPr>
          <w:rFonts w:ascii="Calibri" w:hAnsi="Calibri"/>
          <w:b/>
          <w:i w:val="0"/>
          <w:color w:val="222428"/>
          <w:sz w:val="21"/>
        </w:rPr>
        <w:t xml:space="preserve">Phase 1.5 third-party costs are yours: </w:t>
      </w:r>
      <w:r>
        <w:rPr>
          <w:rFonts w:ascii="Calibri" w:hAnsi="Calibri"/>
          <w:b w:val="0"/>
          <w:i w:val="0"/>
          <w:color w:val="555760"/>
          <w:sz w:val="21"/>
        </w:rPr>
        <w:t>the dialer / call-recording service and the WhatsApp number are billed directly to DecentraLabs, not included in the build price. We confirm the exact costs before anything proceeds.</w:t>
      </w:r>
    </w:p>
    <w:p>
      <w:pPr>
        <w:pStyle w:val="ListBullet"/>
        <w:spacing w:after="60"/>
      </w:pPr>
      <w:r>
        <w:rPr>
          <w:rFonts w:ascii="Calibri" w:hAnsi="Calibri"/>
          <w:b/>
          <w:i w:val="0"/>
          <w:color w:val="222428"/>
          <w:sz w:val="21"/>
        </w:rPr>
        <w:t xml:space="preserve">Call transcripts (Phase 1.5) are AI-generated </w:t>
      </w:r>
      <w:r>
        <w:rPr>
          <w:rFonts w:ascii="Calibri" w:hAnsi="Calibri"/>
          <w:b w:val="0"/>
          <w:i w:val="0"/>
          <w:color w:val="555760"/>
          <w:sz w:val="21"/>
        </w:rPr>
        <w:t>and may contain errors. They are a convenience, not a verbatim legal record, and should be reviewed before being relied on.</w:t>
      </w:r>
    </w:p>
    <w:p>
      <w:pPr>
        <w:spacing w:before="320" w:after="80"/>
        <w:pBdr>
          <w:bottom w:val="single" w:sz="4" w:space="4" w:color="DDD6C8"/>
        </w:pBdr>
      </w:pPr>
      <w:r>
        <w:rPr>
          <w:rFonts w:ascii="Georgia" w:hAnsi="Georgia"/>
          <w:b/>
          <w:i w:val="0"/>
          <w:color w:val="B16327"/>
          <w:sz w:val="24"/>
        </w:rPr>
        <w:t xml:space="preserve">10  </w:t>
      </w:r>
      <w:r>
        <w:rPr>
          <w:rFonts w:ascii="Georgia" w:hAnsi="Georgia"/>
          <w:b w:val="0"/>
          <w:i w:val="0"/>
          <w:color w:val="222428"/>
          <w:sz w:val="31"/>
        </w:rPr>
        <w:t>Changes to scope</w:t>
      </w:r>
    </w:p>
    <w:p>
      <w:pPr>
        <w:spacing w:after="120" w:before="0"/>
      </w:pPr>
      <w:r>
        <w:rPr>
          <w:rFonts w:ascii="Calibri" w:hAnsi="Calibri"/>
          <w:b w:val="0"/>
          <w:i w:val="0"/>
          <w:color w:val="555760"/>
          <w:sz w:val="21"/>
        </w:rPr>
        <w:t>Any change to scope, deliverables, timeline or price is written down in a change request and signed by both sides before that work starts. Additional work outside the included revisions is quoted before it begins. Nothing verbal is binding.</w:t>
      </w:r>
    </w:p>
    <w:p>
      <w:pPr>
        <w:spacing w:before="320" w:after="80"/>
        <w:pBdr>
          <w:bottom w:val="single" w:sz="4" w:space="4" w:color="DDD6C8"/>
        </w:pBdr>
      </w:pPr>
      <w:r>
        <w:rPr>
          <w:rFonts w:ascii="Georgia" w:hAnsi="Georgia"/>
          <w:b/>
          <w:i w:val="0"/>
          <w:color w:val="B16327"/>
          <w:sz w:val="24"/>
        </w:rPr>
        <w:t xml:space="preserve">11  </w:t>
      </w:r>
      <w:r>
        <w:rPr>
          <w:rFonts w:ascii="Georgia" w:hAnsi="Georgia"/>
          <w:b w:val="0"/>
          <w:i w:val="0"/>
          <w:color w:val="222428"/>
          <w:sz w:val="31"/>
        </w:rPr>
        <w:t>Investment</w:t>
      </w:r>
    </w:p>
    <w:p>
      <w:pPr>
        <w:spacing w:after="120" w:before="0"/>
      </w:pPr>
      <w:r>
        <w:rPr>
          <w:rFonts w:ascii="Calibri" w:hAnsi="Calibri"/>
          <w:b w:val="0"/>
          <w:i w:val="0"/>
          <w:color w:val="555760"/>
          <w:sz w:val="21"/>
        </w:rPr>
        <w:t>Phase 1 is the minimum build to get a working sales CRM live. The calling and messaging layer (Phase 1.5) and the later phases are quoted separately once their scope is agreed.</w:t>
      </w:r>
    </w:p>
    <w:tbl>
      <w:tblPr>
        <w:tblW w:type="auto" w:w="0"/>
        <w:jc w:val="center"/>
        <w:tblLook w:firstColumn="1" w:firstRow="1" w:lastColumn="0" w:lastRow="0" w:noHBand="0" w:noVBand="1" w:val="04A0"/>
      </w:tblPr>
      <w:tblGrid>
        <w:gridCol w:w="3264"/>
        <w:gridCol w:w="3264"/>
        <w:gridCol w:w="3264"/>
      </w:tblGrid>
      <w:tr>
        <w:tc>
          <w:tcPr>
            <w:tcW w:type="dxa" w:w="3168"/>
            <w:shd w:val="clear" w:color="auto" w:fill="B16327"/>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tcPr>
          <w:p>
            <w:pPr>
              <w:spacing w:after="0"/>
            </w:pPr>
            <w:r/>
            <w:r>
              <w:rPr>
                <w:rFonts w:ascii="Calibri" w:hAnsi="Calibri"/>
                <w:b/>
                <w:i w:val="0"/>
                <w:caps/>
                <w:color w:val="FFFFFF"/>
                <w:sz w:val="18"/>
              </w:rPr>
              <w:t>Phase</w:t>
            </w:r>
          </w:p>
        </w:tc>
        <w:tc>
          <w:tcPr>
            <w:tcW w:type="dxa" w:w="1584"/>
            <w:shd w:val="clear" w:color="auto" w:fill="B16327"/>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tcPr>
          <w:p>
            <w:pPr>
              <w:spacing w:after="0"/>
            </w:pPr>
            <w:r/>
            <w:r>
              <w:rPr>
                <w:rFonts w:ascii="Calibri" w:hAnsi="Calibri"/>
                <w:b/>
                <w:i w:val="0"/>
                <w:caps/>
                <w:color w:val="FFFFFF"/>
                <w:sz w:val="18"/>
              </w:rPr>
              <w:t>Investment</w:t>
            </w:r>
          </w:p>
        </w:tc>
        <w:tc>
          <w:tcPr>
            <w:tcW w:type="dxa" w:w="4608"/>
            <w:shd w:val="clear" w:color="auto" w:fill="B16327"/>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tcPr>
          <w:p>
            <w:pPr>
              <w:spacing w:after="0"/>
            </w:pPr>
            <w:r/>
            <w:r>
              <w:rPr>
                <w:rFonts w:ascii="Calibri" w:hAnsi="Calibri"/>
                <w:b/>
                <w:i w:val="0"/>
                <w:caps/>
                <w:color w:val="FFFFFF"/>
                <w:sz w:val="18"/>
              </w:rPr>
              <w:t>Notes</w:t>
            </w:r>
          </w:p>
        </w:tc>
      </w:tr>
      <w:tr>
        <w:tc>
          <w:tcPr>
            <w:tcW w:type="dxa" w:w="3168"/>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tcPr>
          <w:p>
            <w:pPr>
              <w:spacing w:after="0"/>
            </w:pPr>
            <w:r/>
            <w:r>
              <w:rPr>
                <w:rFonts w:ascii="Calibri" w:hAnsi="Calibri"/>
                <w:b w:val="0"/>
                <w:i w:val="0"/>
                <w:color w:val="555760"/>
                <w:sz w:val="19"/>
              </w:rPr>
              <w:t>Phase 1 — Sales CRM</w:t>
            </w:r>
          </w:p>
        </w:tc>
        <w:tc>
          <w:tcPr>
            <w:tcW w:type="dxa" w:w="1584"/>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tcPr>
          <w:p>
            <w:pPr>
              <w:spacing w:after="0"/>
            </w:pPr>
            <w:r/>
            <w:r>
              <w:rPr>
                <w:rFonts w:ascii="Calibri" w:hAnsi="Calibri"/>
                <w:b w:val="0"/>
                <w:i w:val="0"/>
                <w:color w:val="555760"/>
                <w:sz w:val="19"/>
              </w:rPr>
              <w:t>$1,200</w:t>
            </w:r>
          </w:p>
        </w:tc>
        <w:tc>
          <w:tcPr>
            <w:tcW w:type="dxa" w:w="4608"/>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tcPr>
          <w:p>
            <w:pPr>
              <w:spacing w:after="0"/>
            </w:pPr>
            <w:r/>
            <w:r>
              <w:rPr>
                <w:rFonts w:ascii="Calibri" w:hAnsi="Calibri"/>
                <w:b w:val="0"/>
                <w:i w:val="0"/>
                <w:color w:val="555760"/>
                <w:sz w:val="19"/>
              </w:rPr>
              <w:t>Everything in Section 04, delivered to the date agreed with you.</w:t>
            </w:r>
          </w:p>
        </w:tc>
      </w:tr>
      <w:tr>
        <w:tc>
          <w:tcPr>
            <w:tcW w:type="dxa" w:w="3168"/>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shd w:val="clear" w:color="auto" w:fill="FAF6EE"/>
          </w:tcPr>
          <w:p>
            <w:pPr>
              <w:spacing w:after="0"/>
            </w:pPr>
            <w:r/>
            <w:r>
              <w:rPr>
                <w:rFonts w:ascii="Calibri" w:hAnsi="Calibri"/>
                <w:b w:val="0"/>
                <w:i w:val="0"/>
                <w:color w:val="555760"/>
                <w:sz w:val="19"/>
              </w:rPr>
              <w:t>Phase 1.5 — Calls &amp; messaging</w:t>
            </w:r>
          </w:p>
        </w:tc>
        <w:tc>
          <w:tcPr>
            <w:tcW w:type="dxa" w:w="1584"/>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shd w:val="clear" w:color="auto" w:fill="FAF6EE"/>
          </w:tcPr>
          <w:p>
            <w:pPr>
              <w:spacing w:after="0"/>
            </w:pPr>
            <w:r/>
            <w:r>
              <w:rPr>
                <w:rFonts w:ascii="Calibri" w:hAnsi="Calibri"/>
                <w:b w:val="0"/>
                <w:i w:val="0"/>
                <w:color w:val="555760"/>
                <w:sz w:val="19"/>
              </w:rPr>
              <w:t>TBD</w:t>
            </w:r>
          </w:p>
        </w:tc>
        <w:tc>
          <w:tcPr>
            <w:tcW w:type="dxa" w:w="4608"/>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shd w:val="clear" w:color="auto" w:fill="FAF6EE"/>
          </w:tcPr>
          <w:p>
            <w:pPr>
              <w:spacing w:after="0"/>
            </w:pPr>
            <w:r/>
            <w:r>
              <w:rPr>
                <w:rFonts w:ascii="Calibri" w:hAnsi="Calibri"/>
                <w:b w:val="0"/>
                <w:i w:val="0"/>
                <w:color w:val="555760"/>
                <w:sz w:val="19"/>
              </w:rPr>
              <w:t>Dialer, recordings, transcripts and WhatsApp. Budget decided once the tooling is confirmed.</w:t>
            </w:r>
          </w:p>
        </w:tc>
      </w:tr>
      <w:tr>
        <w:tc>
          <w:tcPr>
            <w:tcW w:type="dxa" w:w="3168"/>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tcPr>
          <w:p>
            <w:pPr>
              <w:spacing w:after="0"/>
            </w:pPr>
            <w:r/>
            <w:r>
              <w:rPr>
                <w:rFonts w:ascii="Calibri" w:hAnsi="Calibri"/>
                <w:b w:val="0"/>
                <w:i w:val="0"/>
                <w:color w:val="555760"/>
                <w:sz w:val="19"/>
              </w:rPr>
              <w:t>Phases 2 &amp; 3 — later</w:t>
            </w:r>
          </w:p>
        </w:tc>
        <w:tc>
          <w:tcPr>
            <w:tcW w:type="dxa" w:w="1584"/>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tcPr>
          <w:p>
            <w:pPr>
              <w:spacing w:after="0"/>
            </w:pPr>
            <w:r/>
            <w:r>
              <w:rPr>
                <w:rFonts w:ascii="Calibri" w:hAnsi="Calibri"/>
                <w:b w:val="0"/>
                <w:i w:val="0"/>
                <w:color w:val="555760"/>
                <w:sz w:val="19"/>
              </w:rPr>
              <w:t>$1,300</w:t>
            </w:r>
          </w:p>
        </w:tc>
        <w:tc>
          <w:tcPr>
            <w:tcW w:type="dxa" w:w="4608"/>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tcPr>
          <w:p>
            <w:pPr>
              <w:spacing w:after="0"/>
            </w:pPr>
            <w:r/>
            <w:r>
              <w:rPr>
                <w:rFonts w:ascii="Calibri" w:hAnsi="Calibri"/>
                <w:b w:val="0"/>
                <w:i w:val="0"/>
                <w:color w:val="555760"/>
                <w:sz w:val="19"/>
              </w:rPr>
              <w:t>Ops, AI tools and marketing layers. Scope and split decided closer to the time.</w:t>
            </w:r>
          </w:p>
        </w:tc>
      </w:tr>
    </w:tbl>
    <w:p>
      <w:pPr>
        <w:spacing w:after="120"/>
      </w:pPr>
    </w:p>
    <w:p>
      <w:pPr>
        <w:spacing w:before="160" w:after="60"/>
      </w:pPr>
      <w:r>
        <w:rPr>
          <w:rFonts w:ascii="Georgia" w:hAnsi="Georgia"/>
          <w:b/>
          <w:i w:val="0"/>
          <w:color w:val="222428"/>
          <w:sz w:val="24"/>
        </w:rPr>
        <w:t>Phase 1 payment schedule</w:t>
      </w:r>
    </w:p>
    <w:tbl>
      <w:tblPr>
        <w:tblW w:type="auto" w:w="0"/>
        <w:jc w:val="center"/>
        <w:tblLook w:firstColumn="1" w:firstRow="1" w:lastColumn="0" w:lastRow="0" w:noHBand="0" w:noVBand="1" w:val="04A0"/>
      </w:tblPr>
      <w:tblGrid>
        <w:gridCol w:w="3264"/>
        <w:gridCol w:w="3264"/>
        <w:gridCol w:w="3264"/>
      </w:tblGrid>
      <w:tr>
        <w:tc>
          <w:tcPr>
            <w:tcW w:type="dxa" w:w="2160"/>
            <w:shd w:val="clear" w:color="auto" w:fill="B16327"/>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tcPr>
          <w:p>
            <w:pPr>
              <w:spacing w:after="0"/>
            </w:pPr>
            <w:r/>
            <w:r>
              <w:rPr>
                <w:rFonts w:ascii="Calibri" w:hAnsi="Calibri"/>
                <w:b/>
                <w:i w:val="0"/>
                <w:caps/>
                <w:color w:val="FFFFFF"/>
                <w:sz w:val="18"/>
              </w:rPr>
              <w:t>Stage</w:t>
            </w:r>
          </w:p>
        </w:tc>
        <w:tc>
          <w:tcPr>
            <w:tcW w:type="dxa" w:w="5328"/>
            <w:shd w:val="clear" w:color="auto" w:fill="B16327"/>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tcPr>
          <w:p>
            <w:pPr>
              <w:spacing w:after="0"/>
            </w:pPr>
            <w:r/>
            <w:r>
              <w:rPr>
                <w:rFonts w:ascii="Calibri" w:hAnsi="Calibri"/>
                <w:b/>
                <w:i w:val="0"/>
                <w:caps/>
                <w:color w:val="FFFFFF"/>
                <w:sz w:val="18"/>
              </w:rPr>
              <w:t>Trigger</w:t>
            </w:r>
          </w:p>
        </w:tc>
        <w:tc>
          <w:tcPr>
            <w:tcW w:type="dxa" w:w="1872"/>
            <w:shd w:val="clear" w:color="auto" w:fill="B16327"/>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tcPr>
          <w:p>
            <w:pPr>
              <w:spacing w:after="0"/>
            </w:pPr>
            <w:r/>
            <w:r>
              <w:rPr>
                <w:rFonts w:ascii="Calibri" w:hAnsi="Calibri"/>
                <w:b/>
                <w:i w:val="0"/>
                <w:caps/>
                <w:color w:val="FFFFFF"/>
                <w:sz w:val="18"/>
              </w:rPr>
              <w:t>Amount (USD)</w:t>
            </w:r>
          </w:p>
        </w:tc>
      </w:tr>
      <w:tr>
        <w:tc>
          <w:tcPr>
            <w:tcW w:type="dxa" w:w="2160"/>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tcPr>
          <w:p>
            <w:pPr>
              <w:spacing w:after="0"/>
            </w:pPr>
            <w:r/>
            <w:r>
              <w:rPr>
                <w:rFonts w:ascii="Calibri" w:hAnsi="Calibri"/>
                <w:b w:val="0"/>
                <w:i w:val="0"/>
                <w:color w:val="555760"/>
                <w:sz w:val="19"/>
              </w:rPr>
              <w:t>Advance</w:t>
            </w:r>
          </w:p>
        </w:tc>
        <w:tc>
          <w:tcPr>
            <w:tcW w:type="dxa" w:w="5328"/>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tcPr>
          <w:p>
            <w:pPr>
              <w:spacing w:after="0"/>
            </w:pPr>
            <w:r/>
            <w:r>
              <w:rPr>
                <w:rFonts w:ascii="Calibri" w:hAnsi="Calibri"/>
                <w:b w:val="0"/>
                <w:i w:val="0"/>
                <w:color w:val="555760"/>
                <w:sz w:val="19"/>
              </w:rPr>
              <w:t>On signing, to lock the build slot and begin</w:t>
            </w:r>
          </w:p>
        </w:tc>
        <w:tc>
          <w:tcPr>
            <w:tcW w:type="dxa" w:w="1872"/>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tcPr>
          <w:p>
            <w:pPr>
              <w:spacing w:after="0"/>
              <w:jc w:val="right"/>
            </w:pPr>
            <w:r/>
            <w:r>
              <w:rPr>
                <w:rFonts w:ascii="Calibri" w:hAnsi="Calibri"/>
                <w:b w:val="0"/>
                <w:i w:val="0"/>
                <w:color w:val="555760"/>
                <w:sz w:val="19"/>
              </w:rPr>
              <w:t>$200</w:t>
            </w:r>
          </w:p>
        </w:tc>
      </w:tr>
      <w:tr>
        <w:tc>
          <w:tcPr>
            <w:tcW w:type="dxa" w:w="2160"/>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shd w:val="clear" w:color="auto" w:fill="FAF6EE"/>
          </w:tcPr>
          <w:p>
            <w:pPr>
              <w:spacing w:after="0"/>
            </w:pPr>
            <w:r/>
            <w:r>
              <w:rPr>
                <w:rFonts w:ascii="Calibri" w:hAnsi="Calibri"/>
                <w:b w:val="0"/>
                <w:i w:val="0"/>
                <w:color w:val="555760"/>
                <w:sz w:val="19"/>
              </w:rPr>
              <w:t>On delivery</w:t>
            </w:r>
          </w:p>
        </w:tc>
        <w:tc>
          <w:tcPr>
            <w:tcW w:type="dxa" w:w="5328"/>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shd w:val="clear" w:color="auto" w:fill="FAF6EE"/>
          </w:tcPr>
          <w:p>
            <w:pPr>
              <w:spacing w:after="0"/>
            </w:pPr>
            <w:r/>
            <w:r>
              <w:rPr>
                <w:rFonts w:ascii="Calibri" w:hAnsi="Calibri"/>
                <w:b w:val="0"/>
                <w:i w:val="0"/>
                <w:color w:val="555760"/>
                <w:sz w:val="19"/>
              </w:rPr>
              <w:t>Balance, on acceptance of Phase 1</w:t>
            </w:r>
          </w:p>
        </w:tc>
        <w:tc>
          <w:tcPr>
            <w:tcW w:type="dxa" w:w="1872"/>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shd w:val="clear" w:color="auto" w:fill="FAF6EE"/>
          </w:tcPr>
          <w:p>
            <w:pPr>
              <w:spacing w:after="0"/>
              <w:jc w:val="right"/>
            </w:pPr>
            <w:r/>
            <w:r>
              <w:rPr>
                <w:rFonts w:ascii="Calibri" w:hAnsi="Calibri"/>
                <w:b w:val="0"/>
                <w:i w:val="0"/>
                <w:color w:val="555760"/>
                <w:sz w:val="19"/>
              </w:rPr>
              <w:t>$1,000</w:t>
            </w:r>
          </w:p>
        </w:tc>
      </w:tr>
      <w:tr>
        <w:tc>
          <w:tcPr>
            <w:tcW w:type="dxa" w:w="2160"/>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shd w:val="clear" w:color="auto" w:fill="FBEEDD"/>
          </w:tcPr>
          <w:p>
            <w:pPr>
              <w:spacing w:after="0"/>
            </w:pPr>
            <w:r/>
            <w:r>
              <w:rPr>
                <w:rFonts w:ascii="Calibri" w:hAnsi="Calibri"/>
                <w:b/>
                <w:i w:val="0"/>
                <w:color w:val="222428"/>
                <w:sz w:val="19"/>
              </w:rPr>
              <w:t>Total — Phase 1</w:t>
            </w:r>
          </w:p>
        </w:tc>
        <w:tc>
          <w:tcPr>
            <w:tcW w:type="dxa" w:w="5328"/>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shd w:val="clear" w:color="auto" w:fill="FBEEDD"/>
          </w:tcPr>
          <w:p>
            <w:pPr>
              <w:spacing w:after="0"/>
            </w:pPr>
            <w:r/>
            <w:r>
              <w:rPr>
                <w:rFonts w:ascii="Calibri" w:hAnsi="Calibri"/>
                <w:b/>
                <w:i w:val="0"/>
                <w:color w:val="222428"/>
                <w:sz w:val="19"/>
              </w:rPr>
            </w:r>
          </w:p>
        </w:tc>
        <w:tc>
          <w:tcPr>
            <w:tcW w:type="dxa" w:w="1872"/>
            <w:tcBorders>
              <w:top w:val="single" w:sz="4" w:space="0" w:color="DDD6C8"/>
              <w:bottom w:val="single" w:sz="4" w:space="0" w:color="DDD6C8"/>
              <w:left w:val="single" w:sz="4" w:space="0" w:color="DDD6C8"/>
              <w:right w:val="single" w:sz="4" w:space="0" w:color="DDD6C8"/>
            </w:tcBorders>
            <w:tcMar>
              <w:top w:w="70" w:type="dxa"/>
              <w:bottom w:w="70" w:type="dxa"/>
              <w:start w:w="110" w:type="dxa"/>
              <w:end w:w="110" w:type="dxa"/>
            </w:tcMar>
            <w:shd w:val="clear" w:color="auto" w:fill="FBEEDD"/>
          </w:tcPr>
          <w:p>
            <w:pPr>
              <w:spacing w:after="0"/>
              <w:jc w:val="right"/>
            </w:pPr>
            <w:r/>
            <w:r>
              <w:rPr>
                <w:rFonts w:ascii="Calibri" w:hAnsi="Calibri"/>
                <w:b/>
                <w:i w:val="0"/>
                <w:color w:val="222428"/>
                <w:sz w:val="19"/>
              </w:rPr>
              <w:t>$1,200</w:t>
            </w:r>
          </w:p>
        </w:tc>
      </w:tr>
    </w:tbl>
    <w:p>
      <w:pPr>
        <w:spacing w:after="120" w:before="80"/>
      </w:pPr>
      <w:r>
        <w:rPr>
          <w:rFonts w:ascii="Calibri" w:hAnsi="Calibri"/>
          <w:b w:val="0"/>
          <w:i/>
          <w:color w:val="8A8D96"/>
          <w:sz w:val="19"/>
        </w:rPr>
        <w:t>A $200 advance on signing locks the build slot and starts the work; the remaining $1,000 is due on the delivery day, on acceptance of Phase 1. Phase 1.5 (calls and messaging) and Phases 2 and 3 (the $1,300 ops, AI and marketing layers) are scoped, priced and scheduled separately once we define them together. Fees are exclusive of any applicable taxes and third-party tool costs.</w:t>
      </w:r>
    </w:p>
    <w:p>
      <w:pPr>
        <w:spacing w:before="320" w:after="80"/>
        <w:pBdr>
          <w:bottom w:val="single" w:sz="4" w:space="4" w:color="DDD6C8"/>
        </w:pBdr>
      </w:pPr>
      <w:r>
        <w:rPr>
          <w:rFonts w:ascii="Georgia" w:hAnsi="Georgia"/>
          <w:b/>
          <w:i w:val="0"/>
          <w:color w:val="B16327"/>
          <w:sz w:val="24"/>
        </w:rPr>
        <w:t xml:space="preserve">12  </w:t>
      </w:r>
      <w:r>
        <w:rPr>
          <w:rFonts w:ascii="Georgia" w:hAnsi="Georgia"/>
          <w:b w:val="0"/>
          <w:i w:val="0"/>
          <w:color w:val="222428"/>
          <w:sz w:val="31"/>
        </w:rPr>
        <w:t>Who builds it</w:t>
      </w:r>
    </w:p>
    <w:p>
      <w:pPr>
        <w:spacing w:after="120" w:before="0"/>
      </w:pPr>
      <w:r>
        <w:rPr>
          <w:rFonts w:ascii="Calibri" w:hAnsi="Calibri"/>
          <w:b w:val="0"/>
          <w:i w:val="0"/>
          <w:color w:val="555760"/>
          <w:sz w:val="21"/>
        </w:rPr>
        <w:t>A small, senior team. You talk to the people doing the work.</w:t>
      </w:r>
    </w:p>
    <w:p>
      <w:pPr>
        <w:spacing w:after="20"/>
      </w:pPr>
      <w:r>
        <w:rPr>
          <w:rFonts w:ascii="Georgia" w:hAnsi="Georgia"/>
          <w:b/>
          <w:i w:val="0"/>
          <w:color w:val="222428"/>
          <w:sz w:val="24"/>
        </w:rPr>
        <w:t>Govind Goel</w:t>
      </w:r>
      <w:r>
        <w:rPr>
          <w:rFonts w:ascii="Calibri" w:hAnsi="Calibri"/>
          <w:b/>
          <w:i w:val="0"/>
          <w:color w:val="B16327"/>
          <w:sz w:val="20"/>
        </w:rPr>
        <w:t xml:space="preserve">  —  Business Head</w:t>
      </w:r>
    </w:p>
    <w:p>
      <w:pPr>
        <w:spacing w:after="20" w:before="0"/>
      </w:pPr>
      <w:r>
        <w:rPr>
          <w:rFonts w:ascii="Calibri" w:hAnsi="Calibri"/>
          <w:b w:val="0"/>
          <w:i w:val="0"/>
          <w:color w:val="555760"/>
          <w:sz w:val="20"/>
        </w:rPr>
        <w:t>Owns the relationship, scope and delivery: requirements, sync calls, sign-off and making sure Phase 1 lands on time.</w:t>
      </w:r>
    </w:p>
    <w:p>
      <w:pPr>
        <w:spacing w:after="40"/>
      </w:pPr>
      <w:r>
        <w:rPr>
          <w:rFonts w:ascii="Calibri" w:hAnsi="Calibri"/>
          <w:b w:val="0"/>
          <w:i w:val="0"/>
          <w:color w:val="8A8D96"/>
          <w:sz w:val="19"/>
        </w:rPr>
        <w:t xml:space="preserve">LinkedIn: </w:t>
      </w:r>
      <w:r>
        <w:rPr>
          <w:rFonts w:ascii="Calibri" w:hAnsi="Calibri"/>
          <w:b w:val="0"/>
          <w:i w:val="0"/>
          <w:color w:val="B16327"/>
          <w:sz w:val="19"/>
        </w:rPr>
        <w:t>https://www.linkedin.com/in/govind-goel-08886a194</w:t>
      </w:r>
    </w:p>
    <w:p>
      <w:pPr>
        <w:spacing w:before="80" w:after="20"/>
      </w:pPr>
      <w:r>
        <w:rPr>
          <w:rFonts w:ascii="Georgia" w:hAnsi="Georgia"/>
          <w:b/>
          <w:i w:val="0"/>
          <w:color w:val="222428"/>
          <w:sz w:val="24"/>
        </w:rPr>
        <w:t>Rupayan</w:t>
      </w:r>
      <w:r>
        <w:rPr>
          <w:rFonts w:ascii="Calibri" w:hAnsi="Calibri"/>
          <w:b/>
          <w:i w:val="0"/>
          <w:color w:val="B16327"/>
          <w:sz w:val="20"/>
        </w:rPr>
        <w:t xml:space="preserve">  —  Tech Head</w:t>
      </w:r>
    </w:p>
    <w:p>
      <w:pPr>
        <w:spacing w:after="120" w:before="0"/>
      </w:pPr>
      <w:r>
        <w:rPr>
          <w:rFonts w:ascii="Calibri" w:hAnsi="Calibri"/>
          <w:b w:val="0"/>
          <w:i w:val="0"/>
          <w:color w:val="555760"/>
          <w:sz w:val="20"/>
        </w:rPr>
        <w:t>Owns the build: database and architecture, the integrations (Meta Ads, dialer, WhatsApp), deployment and the security of your data.</w:t>
      </w:r>
    </w:p>
    <w:p>
      <w:pPr>
        <w:spacing w:before="320" w:after="80"/>
        <w:pBdr>
          <w:bottom w:val="single" w:sz="4" w:space="4" w:color="DDD6C8"/>
        </w:pBdr>
      </w:pPr>
      <w:r>
        <w:rPr>
          <w:rFonts w:ascii="Georgia" w:hAnsi="Georgia"/>
          <w:b/>
          <w:i w:val="0"/>
          <w:color w:val="B16327"/>
          <w:sz w:val="24"/>
        </w:rPr>
        <w:t xml:space="preserve">13  </w:t>
      </w:r>
      <w:r>
        <w:rPr>
          <w:rFonts w:ascii="Georgia" w:hAnsi="Georgia"/>
          <w:b w:val="0"/>
          <w:i w:val="0"/>
          <w:color w:val="222428"/>
          <w:sz w:val="31"/>
        </w:rPr>
        <w:t>Sign-off</w:t>
      </w:r>
    </w:p>
    <w:p>
      <w:pPr>
        <w:spacing w:after="120" w:before="0"/>
      </w:pPr>
      <w:r>
        <w:rPr>
          <w:rFonts w:ascii="Calibri" w:hAnsi="Calibri"/>
          <w:b w:val="0"/>
          <w:i w:val="0"/>
          <w:color w:val="555760"/>
          <w:sz w:val="21"/>
        </w:rPr>
        <w:t>By signing below, both parties accept this Scope of Work for Phase 1.</w:t>
      </w:r>
    </w:p>
    <w:tbl>
      <w:tblPr>
        <w:tblW w:type="auto" w:w="0"/>
        <w:jc w:val="center"/>
        <w:tblLook w:firstColumn="1" w:firstRow="1" w:lastColumn="0" w:lastRow="0" w:noHBand="0" w:noVBand="1" w:val="04A0"/>
      </w:tblPr>
      <w:tblGrid>
        <w:gridCol w:w="4608"/>
        <w:gridCol w:w="4608"/>
      </w:tblGrid>
      <w:tr>
        <w:tc>
          <w:tcPr>
            <w:tcW w:type="dxa" w:w="4896"/>
            <w:tcBorders>
              <w:top w:val="single" w:sz="4" w:space="0" w:color="DDD6C8"/>
              <w:bottom w:val="single" w:sz="4" w:space="0" w:color="DDD6C8"/>
              <w:left w:val="single" w:sz="4" w:space="0" w:color="DDD6C8"/>
              <w:right w:val="single" w:sz="4" w:space="0" w:color="DDD6C8"/>
            </w:tcBorders>
            <w:tcMar>
              <w:top w:w="110" w:type="dxa"/>
              <w:bottom w:w="160" w:type="dxa"/>
              <w:start w:w="110" w:type="dxa"/>
              <w:end w:w="110" w:type="dxa"/>
            </w:tcMar>
          </w:tcPr>
          <w:p>
            <w:pPr>
              <w:spacing w:after="40"/>
            </w:pPr>
            <w:r/>
            <w:r>
              <w:rPr>
                <w:rFonts w:ascii="Calibri" w:hAnsi="Calibri"/>
                <w:b/>
                <w:i w:val="0"/>
                <w:caps/>
                <w:color w:val="8A8D96"/>
                <w:sz w:val="17"/>
              </w:rPr>
              <w:t>CLIENT</w:t>
            </w:r>
          </w:p>
          <w:p>
            <w:pPr>
              <w:spacing w:after="0"/>
            </w:pPr>
            <w:r>
              <w:rPr>
                <w:rFonts w:ascii="Georgia" w:hAnsi="Georgia"/>
                <w:b/>
                <w:i w:val="0"/>
                <w:color w:val="222428"/>
                <w:sz w:val="24"/>
              </w:rPr>
              <w:t>DecentraLabs</w:t>
            </w:r>
          </w:p>
          <w:p>
            <w:pPr>
              <w:spacing w:after="0"/>
            </w:pPr>
            <w:r>
              <w:rPr>
                <w:rFonts w:ascii="Calibri" w:hAnsi="Calibri"/>
                <w:b w:val="0"/>
                <w:i w:val="0"/>
                <w:color w:val="555760"/>
                <w:sz w:val="19"/>
              </w:rPr>
              <w:t>Authorised signatory</w:t>
            </w:r>
          </w:p>
        </w:tc>
        <w:tc>
          <w:tcPr>
            <w:tcW w:type="dxa" w:w="4896"/>
            <w:tcBorders>
              <w:top w:val="single" w:sz="4" w:space="0" w:color="DDD6C8"/>
              <w:bottom w:val="single" w:sz="4" w:space="0" w:color="DDD6C8"/>
              <w:left w:val="single" w:sz="4" w:space="0" w:color="DDD6C8"/>
              <w:right w:val="single" w:sz="4" w:space="0" w:color="DDD6C8"/>
            </w:tcBorders>
            <w:tcMar>
              <w:top w:w="110" w:type="dxa"/>
              <w:bottom w:w="160" w:type="dxa"/>
              <w:start w:w="110" w:type="dxa"/>
              <w:end w:w="110" w:type="dxa"/>
            </w:tcMar>
          </w:tcPr>
          <w:p>
            <w:pPr>
              <w:spacing w:after="40"/>
            </w:pPr>
            <w:r/>
            <w:r>
              <w:rPr>
                <w:rFonts w:ascii="Calibri" w:hAnsi="Calibri"/>
                <w:b/>
                <w:i w:val="0"/>
                <w:caps/>
                <w:color w:val="8A8D96"/>
                <w:sz w:val="17"/>
              </w:rPr>
              <w:t>SERVICE PROVIDER</w:t>
            </w:r>
          </w:p>
          <w:p>
            <w:pPr>
              <w:spacing w:after="0"/>
            </w:pPr>
            <w:r>
              <w:rPr>
                <w:rFonts w:ascii="Georgia" w:hAnsi="Georgia"/>
                <w:b/>
                <w:i w:val="0"/>
                <w:color w:val="222428"/>
                <w:sz w:val="24"/>
              </w:rPr>
              <w:t>Meteorify</w:t>
            </w:r>
          </w:p>
          <w:p>
            <w:pPr>
              <w:spacing w:after="0"/>
            </w:pPr>
            <w:r>
              <w:rPr>
                <w:rFonts w:ascii="Calibri" w:hAnsi="Calibri"/>
                <w:b w:val="0"/>
                <w:i w:val="0"/>
                <w:color w:val="555760"/>
                <w:sz w:val="19"/>
              </w:rPr>
              <w:t>Govind Goel, Business Head</w:t>
            </w:r>
          </w:p>
        </w:tc>
      </w:tr>
      <w:tr>
        <w:tc>
          <w:tcPr>
            <w:tcW w:type="dxa" w:w="4896"/>
            <w:tcBorders>
              <w:top w:val="single" w:sz="4" w:space="0" w:color="DDD6C8"/>
              <w:bottom w:val="single" w:sz="4" w:space="0" w:color="DDD6C8"/>
              <w:left w:val="single" w:sz="4" w:space="0" w:color="DDD6C8"/>
              <w:right w:val="single" w:sz="4" w:space="0" w:color="DDD6C8"/>
            </w:tcBorders>
            <w:tcMar>
              <w:top w:w="200" w:type="dxa"/>
              <w:bottom w:w="80" w:type="dxa"/>
              <w:start w:w="110" w:type="dxa"/>
              <w:end w:w="110" w:type="dxa"/>
            </w:tcMar>
          </w:tcPr>
          <w:p>
            <w:pPr>
              <w:spacing w:after="0"/>
            </w:pPr>
            <w:r/>
            <w:r>
              <w:rPr>
                <w:rFonts w:ascii="Calibri" w:hAnsi="Calibri"/>
                <w:b w:val="0"/>
                <w:i w:val="0"/>
                <w:color w:val="8A8D96"/>
                <w:sz w:val="18"/>
              </w:rPr>
              <w:t>Name, signature &amp; date</w:t>
            </w:r>
          </w:p>
        </w:tc>
        <w:tc>
          <w:tcPr>
            <w:tcW w:type="dxa" w:w="4896"/>
            <w:tcBorders>
              <w:top w:val="single" w:sz="4" w:space="0" w:color="DDD6C8"/>
              <w:bottom w:val="single" w:sz="4" w:space="0" w:color="DDD6C8"/>
              <w:left w:val="single" w:sz="4" w:space="0" w:color="DDD6C8"/>
              <w:right w:val="single" w:sz="4" w:space="0" w:color="DDD6C8"/>
            </w:tcBorders>
            <w:tcMar>
              <w:top w:w="200" w:type="dxa"/>
              <w:bottom w:w="80" w:type="dxa"/>
              <w:start w:w="110" w:type="dxa"/>
              <w:end w:w="110" w:type="dxa"/>
            </w:tcMar>
          </w:tcPr>
          <w:p>
            <w:pPr>
              <w:spacing w:after="0"/>
            </w:pPr>
            <w:r/>
            <w:r>
              <w:rPr>
                <w:rFonts w:ascii="Calibri" w:hAnsi="Calibri"/>
                <w:b w:val="0"/>
                <w:i w:val="0"/>
                <w:color w:val="8A8D96"/>
                <w:sz w:val="18"/>
              </w:rPr>
              <w:t>Name, signature &amp; date</w:t>
            </w:r>
          </w:p>
        </w:tc>
      </w:tr>
    </w:tbl>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8A8D96"/>
        <w:sz w:val="17"/>
      </w:rPr>
      <w:t>Meteorify  ·  Scope of Work  ·  Phase 1  ·  www.usemeteorify.com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55576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