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6B21" w14:textId="77777777" w:rsidR="00F07017" w:rsidRPr="00F07017" w:rsidRDefault="00F07017" w:rsidP="00F07017">
      <w:r w:rsidRPr="00F07017">
        <w:rPr>
          <w:b/>
          <w:bCs/>
        </w:rPr>
        <w:t xml:space="preserve">Uplift </w:t>
      </w:r>
      <w:proofErr w:type="spellStart"/>
      <w:r w:rsidRPr="00F07017">
        <w:rPr>
          <w:b/>
          <w:bCs/>
        </w:rPr>
        <w:t>Modeling</w:t>
      </w:r>
      <w:proofErr w:type="spellEnd"/>
      <w:r w:rsidRPr="00F07017">
        <w:rPr>
          <w:b/>
          <w:bCs/>
        </w:rPr>
        <w:t>: Optimizing Email Marketing ROI</w:t>
      </w:r>
      <w:r w:rsidRPr="00F07017">
        <w:t xml:space="preserve"> </w:t>
      </w:r>
      <w:r w:rsidRPr="00F07017">
        <w:rPr>
          <w:b/>
          <w:bCs/>
        </w:rPr>
        <w:t>Author:</w:t>
      </w:r>
      <w:r w:rsidRPr="00F07017">
        <w:t xml:space="preserve"> Govind Ramuka</w:t>
      </w:r>
    </w:p>
    <w:p w14:paraId="2F73D3BD" w14:textId="77777777" w:rsidR="00F07017" w:rsidRPr="00F07017" w:rsidRDefault="00F07017" w:rsidP="00F07017">
      <w:r w:rsidRPr="00F07017">
        <w:rPr>
          <w:b/>
          <w:bCs/>
        </w:rPr>
        <w:t>The Core Question:</w:t>
      </w:r>
      <w:r w:rsidRPr="00F07017">
        <w:t xml:space="preserve"> Instead of asking "who is likely to visit the site?", how do we identify the specific customers who will </w:t>
      </w:r>
      <w:r w:rsidRPr="00F07017">
        <w:rPr>
          <w:i/>
          <w:iCs/>
        </w:rPr>
        <w:t>only</w:t>
      </w:r>
      <w:r w:rsidRPr="00F07017">
        <w:t xml:space="preserve"> visit if we send them a promotional email?</w:t>
      </w:r>
    </w:p>
    <w:p w14:paraId="098ED227" w14:textId="77777777" w:rsidR="00F07017" w:rsidRPr="00F07017" w:rsidRDefault="00F07017" w:rsidP="00F07017">
      <w:r w:rsidRPr="00F07017">
        <w:rPr>
          <w:b/>
          <w:bCs/>
        </w:rPr>
        <w:t>Executive Takeaway:</w:t>
      </w:r>
      <w:r w:rsidRPr="00F07017">
        <w:t xml:space="preserve"> Relying on the naive average treatment effect suggests emailing the entire customer base. However, by deploying a Two-Model uplift system, we discovered that emailing the bottom 50% of the customer base generated near-zero incremental visits. By targeting only the top 5 deciles, we capture the vast majority of the campaign's success while instantly cutting email send costs by 50%.</w:t>
      </w:r>
    </w:p>
    <w:p w14:paraId="4720E980" w14:textId="77777777" w:rsidR="00F07017" w:rsidRPr="00F07017" w:rsidRDefault="00F07017" w:rsidP="00F07017">
      <w:r w:rsidRPr="00F07017">
        <w:rPr>
          <w:b/>
          <w:bCs/>
        </w:rPr>
        <w:t>What We Did:</w:t>
      </w:r>
      <w:r w:rsidRPr="00F07017">
        <w:t xml:space="preserve"> We </w:t>
      </w:r>
      <w:proofErr w:type="spellStart"/>
      <w:r w:rsidRPr="00F07017">
        <w:t>analyzed</w:t>
      </w:r>
      <w:proofErr w:type="spellEnd"/>
      <w:r w:rsidRPr="00F07017">
        <w:t xml:space="preserve"> a genuinely randomized control trial (the </w:t>
      </w:r>
      <w:proofErr w:type="spellStart"/>
      <w:r w:rsidRPr="00F07017">
        <w:t>MineThatData</w:t>
      </w:r>
      <w:proofErr w:type="spellEnd"/>
      <w:r w:rsidRPr="00F07017">
        <w:t xml:space="preserve"> dataset) comparing customers who received a Women's product email versus a control group (no email). Because the groups were randomized, we can confidently claim causality without relying on complex identification assumptions. We trained a Two-Model (T-Learner) machine learning approach: one model predicts </w:t>
      </w:r>
      <w:proofErr w:type="spellStart"/>
      <w:r w:rsidRPr="00F07017">
        <w:t>behavior</w:t>
      </w:r>
      <w:proofErr w:type="spellEnd"/>
      <w:r w:rsidRPr="00F07017">
        <w:t xml:space="preserve"> if treated, one predicts </w:t>
      </w:r>
      <w:proofErr w:type="spellStart"/>
      <w:r w:rsidRPr="00F07017">
        <w:t>behavior</w:t>
      </w:r>
      <w:proofErr w:type="spellEnd"/>
      <w:r w:rsidRPr="00F07017">
        <w:t xml:space="preserve"> if untreated, and the difference is the individual treatment effect (Uplift).</w:t>
      </w:r>
    </w:p>
    <w:p w14:paraId="54AAAA57" w14:textId="77777777" w:rsidR="00F07017" w:rsidRPr="00F07017" w:rsidRDefault="00F07017" w:rsidP="00F07017">
      <w:r w:rsidRPr="00F07017">
        <w:rPr>
          <w:b/>
          <w:bCs/>
        </w:rPr>
        <w:t>What We Found:</w:t>
      </w:r>
    </w:p>
    <w:p w14:paraId="3255B974" w14:textId="77777777" w:rsidR="00F07017" w:rsidRPr="00F07017" w:rsidRDefault="00F07017" w:rsidP="00F07017">
      <w:r w:rsidRPr="00F07017">
        <w:rPr>
          <w:i/>
          <w:iCs/>
        </w:rPr>
        <w:t xml:space="preserve">(Insert your </w:t>
      </w:r>
      <w:proofErr w:type="spellStart"/>
      <w:r w:rsidRPr="00F07017">
        <w:rPr>
          <w:i/>
          <w:iCs/>
        </w:rPr>
        <w:t>Qini</w:t>
      </w:r>
      <w:proofErr w:type="spellEnd"/>
      <w:r w:rsidRPr="00F07017">
        <w:rPr>
          <w:i/>
          <w:iCs/>
        </w:rPr>
        <w:t xml:space="preserve"> Curve image here)</w:t>
      </w:r>
    </w:p>
    <w:p w14:paraId="1DB8558F" w14:textId="77777777" w:rsidR="00F07017" w:rsidRPr="00F07017" w:rsidRDefault="00F07017" w:rsidP="00F07017">
      <w:r w:rsidRPr="00F07017">
        <w:rPr>
          <w:i/>
          <w:iCs/>
        </w:rPr>
        <w:t>(Insert your Decile Table here)</w:t>
      </w:r>
    </w:p>
    <w:p w14:paraId="43B70E30" w14:textId="77777777" w:rsidR="00F07017" w:rsidRPr="00F07017" w:rsidRDefault="00F07017" w:rsidP="00F07017">
      <w:r w:rsidRPr="00F07017">
        <w:t>The model successfully separated "</w:t>
      </w:r>
      <w:proofErr w:type="spellStart"/>
      <w:r w:rsidRPr="00F07017">
        <w:t>Persuadables</w:t>
      </w:r>
      <w:proofErr w:type="spellEnd"/>
      <w:r w:rsidRPr="00F07017">
        <w:t xml:space="preserve">" (Deciles 5-9, showing between 4.3% and 7.6% actual visit uplift) from "Sure Things" and "Sleeping Dogs" (Deciles 0-3, showing near-zero or negative uplift). We mathematically proved this approach outperforms a naive churn prediction model by comparing their </w:t>
      </w:r>
      <w:proofErr w:type="spellStart"/>
      <w:r w:rsidRPr="00F07017">
        <w:t>Qini</w:t>
      </w:r>
      <w:proofErr w:type="spellEnd"/>
      <w:r w:rsidRPr="00F07017">
        <w:t xml:space="preserve"> coefficients, confirming that predicting </w:t>
      </w:r>
      <w:r w:rsidRPr="00F07017">
        <w:rPr>
          <w:i/>
          <w:iCs/>
        </w:rPr>
        <w:t>uplift</w:t>
      </w:r>
      <w:r w:rsidRPr="00F07017">
        <w:t xml:space="preserve"> is superior to predicting raw response probability when allocating marketing budgets.</w:t>
      </w:r>
    </w:p>
    <w:p w14:paraId="60A82CF7" w14:textId="77777777" w:rsidR="00F07017" w:rsidRPr="00F07017" w:rsidRDefault="00F07017" w:rsidP="00F07017">
      <w:r w:rsidRPr="00F07017">
        <w:rPr>
          <w:b/>
          <w:bCs/>
        </w:rPr>
        <w:t>Limitations:</w:t>
      </w:r>
      <w:r w:rsidRPr="00F07017">
        <w:t xml:space="preserve"> This model is based on one company's specific campaign during a single time period. Furthermore, uplift models are inherently noisier than standard response models because they calculate a difference between two probabilities. The "persuadable" segment identified for this apparel email may not transfer directly to a different promotional offer or marketing channel.</w:t>
      </w:r>
    </w:p>
    <w:p w14:paraId="2ED1DE4B" w14:textId="77777777" w:rsidR="00F07017" w:rsidRPr="00F07017" w:rsidRDefault="00F07017" w:rsidP="00F07017">
      <w:r w:rsidRPr="00F07017">
        <w:rPr>
          <w:b/>
          <w:bCs/>
        </w:rPr>
        <w:t>Future Work:</w:t>
      </w:r>
      <w:r w:rsidRPr="00F07017">
        <w:t xml:space="preserve"> With more time, I would test this approach on a second campaign to verify segment stability. I would also explore nonlinear models (like Causal Forests or X-Learners) and run a live holdout experiment specifically targeting our predicted top-uplift segment to confirm out-of-sample ROI.</w:t>
      </w:r>
    </w:p>
    <w:p w14:paraId="2C5DFF20" w14:textId="7CCE9EA0" w:rsidR="00645627" w:rsidRPr="00F07017" w:rsidRDefault="00645627" w:rsidP="00F07017"/>
    <w:sectPr w:rsidR="00645627" w:rsidRPr="00F0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A3"/>
    <w:rsid w:val="00254FA3"/>
    <w:rsid w:val="00554321"/>
    <w:rsid w:val="00555A20"/>
    <w:rsid w:val="00645627"/>
    <w:rsid w:val="00F07017"/>
    <w:rsid w:val="00F5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8C08"/>
  <w15:chartTrackingRefBased/>
  <w15:docId w15:val="{A740C283-CDCC-4088-9389-CC6842C0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E005_Vibhu Ramuka</dc:creator>
  <cp:keywords/>
  <dc:description/>
  <cp:lastModifiedBy>E005_Vibhu Ramuka</cp:lastModifiedBy>
  <cp:revision>1</cp:revision>
  <dcterms:created xsi:type="dcterms:W3CDTF">2026-09-10T13:28:00Z</dcterms:created>
  <dcterms:modified xsi:type="dcterms:W3CDTF">2026-09-10T14:09:00Z</dcterms:modified>
</cp:coreProperties>
</file>