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64F" w:rsidRPr="00A92246" w:rsidRDefault="00193461" w:rsidP="0020300C">
      <w:pPr>
        <w:rPr>
          <w:sz w:val="28"/>
        </w:rPr>
      </w:pPr>
      <w:r w:rsidRPr="00A92246">
        <w:rPr>
          <w:noProof/>
          <w:lang w:eastAsia="en-AU"/>
        </w:rPr>
        <w:drawing>
          <wp:inline distT="0" distB="0" distL="0" distR="0" wp14:anchorId="42AD1EA6" wp14:editId="067D9BE1">
            <wp:extent cx="1503328" cy="11052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wealth Coat of Arms"/>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03328" cy="1105200"/>
                    </a:xfrm>
                    <a:prstGeom prst="rect">
                      <a:avLst/>
                    </a:prstGeom>
                    <a:noFill/>
                    <a:ln>
                      <a:noFill/>
                    </a:ln>
                  </pic:spPr>
                </pic:pic>
              </a:graphicData>
            </a:graphic>
          </wp:inline>
        </w:drawing>
      </w:r>
    </w:p>
    <w:p w:rsidR="0048364F" w:rsidRPr="00A92246" w:rsidRDefault="0048364F" w:rsidP="0048364F">
      <w:pPr>
        <w:rPr>
          <w:sz w:val="19"/>
        </w:rPr>
      </w:pPr>
    </w:p>
    <w:p w:rsidR="0048364F" w:rsidRPr="00A92246" w:rsidRDefault="00755452" w:rsidP="0048364F">
      <w:pPr>
        <w:pStyle w:val="ShortT"/>
      </w:pPr>
      <w:r w:rsidRPr="00A92246">
        <w:t>Military Rehabilitation and Compensation (Non</w:t>
      </w:r>
      <w:r w:rsidR="00A92246">
        <w:noBreakHyphen/>
      </w:r>
      <w:r w:rsidRPr="00A92246">
        <w:t>warlike Service) Determination</w:t>
      </w:r>
      <w:r w:rsidR="00A92246" w:rsidRPr="00A92246">
        <w:t> </w:t>
      </w:r>
      <w:r w:rsidRPr="00A92246">
        <w:t>2016 (No.</w:t>
      </w:r>
      <w:r w:rsidR="00A92246" w:rsidRPr="00A92246">
        <w:t> </w:t>
      </w:r>
      <w:r w:rsidRPr="00A92246">
        <w:t>1)</w:t>
      </w:r>
    </w:p>
    <w:p w:rsidR="00755452" w:rsidRPr="00A92246" w:rsidRDefault="00755452" w:rsidP="00755452">
      <w:pPr>
        <w:pStyle w:val="SignCoverPageStart"/>
        <w:rPr>
          <w:szCs w:val="22"/>
        </w:rPr>
      </w:pPr>
      <w:r w:rsidRPr="00A92246">
        <w:rPr>
          <w:szCs w:val="22"/>
        </w:rPr>
        <w:t xml:space="preserve">I, </w:t>
      </w:r>
      <w:r w:rsidR="00AA68F5" w:rsidRPr="00A92246">
        <w:rPr>
          <w:szCs w:val="22"/>
        </w:rPr>
        <w:t>Michael McCormack</w:t>
      </w:r>
      <w:r w:rsidRPr="00A92246">
        <w:rPr>
          <w:szCs w:val="22"/>
        </w:rPr>
        <w:t xml:space="preserve">, </w:t>
      </w:r>
      <w:r w:rsidR="00AA68F5" w:rsidRPr="00A92246">
        <w:rPr>
          <w:szCs w:val="22"/>
        </w:rPr>
        <w:t xml:space="preserve">Assistant Minister for Defence and </w:t>
      </w:r>
      <w:r w:rsidRPr="00A92246">
        <w:rPr>
          <w:szCs w:val="22"/>
        </w:rPr>
        <w:t>Parliamentary Secretary to the Minister for Defence, make the following determination.</w:t>
      </w:r>
    </w:p>
    <w:p w:rsidR="00755452" w:rsidRPr="00A92246" w:rsidRDefault="00755452" w:rsidP="00755452">
      <w:pPr>
        <w:keepNext/>
        <w:spacing w:before="300" w:line="240" w:lineRule="atLeast"/>
        <w:ind w:right="397"/>
        <w:jc w:val="both"/>
        <w:rPr>
          <w:szCs w:val="22"/>
        </w:rPr>
      </w:pPr>
      <w:r w:rsidRPr="00A92246">
        <w:rPr>
          <w:szCs w:val="22"/>
        </w:rPr>
        <w:t>Dated</w:t>
      </w:r>
      <w:r w:rsidRPr="00A92246">
        <w:rPr>
          <w:szCs w:val="22"/>
        </w:rPr>
        <w:tab/>
      </w:r>
      <w:bookmarkStart w:id="0" w:name="BKCheck15B_1"/>
      <w:bookmarkStart w:id="1" w:name="_GoBack"/>
      <w:bookmarkEnd w:id="0"/>
      <w:bookmarkEnd w:id="1"/>
      <w:r w:rsidRPr="00A92246">
        <w:rPr>
          <w:szCs w:val="22"/>
        </w:rPr>
        <w:fldChar w:fldCharType="begin"/>
      </w:r>
      <w:r w:rsidRPr="00A92246">
        <w:rPr>
          <w:szCs w:val="22"/>
        </w:rPr>
        <w:instrText xml:space="preserve"> DOCPROPERTY  DateMade </w:instrText>
      </w:r>
      <w:r w:rsidRPr="00A92246">
        <w:rPr>
          <w:szCs w:val="22"/>
        </w:rPr>
        <w:fldChar w:fldCharType="separate"/>
      </w:r>
      <w:r w:rsidR="001F0CEE">
        <w:rPr>
          <w:szCs w:val="22"/>
        </w:rPr>
        <w:t>4 May 2016</w:t>
      </w:r>
      <w:r w:rsidRPr="00A92246">
        <w:rPr>
          <w:szCs w:val="22"/>
        </w:rPr>
        <w:fldChar w:fldCharType="end"/>
      </w:r>
    </w:p>
    <w:p w:rsidR="009F5C9E" w:rsidRPr="00A92246" w:rsidRDefault="009F5C9E" w:rsidP="00755452">
      <w:pPr>
        <w:keepNext/>
        <w:tabs>
          <w:tab w:val="left" w:pos="3402"/>
        </w:tabs>
        <w:spacing w:before="1440" w:line="300" w:lineRule="atLeast"/>
        <w:ind w:right="397"/>
        <w:rPr>
          <w:szCs w:val="22"/>
        </w:rPr>
      </w:pPr>
      <w:r w:rsidRPr="00A92246">
        <w:rPr>
          <w:szCs w:val="22"/>
        </w:rPr>
        <w:t>Michael McCormack</w:t>
      </w:r>
    </w:p>
    <w:p w:rsidR="009F5C9E" w:rsidRPr="00A92246" w:rsidRDefault="009F5C9E" w:rsidP="00755452">
      <w:pPr>
        <w:pStyle w:val="SignCoverPageEnd"/>
        <w:rPr>
          <w:szCs w:val="22"/>
        </w:rPr>
      </w:pPr>
      <w:r w:rsidRPr="00A92246">
        <w:rPr>
          <w:szCs w:val="22"/>
        </w:rPr>
        <w:t>Assistant Minister for Defence</w:t>
      </w:r>
    </w:p>
    <w:p w:rsidR="00755452" w:rsidRPr="00A92246" w:rsidRDefault="00755452" w:rsidP="00755452">
      <w:pPr>
        <w:pStyle w:val="SignCoverPageEnd"/>
      </w:pPr>
      <w:r w:rsidRPr="00A92246">
        <w:rPr>
          <w:szCs w:val="22"/>
        </w:rPr>
        <w:t>Parliamentary Secretary to the Minister for Defence</w:t>
      </w:r>
    </w:p>
    <w:p w:rsidR="00755452" w:rsidRPr="00A92246" w:rsidRDefault="00755452" w:rsidP="00755452"/>
    <w:p w:rsidR="00164054" w:rsidRPr="00A92246" w:rsidRDefault="00164054" w:rsidP="00164054">
      <w:pPr>
        <w:pStyle w:val="Header"/>
      </w:pPr>
      <w:r w:rsidRPr="00A92246">
        <w:rPr>
          <w:rStyle w:val="CharChapNo"/>
        </w:rPr>
        <w:t xml:space="preserve"> </w:t>
      </w:r>
      <w:r w:rsidRPr="00A92246">
        <w:rPr>
          <w:rStyle w:val="CharChapText"/>
        </w:rPr>
        <w:t xml:space="preserve"> </w:t>
      </w:r>
    </w:p>
    <w:p w:rsidR="0048364F" w:rsidRPr="00A92246" w:rsidRDefault="0048364F" w:rsidP="0048364F">
      <w:pPr>
        <w:pStyle w:val="Header"/>
        <w:tabs>
          <w:tab w:val="clear" w:pos="4150"/>
          <w:tab w:val="clear" w:pos="8307"/>
        </w:tabs>
      </w:pPr>
      <w:r w:rsidRPr="00A92246">
        <w:rPr>
          <w:rStyle w:val="CharPartNo"/>
        </w:rPr>
        <w:t xml:space="preserve"> </w:t>
      </w:r>
      <w:r w:rsidRPr="00A92246">
        <w:rPr>
          <w:rStyle w:val="CharPartText"/>
        </w:rPr>
        <w:t xml:space="preserve"> </w:t>
      </w:r>
    </w:p>
    <w:p w:rsidR="0048364F" w:rsidRPr="00A92246" w:rsidRDefault="0048364F" w:rsidP="0048364F">
      <w:pPr>
        <w:pStyle w:val="Header"/>
        <w:tabs>
          <w:tab w:val="clear" w:pos="4150"/>
          <w:tab w:val="clear" w:pos="8307"/>
        </w:tabs>
      </w:pPr>
      <w:r w:rsidRPr="00A92246">
        <w:rPr>
          <w:rStyle w:val="CharDivNo"/>
        </w:rPr>
        <w:t xml:space="preserve"> </w:t>
      </w:r>
      <w:r w:rsidRPr="00A92246">
        <w:rPr>
          <w:rStyle w:val="CharDivText"/>
        </w:rPr>
        <w:t xml:space="preserve"> </w:t>
      </w:r>
    </w:p>
    <w:p w:rsidR="0048364F" w:rsidRPr="00A92246" w:rsidRDefault="0048364F" w:rsidP="0048364F">
      <w:pPr>
        <w:sectPr w:rsidR="0048364F" w:rsidRPr="00A92246" w:rsidSect="0063645F">
          <w:headerReference w:type="even" r:id="rId9"/>
          <w:headerReference w:type="default" r:id="rId10"/>
          <w:footerReference w:type="even" r:id="rId11"/>
          <w:footerReference w:type="default" r:id="rId12"/>
          <w:headerReference w:type="first" r:id="rId13"/>
          <w:footerReference w:type="first" r:id="rId14"/>
          <w:pgSz w:w="11907" w:h="16839"/>
          <w:pgMar w:top="1440" w:right="1797" w:bottom="1440" w:left="1797" w:header="720" w:footer="709" w:gutter="0"/>
          <w:cols w:space="708"/>
          <w:docGrid w:linePitch="360"/>
        </w:sectPr>
      </w:pPr>
    </w:p>
    <w:p w:rsidR="00220A0C" w:rsidRPr="00A92246" w:rsidRDefault="0048364F" w:rsidP="002F7B5E">
      <w:pPr>
        <w:rPr>
          <w:sz w:val="36"/>
        </w:rPr>
      </w:pPr>
      <w:r w:rsidRPr="00A92246">
        <w:rPr>
          <w:sz w:val="36"/>
        </w:rPr>
        <w:lastRenderedPageBreak/>
        <w:t>Contents</w:t>
      </w:r>
    </w:p>
    <w:bookmarkStart w:id="2" w:name="BKCheck15B_2"/>
    <w:bookmarkEnd w:id="2"/>
    <w:p w:rsidR="002A42E3" w:rsidRPr="00A92246" w:rsidRDefault="002A42E3">
      <w:pPr>
        <w:pStyle w:val="TOC5"/>
        <w:rPr>
          <w:rFonts w:asciiTheme="minorHAnsi" w:eastAsiaTheme="minorEastAsia" w:hAnsiTheme="minorHAnsi" w:cstheme="minorBidi"/>
          <w:noProof/>
          <w:kern w:val="0"/>
          <w:sz w:val="22"/>
          <w:szCs w:val="22"/>
        </w:rPr>
      </w:pPr>
      <w:r w:rsidRPr="00A92246">
        <w:fldChar w:fldCharType="begin"/>
      </w:r>
      <w:r w:rsidRPr="00A92246">
        <w:instrText xml:space="preserve"> TOC \o "1-9" </w:instrText>
      </w:r>
      <w:r w:rsidRPr="00A92246">
        <w:fldChar w:fldCharType="separate"/>
      </w:r>
      <w:r w:rsidRPr="00A92246">
        <w:rPr>
          <w:noProof/>
        </w:rPr>
        <w:t>1</w:t>
      </w:r>
      <w:r w:rsidRPr="00A92246">
        <w:rPr>
          <w:noProof/>
        </w:rPr>
        <w:tab/>
        <w:t>Name</w:t>
      </w:r>
      <w:r w:rsidRPr="00A92246">
        <w:rPr>
          <w:noProof/>
        </w:rPr>
        <w:tab/>
      </w:r>
      <w:r w:rsidRPr="00A92246">
        <w:rPr>
          <w:noProof/>
        </w:rPr>
        <w:fldChar w:fldCharType="begin"/>
      </w:r>
      <w:r w:rsidRPr="00A92246">
        <w:rPr>
          <w:noProof/>
        </w:rPr>
        <w:instrText xml:space="preserve"> PAGEREF _Toc444075021 \h </w:instrText>
      </w:r>
      <w:r w:rsidRPr="00A92246">
        <w:rPr>
          <w:noProof/>
        </w:rPr>
      </w:r>
      <w:r w:rsidRPr="00A92246">
        <w:rPr>
          <w:noProof/>
        </w:rPr>
        <w:fldChar w:fldCharType="separate"/>
      </w:r>
      <w:r w:rsidR="001F0CEE">
        <w:rPr>
          <w:noProof/>
        </w:rPr>
        <w:t>1</w:t>
      </w:r>
      <w:r w:rsidRPr="00A92246">
        <w:rPr>
          <w:noProof/>
        </w:rPr>
        <w:fldChar w:fldCharType="end"/>
      </w:r>
    </w:p>
    <w:p w:rsidR="002A42E3" w:rsidRPr="00A92246" w:rsidRDefault="002A42E3">
      <w:pPr>
        <w:pStyle w:val="TOC5"/>
        <w:rPr>
          <w:rFonts w:asciiTheme="minorHAnsi" w:eastAsiaTheme="minorEastAsia" w:hAnsiTheme="minorHAnsi" w:cstheme="minorBidi"/>
          <w:noProof/>
          <w:kern w:val="0"/>
          <w:sz w:val="22"/>
          <w:szCs w:val="22"/>
        </w:rPr>
      </w:pPr>
      <w:r w:rsidRPr="00A92246">
        <w:rPr>
          <w:noProof/>
        </w:rPr>
        <w:t>2</w:t>
      </w:r>
      <w:r w:rsidRPr="00A92246">
        <w:rPr>
          <w:noProof/>
        </w:rPr>
        <w:tab/>
        <w:t>Commencement</w:t>
      </w:r>
      <w:r w:rsidRPr="00A92246">
        <w:rPr>
          <w:noProof/>
        </w:rPr>
        <w:tab/>
      </w:r>
      <w:r w:rsidRPr="00A92246">
        <w:rPr>
          <w:noProof/>
        </w:rPr>
        <w:fldChar w:fldCharType="begin"/>
      </w:r>
      <w:r w:rsidRPr="00A92246">
        <w:rPr>
          <w:noProof/>
        </w:rPr>
        <w:instrText xml:space="preserve"> PAGEREF _Toc444075022 \h </w:instrText>
      </w:r>
      <w:r w:rsidRPr="00A92246">
        <w:rPr>
          <w:noProof/>
        </w:rPr>
      </w:r>
      <w:r w:rsidRPr="00A92246">
        <w:rPr>
          <w:noProof/>
        </w:rPr>
        <w:fldChar w:fldCharType="separate"/>
      </w:r>
      <w:r w:rsidR="001F0CEE">
        <w:rPr>
          <w:noProof/>
        </w:rPr>
        <w:t>1</w:t>
      </w:r>
      <w:r w:rsidRPr="00A92246">
        <w:rPr>
          <w:noProof/>
        </w:rPr>
        <w:fldChar w:fldCharType="end"/>
      </w:r>
    </w:p>
    <w:p w:rsidR="002A42E3" w:rsidRPr="00A92246" w:rsidRDefault="002A42E3">
      <w:pPr>
        <w:pStyle w:val="TOC5"/>
        <w:rPr>
          <w:rFonts w:asciiTheme="minorHAnsi" w:eastAsiaTheme="minorEastAsia" w:hAnsiTheme="minorHAnsi" w:cstheme="minorBidi"/>
          <w:noProof/>
          <w:kern w:val="0"/>
          <w:sz w:val="22"/>
          <w:szCs w:val="22"/>
        </w:rPr>
      </w:pPr>
      <w:r w:rsidRPr="00A92246">
        <w:rPr>
          <w:noProof/>
        </w:rPr>
        <w:t>3</w:t>
      </w:r>
      <w:r w:rsidRPr="00A92246">
        <w:rPr>
          <w:noProof/>
        </w:rPr>
        <w:tab/>
        <w:t>Authority</w:t>
      </w:r>
      <w:r w:rsidRPr="00A92246">
        <w:rPr>
          <w:noProof/>
        </w:rPr>
        <w:tab/>
      </w:r>
      <w:r w:rsidRPr="00A92246">
        <w:rPr>
          <w:noProof/>
        </w:rPr>
        <w:fldChar w:fldCharType="begin"/>
      </w:r>
      <w:r w:rsidRPr="00A92246">
        <w:rPr>
          <w:noProof/>
        </w:rPr>
        <w:instrText xml:space="preserve"> PAGEREF _Toc444075023 \h </w:instrText>
      </w:r>
      <w:r w:rsidRPr="00A92246">
        <w:rPr>
          <w:noProof/>
        </w:rPr>
      </w:r>
      <w:r w:rsidRPr="00A92246">
        <w:rPr>
          <w:noProof/>
        </w:rPr>
        <w:fldChar w:fldCharType="separate"/>
      </w:r>
      <w:r w:rsidR="001F0CEE">
        <w:rPr>
          <w:noProof/>
        </w:rPr>
        <w:t>1</w:t>
      </w:r>
      <w:r w:rsidRPr="00A92246">
        <w:rPr>
          <w:noProof/>
        </w:rPr>
        <w:fldChar w:fldCharType="end"/>
      </w:r>
    </w:p>
    <w:p w:rsidR="002A42E3" w:rsidRPr="00A92246" w:rsidRDefault="002A42E3">
      <w:pPr>
        <w:pStyle w:val="TOC5"/>
        <w:rPr>
          <w:rFonts w:asciiTheme="minorHAnsi" w:eastAsiaTheme="minorEastAsia" w:hAnsiTheme="minorHAnsi" w:cstheme="minorBidi"/>
          <w:noProof/>
          <w:kern w:val="0"/>
          <w:sz w:val="22"/>
          <w:szCs w:val="22"/>
        </w:rPr>
      </w:pPr>
      <w:r w:rsidRPr="00A92246">
        <w:rPr>
          <w:noProof/>
        </w:rPr>
        <w:t>4</w:t>
      </w:r>
      <w:r w:rsidRPr="00A92246">
        <w:rPr>
          <w:noProof/>
        </w:rPr>
        <w:tab/>
        <w:t>Schedules</w:t>
      </w:r>
      <w:r w:rsidRPr="00A92246">
        <w:rPr>
          <w:noProof/>
        </w:rPr>
        <w:tab/>
      </w:r>
      <w:r w:rsidRPr="00A92246">
        <w:rPr>
          <w:noProof/>
        </w:rPr>
        <w:fldChar w:fldCharType="begin"/>
      </w:r>
      <w:r w:rsidRPr="00A92246">
        <w:rPr>
          <w:noProof/>
        </w:rPr>
        <w:instrText xml:space="preserve"> PAGEREF _Toc444075024 \h </w:instrText>
      </w:r>
      <w:r w:rsidRPr="00A92246">
        <w:rPr>
          <w:noProof/>
        </w:rPr>
      </w:r>
      <w:r w:rsidRPr="00A92246">
        <w:rPr>
          <w:noProof/>
        </w:rPr>
        <w:fldChar w:fldCharType="separate"/>
      </w:r>
      <w:r w:rsidR="001F0CEE">
        <w:rPr>
          <w:noProof/>
        </w:rPr>
        <w:t>1</w:t>
      </w:r>
      <w:r w:rsidRPr="00A92246">
        <w:rPr>
          <w:noProof/>
        </w:rPr>
        <w:fldChar w:fldCharType="end"/>
      </w:r>
    </w:p>
    <w:p w:rsidR="002A42E3" w:rsidRPr="00A92246" w:rsidRDefault="002A42E3">
      <w:pPr>
        <w:pStyle w:val="TOC5"/>
        <w:rPr>
          <w:rFonts w:asciiTheme="minorHAnsi" w:eastAsiaTheme="minorEastAsia" w:hAnsiTheme="minorHAnsi" w:cstheme="minorBidi"/>
          <w:noProof/>
          <w:kern w:val="0"/>
          <w:sz w:val="22"/>
          <w:szCs w:val="22"/>
        </w:rPr>
      </w:pPr>
      <w:r w:rsidRPr="00A92246">
        <w:rPr>
          <w:noProof/>
        </w:rPr>
        <w:t>5</w:t>
      </w:r>
      <w:r w:rsidRPr="00A92246">
        <w:rPr>
          <w:noProof/>
        </w:rPr>
        <w:tab/>
        <w:t>Definitions</w:t>
      </w:r>
      <w:r w:rsidRPr="00A92246">
        <w:rPr>
          <w:noProof/>
        </w:rPr>
        <w:tab/>
      </w:r>
      <w:r w:rsidRPr="00A92246">
        <w:rPr>
          <w:noProof/>
        </w:rPr>
        <w:fldChar w:fldCharType="begin"/>
      </w:r>
      <w:r w:rsidRPr="00A92246">
        <w:rPr>
          <w:noProof/>
        </w:rPr>
        <w:instrText xml:space="preserve"> PAGEREF _Toc444075025 \h </w:instrText>
      </w:r>
      <w:r w:rsidRPr="00A92246">
        <w:rPr>
          <w:noProof/>
        </w:rPr>
      </w:r>
      <w:r w:rsidRPr="00A92246">
        <w:rPr>
          <w:noProof/>
        </w:rPr>
        <w:fldChar w:fldCharType="separate"/>
      </w:r>
      <w:r w:rsidR="001F0CEE">
        <w:rPr>
          <w:noProof/>
        </w:rPr>
        <w:t>1</w:t>
      </w:r>
      <w:r w:rsidRPr="00A92246">
        <w:rPr>
          <w:noProof/>
        </w:rPr>
        <w:fldChar w:fldCharType="end"/>
      </w:r>
    </w:p>
    <w:p w:rsidR="002A42E3" w:rsidRPr="00A92246" w:rsidRDefault="002A42E3">
      <w:pPr>
        <w:pStyle w:val="TOC5"/>
        <w:rPr>
          <w:rFonts w:asciiTheme="minorHAnsi" w:eastAsiaTheme="minorEastAsia" w:hAnsiTheme="minorHAnsi" w:cstheme="minorBidi"/>
          <w:noProof/>
          <w:kern w:val="0"/>
          <w:sz w:val="22"/>
          <w:szCs w:val="22"/>
        </w:rPr>
      </w:pPr>
      <w:r w:rsidRPr="00A92246">
        <w:rPr>
          <w:noProof/>
        </w:rPr>
        <w:t>6</w:t>
      </w:r>
      <w:r w:rsidRPr="00A92246">
        <w:rPr>
          <w:noProof/>
        </w:rPr>
        <w:tab/>
        <w:t>Non</w:t>
      </w:r>
      <w:r w:rsidR="00A92246">
        <w:rPr>
          <w:noProof/>
        </w:rPr>
        <w:noBreakHyphen/>
      </w:r>
      <w:r w:rsidRPr="00A92246">
        <w:rPr>
          <w:noProof/>
        </w:rPr>
        <w:t>warlike service</w:t>
      </w:r>
      <w:r w:rsidRPr="00A92246">
        <w:rPr>
          <w:noProof/>
        </w:rPr>
        <w:tab/>
      </w:r>
      <w:r w:rsidRPr="00A92246">
        <w:rPr>
          <w:noProof/>
        </w:rPr>
        <w:fldChar w:fldCharType="begin"/>
      </w:r>
      <w:r w:rsidRPr="00A92246">
        <w:rPr>
          <w:noProof/>
        </w:rPr>
        <w:instrText xml:space="preserve"> PAGEREF _Toc444075026 \h </w:instrText>
      </w:r>
      <w:r w:rsidRPr="00A92246">
        <w:rPr>
          <w:noProof/>
        </w:rPr>
      </w:r>
      <w:r w:rsidRPr="00A92246">
        <w:rPr>
          <w:noProof/>
        </w:rPr>
        <w:fldChar w:fldCharType="separate"/>
      </w:r>
      <w:r w:rsidR="001F0CEE">
        <w:rPr>
          <w:noProof/>
        </w:rPr>
        <w:t>1</w:t>
      </w:r>
      <w:r w:rsidRPr="00A92246">
        <w:rPr>
          <w:noProof/>
        </w:rPr>
        <w:fldChar w:fldCharType="end"/>
      </w:r>
    </w:p>
    <w:p w:rsidR="002A42E3" w:rsidRPr="00A92246" w:rsidRDefault="002A42E3">
      <w:pPr>
        <w:pStyle w:val="TOC1"/>
        <w:rPr>
          <w:rFonts w:asciiTheme="minorHAnsi" w:eastAsiaTheme="minorEastAsia" w:hAnsiTheme="minorHAnsi" w:cstheme="minorBidi"/>
          <w:b w:val="0"/>
          <w:noProof/>
          <w:kern w:val="0"/>
          <w:sz w:val="22"/>
          <w:szCs w:val="22"/>
        </w:rPr>
      </w:pPr>
      <w:r w:rsidRPr="00A92246">
        <w:rPr>
          <w:noProof/>
        </w:rPr>
        <w:t>Schedule</w:t>
      </w:r>
      <w:r w:rsidR="00A92246" w:rsidRPr="00A92246">
        <w:rPr>
          <w:noProof/>
        </w:rPr>
        <w:t> </w:t>
      </w:r>
      <w:r w:rsidRPr="00A92246">
        <w:rPr>
          <w:noProof/>
        </w:rPr>
        <w:t>1—Non</w:t>
      </w:r>
      <w:r w:rsidR="00A92246">
        <w:rPr>
          <w:noProof/>
        </w:rPr>
        <w:noBreakHyphen/>
      </w:r>
      <w:r w:rsidRPr="00A92246">
        <w:rPr>
          <w:noProof/>
        </w:rPr>
        <w:t>warlike service</w:t>
      </w:r>
      <w:r w:rsidRPr="00A92246">
        <w:rPr>
          <w:b w:val="0"/>
          <w:noProof/>
          <w:sz w:val="18"/>
        </w:rPr>
        <w:tab/>
      </w:r>
      <w:r w:rsidRPr="00A92246">
        <w:rPr>
          <w:b w:val="0"/>
          <w:noProof/>
          <w:sz w:val="18"/>
        </w:rPr>
        <w:fldChar w:fldCharType="begin"/>
      </w:r>
      <w:r w:rsidRPr="00A92246">
        <w:rPr>
          <w:b w:val="0"/>
          <w:noProof/>
          <w:sz w:val="18"/>
        </w:rPr>
        <w:instrText xml:space="preserve"> PAGEREF _Toc444075027 \h </w:instrText>
      </w:r>
      <w:r w:rsidRPr="00A92246">
        <w:rPr>
          <w:b w:val="0"/>
          <w:noProof/>
          <w:sz w:val="18"/>
        </w:rPr>
      </w:r>
      <w:r w:rsidRPr="00A92246">
        <w:rPr>
          <w:b w:val="0"/>
          <w:noProof/>
          <w:sz w:val="18"/>
        </w:rPr>
        <w:fldChar w:fldCharType="separate"/>
      </w:r>
      <w:r w:rsidR="001F0CEE">
        <w:rPr>
          <w:b w:val="0"/>
          <w:noProof/>
          <w:sz w:val="18"/>
        </w:rPr>
        <w:t>2</w:t>
      </w:r>
      <w:r w:rsidRPr="00A92246">
        <w:rPr>
          <w:b w:val="0"/>
          <w:noProof/>
          <w:sz w:val="18"/>
        </w:rPr>
        <w:fldChar w:fldCharType="end"/>
      </w:r>
    </w:p>
    <w:p w:rsidR="002A42E3" w:rsidRPr="00A92246" w:rsidRDefault="002A42E3">
      <w:pPr>
        <w:pStyle w:val="TOC5"/>
        <w:rPr>
          <w:rFonts w:asciiTheme="minorHAnsi" w:eastAsiaTheme="minorEastAsia" w:hAnsiTheme="minorHAnsi" w:cstheme="minorBidi"/>
          <w:noProof/>
          <w:kern w:val="0"/>
          <w:sz w:val="22"/>
          <w:szCs w:val="22"/>
        </w:rPr>
      </w:pPr>
      <w:r w:rsidRPr="00A92246">
        <w:rPr>
          <w:noProof/>
        </w:rPr>
        <w:t>1</w:t>
      </w:r>
      <w:r w:rsidRPr="00A92246">
        <w:rPr>
          <w:noProof/>
        </w:rPr>
        <w:tab/>
        <w:t>Non</w:t>
      </w:r>
      <w:r w:rsidR="00A92246">
        <w:rPr>
          <w:noProof/>
        </w:rPr>
        <w:noBreakHyphen/>
      </w:r>
      <w:r w:rsidRPr="00A92246">
        <w:rPr>
          <w:noProof/>
        </w:rPr>
        <w:t>warlike service</w:t>
      </w:r>
      <w:r w:rsidRPr="00A92246">
        <w:rPr>
          <w:noProof/>
        </w:rPr>
        <w:tab/>
      </w:r>
      <w:r w:rsidRPr="00A92246">
        <w:rPr>
          <w:noProof/>
        </w:rPr>
        <w:fldChar w:fldCharType="begin"/>
      </w:r>
      <w:r w:rsidRPr="00A92246">
        <w:rPr>
          <w:noProof/>
        </w:rPr>
        <w:instrText xml:space="preserve"> PAGEREF _Toc444075028 \h </w:instrText>
      </w:r>
      <w:r w:rsidRPr="00A92246">
        <w:rPr>
          <w:noProof/>
        </w:rPr>
      </w:r>
      <w:r w:rsidRPr="00A92246">
        <w:rPr>
          <w:noProof/>
        </w:rPr>
        <w:fldChar w:fldCharType="separate"/>
      </w:r>
      <w:r w:rsidR="001F0CEE">
        <w:rPr>
          <w:noProof/>
        </w:rPr>
        <w:t>2</w:t>
      </w:r>
      <w:r w:rsidRPr="00A92246">
        <w:rPr>
          <w:noProof/>
        </w:rPr>
        <w:fldChar w:fldCharType="end"/>
      </w:r>
    </w:p>
    <w:p w:rsidR="002A42E3" w:rsidRPr="00A92246" w:rsidRDefault="002A42E3">
      <w:pPr>
        <w:pStyle w:val="TOC6"/>
        <w:rPr>
          <w:rFonts w:asciiTheme="minorHAnsi" w:eastAsiaTheme="minorEastAsia" w:hAnsiTheme="minorHAnsi" w:cstheme="minorBidi"/>
          <w:b w:val="0"/>
          <w:noProof/>
          <w:kern w:val="0"/>
          <w:sz w:val="22"/>
          <w:szCs w:val="22"/>
        </w:rPr>
      </w:pPr>
      <w:r w:rsidRPr="00A92246">
        <w:rPr>
          <w:noProof/>
        </w:rPr>
        <w:t>Schedule</w:t>
      </w:r>
      <w:r w:rsidR="00A92246" w:rsidRPr="00A92246">
        <w:rPr>
          <w:noProof/>
        </w:rPr>
        <w:t> </w:t>
      </w:r>
      <w:r w:rsidRPr="00A92246">
        <w:rPr>
          <w:noProof/>
        </w:rPr>
        <w:t>2—Repeals</w:t>
      </w:r>
      <w:r w:rsidRPr="00A92246">
        <w:rPr>
          <w:b w:val="0"/>
          <w:noProof/>
          <w:sz w:val="18"/>
        </w:rPr>
        <w:tab/>
      </w:r>
      <w:r w:rsidRPr="00A92246">
        <w:rPr>
          <w:b w:val="0"/>
          <w:noProof/>
          <w:sz w:val="18"/>
        </w:rPr>
        <w:fldChar w:fldCharType="begin"/>
      </w:r>
      <w:r w:rsidRPr="00A92246">
        <w:rPr>
          <w:b w:val="0"/>
          <w:noProof/>
          <w:sz w:val="18"/>
        </w:rPr>
        <w:instrText xml:space="preserve"> PAGEREF _Toc444075029 \h </w:instrText>
      </w:r>
      <w:r w:rsidRPr="00A92246">
        <w:rPr>
          <w:b w:val="0"/>
          <w:noProof/>
          <w:sz w:val="18"/>
        </w:rPr>
      </w:r>
      <w:r w:rsidRPr="00A92246">
        <w:rPr>
          <w:b w:val="0"/>
          <w:noProof/>
          <w:sz w:val="18"/>
        </w:rPr>
        <w:fldChar w:fldCharType="separate"/>
      </w:r>
      <w:r w:rsidR="001F0CEE">
        <w:rPr>
          <w:b w:val="0"/>
          <w:noProof/>
          <w:sz w:val="18"/>
        </w:rPr>
        <w:t>7</w:t>
      </w:r>
      <w:r w:rsidRPr="00A92246">
        <w:rPr>
          <w:b w:val="0"/>
          <w:noProof/>
          <w:sz w:val="18"/>
        </w:rPr>
        <w:fldChar w:fldCharType="end"/>
      </w:r>
    </w:p>
    <w:p w:rsidR="002A42E3" w:rsidRPr="00A92246" w:rsidRDefault="002A42E3">
      <w:pPr>
        <w:pStyle w:val="TOC9"/>
        <w:rPr>
          <w:rFonts w:asciiTheme="minorHAnsi" w:eastAsiaTheme="minorEastAsia" w:hAnsiTheme="minorHAnsi" w:cstheme="minorBidi"/>
          <w:i w:val="0"/>
          <w:noProof/>
          <w:kern w:val="0"/>
          <w:sz w:val="22"/>
          <w:szCs w:val="22"/>
        </w:rPr>
      </w:pPr>
      <w:r w:rsidRPr="00A92246">
        <w:rPr>
          <w:noProof/>
        </w:rPr>
        <w:t>Military Rehabilitation and Compensation (Non</w:t>
      </w:r>
      <w:r w:rsidR="00A92246">
        <w:rPr>
          <w:noProof/>
        </w:rPr>
        <w:noBreakHyphen/>
      </w:r>
      <w:r w:rsidRPr="00A92246">
        <w:rPr>
          <w:noProof/>
        </w:rPr>
        <w:t>warlike Service) Determination</w:t>
      </w:r>
      <w:r w:rsidR="00A92246" w:rsidRPr="00A92246">
        <w:rPr>
          <w:noProof/>
        </w:rPr>
        <w:t> </w:t>
      </w:r>
      <w:r w:rsidRPr="00A92246">
        <w:rPr>
          <w:noProof/>
        </w:rPr>
        <w:t>2015 (No.</w:t>
      </w:r>
      <w:r w:rsidR="00A92246" w:rsidRPr="00A92246">
        <w:rPr>
          <w:noProof/>
        </w:rPr>
        <w:t> </w:t>
      </w:r>
      <w:r w:rsidRPr="00A92246">
        <w:rPr>
          <w:noProof/>
        </w:rPr>
        <w:t>2)</w:t>
      </w:r>
      <w:r w:rsidRPr="00A92246">
        <w:rPr>
          <w:i w:val="0"/>
          <w:noProof/>
          <w:sz w:val="18"/>
        </w:rPr>
        <w:tab/>
      </w:r>
      <w:r w:rsidRPr="00A92246">
        <w:rPr>
          <w:i w:val="0"/>
          <w:noProof/>
          <w:sz w:val="18"/>
        </w:rPr>
        <w:fldChar w:fldCharType="begin"/>
      </w:r>
      <w:r w:rsidRPr="00A92246">
        <w:rPr>
          <w:i w:val="0"/>
          <w:noProof/>
          <w:sz w:val="18"/>
        </w:rPr>
        <w:instrText xml:space="preserve"> PAGEREF _Toc444075030 \h </w:instrText>
      </w:r>
      <w:r w:rsidRPr="00A92246">
        <w:rPr>
          <w:i w:val="0"/>
          <w:noProof/>
          <w:sz w:val="18"/>
        </w:rPr>
      </w:r>
      <w:r w:rsidRPr="00A92246">
        <w:rPr>
          <w:i w:val="0"/>
          <w:noProof/>
          <w:sz w:val="18"/>
        </w:rPr>
        <w:fldChar w:fldCharType="separate"/>
      </w:r>
      <w:r w:rsidR="001F0CEE">
        <w:rPr>
          <w:i w:val="0"/>
          <w:noProof/>
          <w:sz w:val="18"/>
        </w:rPr>
        <w:t>7</w:t>
      </w:r>
      <w:r w:rsidRPr="00A92246">
        <w:rPr>
          <w:i w:val="0"/>
          <w:noProof/>
          <w:sz w:val="18"/>
        </w:rPr>
        <w:fldChar w:fldCharType="end"/>
      </w:r>
    </w:p>
    <w:p w:rsidR="0048364F" w:rsidRPr="00A92246" w:rsidRDefault="002A42E3" w:rsidP="0048364F">
      <w:r w:rsidRPr="00A92246">
        <w:fldChar w:fldCharType="end"/>
      </w:r>
    </w:p>
    <w:p w:rsidR="0048364F" w:rsidRPr="00A92246" w:rsidRDefault="0048364F" w:rsidP="0048364F">
      <w:pPr>
        <w:sectPr w:rsidR="0048364F" w:rsidRPr="00A92246" w:rsidSect="0063645F">
          <w:headerReference w:type="even" r:id="rId15"/>
          <w:headerReference w:type="default" r:id="rId16"/>
          <w:footerReference w:type="even" r:id="rId17"/>
          <w:footerReference w:type="default" r:id="rId18"/>
          <w:headerReference w:type="first" r:id="rId19"/>
          <w:pgSz w:w="11907" w:h="16839"/>
          <w:pgMar w:top="2099" w:right="1797" w:bottom="1440" w:left="1797" w:header="720" w:footer="709" w:gutter="0"/>
          <w:pgNumType w:fmt="lowerRoman" w:start="1"/>
          <w:cols w:space="708"/>
          <w:docGrid w:linePitch="360"/>
        </w:sectPr>
      </w:pPr>
    </w:p>
    <w:p w:rsidR="0048364F" w:rsidRPr="00A92246" w:rsidRDefault="0048364F" w:rsidP="0048364F">
      <w:pPr>
        <w:pStyle w:val="ActHead5"/>
      </w:pPr>
      <w:bookmarkStart w:id="3" w:name="_Toc444075021"/>
      <w:r w:rsidRPr="00A92246">
        <w:rPr>
          <w:rStyle w:val="CharSectno"/>
        </w:rPr>
        <w:lastRenderedPageBreak/>
        <w:t>1</w:t>
      </w:r>
      <w:r w:rsidRPr="00A92246">
        <w:t xml:space="preserve">  </w:t>
      </w:r>
      <w:r w:rsidR="004F676E" w:rsidRPr="00A92246">
        <w:t>Name</w:t>
      </w:r>
      <w:bookmarkEnd w:id="3"/>
    </w:p>
    <w:p w:rsidR="0048364F" w:rsidRPr="00A92246" w:rsidRDefault="0048364F" w:rsidP="0048364F">
      <w:pPr>
        <w:pStyle w:val="subsection"/>
      </w:pPr>
      <w:r w:rsidRPr="00A92246">
        <w:tab/>
      </w:r>
      <w:r w:rsidRPr="00A92246">
        <w:tab/>
        <w:t xml:space="preserve">This </w:t>
      </w:r>
      <w:r w:rsidR="00613EAD" w:rsidRPr="00A92246">
        <w:t>is</w:t>
      </w:r>
      <w:r w:rsidRPr="00A92246">
        <w:t xml:space="preserve"> the </w:t>
      </w:r>
      <w:bookmarkStart w:id="4" w:name="BKCheck15B_3"/>
      <w:bookmarkEnd w:id="4"/>
      <w:r w:rsidR="00414ADE" w:rsidRPr="00A92246">
        <w:rPr>
          <w:i/>
        </w:rPr>
        <w:fldChar w:fldCharType="begin"/>
      </w:r>
      <w:r w:rsidR="00414ADE" w:rsidRPr="00A92246">
        <w:rPr>
          <w:i/>
        </w:rPr>
        <w:instrText xml:space="preserve"> STYLEREF  ShortT </w:instrText>
      </w:r>
      <w:r w:rsidR="00414ADE" w:rsidRPr="00A92246">
        <w:rPr>
          <w:i/>
        </w:rPr>
        <w:fldChar w:fldCharType="separate"/>
      </w:r>
      <w:r w:rsidR="001F0CEE">
        <w:rPr>
          <w:i/>
          <w:noProof/>
        </w:rPr>
        <w:t>Military Rehabilitation and Compensation (Non-warlike Service) Determination 2016 (No. 1)</w:t>
      </w:r>
      <w:r w:rsidR="00414ADE" w:rsidRPr="00A92246">
        <w:rPr>
          <w:i/>
        </w:rPr>
        <w:fldChar w:fldCharType="end"/>
      </w:r>
      <w:r w:rsidRPr="00A92246">
        <w:t>.</w:t>
      </w:r>
    </w:p>
    <w:p w:rsidR="0048364F" w:rsidRPr="00A92246" w:rsidRDefault="0048364F" w:rsidP="0048364F">
      <w:pPr>
        <w:pStyle w:val="ActHead5"/>
      </w:pPr>
      <w:bookmarkStart w:id="5" w:name="_Toc444075022"/>
      <w:r w:rsidRPr="00A92246">
        <w:rPr>
          <w:rStyle w:val="CharSectno"/>
        </w:rPr>
        <w:t>2</w:t>
      </w:r>
      <w:r w:rsidRPr="00A92246">
        <w:t xml:space="preserve">  Commencement</w:t>
      </w:r>
      <w:bookmarkEnd w:id="5"/>
    </w:p>
    <w:p w:rsidR="00755452" w:rsidRPr="00A92246" w:rsidRDefault="00755452" w:rsidP="00755452">
      <w:pPr>
        <w:pStyle w:val="subsection"/>
      </w:pPr>
      <w:r w:rsidRPr="00A92246">
        <w:tab/>
        <w:t>(1)</w:t>
      </w:r>
      <w:r w:rsidRPr="00A92246">
        <w:tab/>
        <w:t>Each provision of this instrument specified in column 1 of the table commences, or is taken to have commenced, in accordance with column 2 of the table. Any other statement in column 2 has effect according to its terms.</w:t>
      </w:r>
    </w:p>
    <w:p w:rsidR="00755452" w:rsidRPr="00A92246" w:rsidRDefault="00755452" w:rsidP="00755452">
      <w:pPr>
        <w:pStyle w:val="Tabletext"/>
      </w:pPr>
    </w:p>
    <w:tbl>
      <w:tblPr>
        <w:tblW w:w="5000" w:type="pct"/>
        <w:tblBorders>
          <w:top w:val="single" w:sz="4" w:space="0" w:color="auto"/>
          <w:bottom w:val="single" w:sz="2" w:space="0" w:color="auto"/>
          <w:insideH w:val="single" w:sz="4" w:space="0" w:color="auto"/>
        </w:tblBorders>
        <w:tblCellMar>
          <w:left w:w="107" w:type="dxa"/>
          <w:right w:w="107" w:type="dxa"/>
        </w:tblCellMar>
        <w:tblLook w:val="04A0" w:firstRow="1" w:lastRow="0" w:firstColumn="1" w:lastColumn="0" w:noHBand="0" w:noVBand="1"/>
      </w:tblPr>
      <w:tblGrid>
        <w:gridCol w:w="2169"/>
        <w:gridCol w:w="4480"/>
        <w:gridCol w:w="1878"/>
      </w:tblGrid>
      <w:tr w:rsidR="00755452" w:rsidRPr="00A92246" w:rsidTr="006D0FBB">
        <w:trPr>
          <w:tblHeader/>
        </w:trPr>
        <w:tc>
          <w:tcPr>
            <w:tcW w:w="5000" w:type="pct"/>
            <w:gridSpan w:val="3"/>
            <w:tcBorders>
              <w:top w:val="single" w:sz="12" w:space="0" w:color="auto"/>
              <w:bottom w:val="single" w:sz="2" w:space="0" w:color="auto"/>
            </w:tcBorders>
            <w:shd w:val="clear" w:color="auto" w:fill="auto"/>
            <w:hideMark/>
          </w:tcPr>
          <w:p w:rsidR="00755452" w:rsidRPr="00A92246" w:rsidRDefault="00755452" w:rsidP="00755452">
            <w:pPr>
              <w:pStyle w:val="TableHeading"/>
            </w:pPr>
            <w:r w:rsidRPr="00A92246">
              <w:t>Commencement information</w:t>
            </w:r>
          </w:p>
        </w:tc>
      </w:tr>
      <w:tr w:rsidR="00755452" w:rsidRPr="00A92246" w:rsidTr="006D0FBB">
        <w:trPr>
          <w:tblHeader/>
        </w:trPr>
        <w:tc>
          <w:tcPr>
            <w:tcW w:w="1272" w:type="pct"/>
            <w:tcBorders>
              <w:top w:val="single" w:sz="2" w:space="0" w:color="auto"/>
              <w:bottom w:val="single" w:sz="2" w:space="0" w:color="auto"/>
            </w:tcBorders>
            <w:shd w:val="clear" w:color="auto" w:fill="auto"/>
            <w:hideMark/>
          </w:tcPr>
          <w:p w:rsidR="00755452" w:rsidRPr="00A92246" w:rsidRDefault="00755452" w:rsidP="00755452">
            <w:pPr>
              <w:pStyle w:val="TableHeading"/>
            </w:pPr>
            <w:r w:rsidRPr="00A92246">
              <w:t>Column 1</w:t>
            </w:r>
          </w:p>
        </w:tc>
        <w:tc>
          <w:tcPr>
            <w:tcW w:w="2627" w:type="pct"/>
            <w:tcBorders>
              <w:top w:val="single" w:sz="2" w:space="0" w:color="auto"/>
              <w:bottom w:val="single" w:sz="2" w:space="0" w:color="auto"/>
            </w:tcBorders>
            <w:shd w:val="clear" w:color="auto" w:fill="auto"/>
            <w:hideMark/>
          </w:tcPr>
          <w:p w:rsidR="00755452" w:rsidRPr="00A92246" w:rsidRDefault="00755452" w:rsidP="00755452">
            <w:pPr>
              <w:pStyle w:val="TableHeading"/>
            </w:pPr>
            <w:r w:rsidRPr="00A92246">
              <w:t>Column 2</w:t>
            </w:r>
          </w:p>
        </w:tc>
        <w:tc>
          <w:tcPr>
            <w:tcW w:w="1101" w:type="pct"/>
            <w:tcBorders>
              <w:top w:val="single" w:sz="2" w:space="0" w:color="auto"/>
              <w:bottom w:val="single" w:sz="2" w:space="0" w:color="auto"/>
            </w:tcBorders>
            <w:shd w:val="clear" w:color="auto" w:fill="auto"/>
            <w:hideMark/>
          </w:tcPr>
          <w:p w:rsidR="00755452" w:rsidRPr="00A92246" w:rsidRDefault="00755452" w:rsidP="00755452">
            <w:pPr>
              <w:pStyle w:val="TableHeading"/>
            </w:pPr>
            <w:r w:rsidRPr="00A92246">
              <w:t>Column 3</w:t>
            </w:r>
          </w:p>
        </w:tc>
      </w:tr>
      <w:tr w:rsidR="00755452" w:rsidRPr="00A92246" w:rsidTr="006D0FBB">
        <w:trPr>
          <w:tblHeader/>
        </w:trPr>
        <w:tc>
          <w:tcPr>
            <w:tcW w:w="1272" w:type="pct"/>
            <w:tcBorders>
              <w:top w:val="single" w:sz="2" w:space="0" w:color="auto"/>
              <w:bottom w:val="single" w:sz="12" w:space="0" w:color="auto"/>
            </w:tcBorders>
            <w:shd w:val="clear" w:color="auto" w:fill="auto"/>
            <w:hideMark/>
          </w:tcPr>
          <w:p w:rsidR="00755452" w:rsidRPr="00A92246" w:rsidRDefault="00755452" w:rsidP="00755452">
            <w:pPr>
              <w:pStyle w:val="TableHeading"/>
            </w:pPr>
            <w:r w:rsidRPr="00A92246">
              <w:t>Provisions</w:t>
            </w:r>
          </w:p>
        </w:tc>
        <w:tc>
          <w:tcPr>
            <w:tcW w:w="2627" w:type="pct"/>
            <w:tcBorders>
              <w:top w:val="single" w:sz="2" w:space="0" w:color="auto"/>
              <w:bottom w:val="single" w:sz="12" w:space="0" w:color="auto"/>
            </w:tcBorders>
            <w:shd w:val="clear" w:color="auto" w:fill="auto"/>
            <w:hideMark/>
          </w:tcPr>
          <w:p w:rsidR="00755452" w:rsidRPr="00A92246" w:rsidRDefault="00755452" w:rsidP="00755452">
            <w:pPr>
              <w:pStyle w:val="TableHeading"/>
            </w:pPr>
            <w:r w:rsidRPr="00A92246">
              <w:t>Commencement</w:t>
            </w:r>
          </w:p>
        </w:tc>
        <w:tc>
          <w:tcPr>
            <w:tcW w:w="1101" w:type="pct"/>
            <w:tcBorders>
              <w:top w:val="single" w:sz="2" w:space="0" w:color="auto"/>
              <w:bottom w:val="single" w:sz="12" w:space="0" w:color="auto"/>
            </w:tcBorders>
            <w:shd w:val="clear" w:color="auto" w:fill="auto"/>
            <w:hideMark/>
          </w:tcPr>
          <w:p w:rsidR="00755452" w:rsidRPr="00A92246" w:rsidRDefault="00755452" w:rsidP="00755452">
            <w:pPr>
              <w:pStyle w:val="TableHeading"/>
            </w:pPr>
            <w:r w:rsidRPr="00A92246">
              <w:t>Date/Details</w:t>
            </w:r>
          </w:p>
        </w:tc>
      </w:tr>
      <w:tr w:rsidR="00755452" w:rsidRPr="00A92246" w:rsidTr="006D0FBB">
        <w:tc>
          <w:tcPr>
            <w:tcW w:w="1272" w:type="pct"/>
            <w:tcBorders>
              <w:top w:val="single" w:sz="12" w:space="0" w:color="auto"/>
              <w:bottom w:val="single" w:sz="12" w:space="0" w:color="auto"/>
            </w:tcBorders>
            <w:shd w:val="clear" w:color="auto" w:fill="auto"/>
            <w:hideMark/>
          </w:tcPr>
          <w:p w:rsidR="00755452" w:rsidRPr="00A92246" w:rsidRDefault="00755452" w:rsidP="00755452">
            <w:pPr>
              <w:pStyle w:val="Tabletext"/>
            </w:pPr>
            <w:r w:rsidRPr="00A92246">
              <w:t>1.  The whole of this instrument</w:t>
            </w:r>
          </w:p>
        </w:tc>
        <w:tc>
          <w:tcPr>
            <w:tcW w:w="2627" w:type="pct"/>
            <w:tcBorders>
              <w:top w:val="single" w:sz="12" w:space="0" w:color="auto"/>
              <w:bottom w:val="single" w:sz="12" w:space="0" w:color="auto"/>
            </w:tcBorders>
            <w:shd w:val="clear" w:color="auto" w:fill="auto"/>
            <w:hideMark/>
          </w:tcPr>
          <w:p w:rsidR="00755452" w:rsidRPr="00A92246" w:rsidRDefault="00626D4A" w:rsidP="00755452">
            <w:pPr>
              <w:pStyle w:val="Tabletext"/>
            </w:pPr>
            <w:r w:rsidRPr="00A92246">
              <w:t>The day after this instrument is registered.</w:t>
            </w:r>
          </w:p>
        </w:tc>
        <w:tc>
          <w:tcPr>
            <w:tcW w:w="1101" w:type="pct"/>
            <w:tcBorders>
              <w:top w:val="single" w:sz="12" w:space="0" w:color="auto"/>
              <w:bottom w:val="single" w:sz="12" w:space="0" w:color="auto"/>
            </w:tcBorders>
            <w:shd w:val="clear" w:color="auto" w:fill="auto"/>
          </w:tcPr>
          <w:p w:rsidR="00755452" w:rsidRPr="00A92246" w:rsidRDefault="00755452" w:rsidP="00755452">
            <w:pPr>
              <w:pStyle w:val="Tabletext"/>
            </w:pPr>
          </w:p>
        </w:tc>
      </w:tr>
    </w:tbl>
    <w:p w:rsidR="00755452" w:rsidRPr="00A92246" w:rsidRDefault="00755452" w:rsidP="00755452">
      <w:pPr>
        <w:pStyle w:val="notetext"/>
      </w:pPr>
      <w:r w:rsidRPr="00A92246">
        <w:rPr>
          <w:snapToGrid w:val="0"/>
          <w:lang w:eastAsia="en-US"/>
        </w:rPr>
        <w:t>Note:</w:t>
      </w:r>
      <w:r w:rsidRPr="00A92246">
        <w:rPr>
          <w:snapToGrid w:val="0"/>
          <w:lang w:eastAsia="en-US"/>
        </w:rPr>
        <w:tab/>
        <w:t xml:space="preserve">This table relates only to the provisions of this </w:t>
      </w:r>
      <w:r w:rsidRPr="00A92246">
        <w:t xml:space="preserve">instrument </w:t>
      </w:r>
      <w:r w:rsidRPr="00A92246">
        <w:rPr>
          <w:snapToGrid w:val="0"/>
          <w:lang w:eastAsia="en-US"/>
        </w:rPr>
        <w:t xml:space="preserve">as originally made. It will not be amended to deal with any later amendments of this </w:t>
      </w:r>
      <w:r w:rsidRPr="00A92246">
        <w:t>instrument</w:t>
      </w:r>
      <w:r w:rsidRPr="00A92246">
        <w:rPr>
          <w:snapToGrid w:val="0"/>
          <w:lang w:eastAsia="en-US"/>
        </w:rPr>
        <w:t>.</w:t>
      </w:r>
    </w:p>
    <w:p w:rsidR="00755452" w:rsidRPr="00A92246" w:rsidRDefault="00755452" w:rsidP="00755452">
      <w:pPr>
        <w:pStyle w:val="subsection"/>
      </w:pPr>
      <w:r w:rsidRPr="00A92246">
        <w:tab/>
        <w:t>(2)</w:t>
      </w:r>
      <w:r w:rsidRPr="00A92246">
        <w:tab/>
        <w:t>Any information in column 3 of the table is not part of this instrument. Information may be inserted in this column, or information in it may be edited, in any published version of this instrument.</w:t>
      </w:r>
    </w:p>
    <w:p w:rsidR="00755452" w:rsidRPr="00A92246" w:rsidRDefault="00755452" w:rsidP="00755452">
      <w:pPr>
        <w:pStyle w:val="ActHead5"/>
      </w:pPr>
      <w:bookmarkStart w:id="6" w:name="_Toc444075023"/>
      <w:r w:rsidRPr="00A92246">
        <w:rPr>
          <w:rStyle w:val="CharSectno"/>
        </w:rPr>
        <w:t>3</w:t>
      </w:r>
      <w:r w:rsidRPr="00A92246">
        <w:t xml:space="preserve">  Authority</w:t>
      </w:r>
      <w:bookmarkEnd w:id="6"/>
    </w:p>
    <w:p w:rsidR="00755452" w:rsidRPr="00A92246" w:rsidRDefault="00755452" w:rsidP="00755452">
      <w:pPr>
        <w:pStyle w:val="subsection"/>
      </w:pPr>
      <w:r w:rsidRPr="00A92246">
        <w:tab/>
      </w:r>
      <w:r w:rsidRPr="00A92246">
        <w:tab/>
        <w:t>This instrument is made under paragraph</w:t>
      </w:r>
      <w:r w:rsidR="00A92246" w:rsidRPr="00A92246">
        <w:t> </w:t>
      </w:r>
      <w:r w:rsidRPr="00A92246">
        <w:t xml:space="preserve">6(1)(b) of the </w:t>
      </w:r>
      <w:r w:rsidRPr="00A92246">
        <w:rPr>
          <w:i/>
        </w:rPr>
        <w:t>Military Rehabilitation and Compensation Act 2004</w:t>
      </w:r>
      <w:r w:rsidRPr="00A92246">
        <w:t>.</w:t>
      </w:r>
    </w:p>
    <w:p w:rsidR="00755452" w:rsidRPr="00A92246" w:rsidRDefault="00755452" w:rsidP="00755452">
      <w:pPr>
        <w:pStyle w:val="ActHead5"/>
      </w:pPr>
      <w:bookmarkStart w:id="7" w:name="_Toc444075024"/>
      <w:r w:rsidRPr="00A92246">
        <w:rPr>
          <w:rStyle w:val="CharSectno"/>
        </w:rPr>
        <w:t>4</w:t>
      </w:r>
      <w:r w:rsidRPr="00A92246">
        <w:t xml:space="preserve">  Schedules</w:t>
      </w:r>
      <w:bookmarkEnd w:id="7"/>
    </w:p>
    <w:p w:rsidR="00755452" w:rsidRPr="00A92246" w:rsidRDefault="00755452" w:rsidP="00755452">
      <w:pPr>
        <w:pStyle w:val="subsection"/>
      </w:pPr>
      <w:r w:rsidRPr="00A92246">
        <w:tab/>
      </w:r>
      <w:r w:rsidRPr="00A92246">
        <w:tab/>
        <w:t>Each instrument that is specified in a Schedule to this instrument is amended or repealed as set out in the applicable items in the Schedule concerned, and any other item in a Schedule to this instrument has effect according to its terms.</w:t>
      </w:r>
    </w:p>
    <w:p w:rsidR="00755452" w:rsidRPr="00A92246" w:rsidRDefault="00755452" w:rsidP="00755452">
      <w:pPr>
        <w:pStyle w:val="ActHead5"/>
      </w:pPr>
      <w:bookmarkStart w:id="8" w:name="_Toc444075025"/>
      <w:r w:rsidRPr="00A92246">
        <w:rPr>
          <w:rStyle w:val="CharSectno"/>
        </w:rPr>
        <w:t>5</w:t>
      </w:r>
      <w:r w:rsidRPr="00A92246">
        <w:t xml:space="preserve">  Definitions</w:t>
      </w:r>
      <w:bookmarkEnd w:id="8"/>
    </w:p>
    <w:p w:rsidR="00755452" w:rsidRPr="00A92246" w:rsidRDefault="00755452" w:rsidP="00755452">
      <w:pPr>
        <w:pStyle w:val="subsection"/>
      </w:pPr>
      <w:r w:rsidRPr="00A92246">
        <w:tab/>
      </w:r>
      <w:r w:rsidRPr="00A92246">
        <w:tab/>
        <w:t>In this instrument:</w:t>
      </w:r>
    </w:p>
    <w:p w:rsidR="00755452" w:rsidRPr="00A92246" w:rsidRDefault="00755452" w:rsidP="00755452">
      <w:pPr>
        <w:pStyle w:val="Definition"/>
      </w:pPr>
      <w:r w:rsidRPr="00A92246">
        <w:rPr>
          <w:b/>
          <w:i/>
        </w:rPr>
        <w:t>Act</w:t>
      </w:r>
      <w:r w:rsidRPr="00A92246">
        <w:t xml:space="preserve"> means the </w:t>
      </w:r>
      <w:r w:rsidRPr="00A92246">
        <w:rPr>
          <w:i/>
        </w:rPr>
        <w:t>Military Rehabilitation and Compensation Act 2004</w:t>
      </w:r>
      <w:r w:rsidRPr="00A92246">
        <w:t>.</w:t>
      </w:r>
    </w:p>
    <w:p w:rsidR="00755452" w:rsidRPr="00A92246" w:rsidRDefault="00755452" w:rsidP="00755452">
      <w:pPr>
        <w:pStyle w:val="Definition"/>
      </w:pPr>
      <w:proofErr w:type="spellStart"/>
      <w:r w:rsidRPr="00A92246">
        <w:rPr>
          <w:b/>
          <w:i/>
        </w:rPr>
        <w:t>ADF</w:t>
      </w:r>
      <w:proofErr w:type="spellEnd"/>
      <w:r w:rsidRPr="00A92246">
        <w:t xml:space="preserve"> means the Australian Defence Force.</w:t>
      </w:r>
    </w:p>
    <w:p w:rsidR="00755452" w:rsidRPr="00A92246" w:rsidRDefault="00755452" w:rsidP="00755452">
      <w:pPr>
        <w:pStyle w:val="Definition"/>
      </w:pPr>
      <w:r w:rsidRPr="00A92246">
        <w:rPr>
          <w:b/>
          <w:i/>
        </w:rPr>
        <w:t>NATO</w:t>
      </w:r>
      <w:r w:rsidRPr="00A92246">
        <w:t xml:space="preserve"> means the North Atlantic Treaty Organization.</w:t>
      </w:r>
    </w:p>
    <w:p w:rsidR="00755452" w:rsidRPr="00A92246" w:rsidRDefault="00755452" w:rsidP="00755452">
      <w:pPr>
        <w:pStyle w:val="ActHead5"/>
      </w:pPr>
      <w:bookmarkStart w:id="9" w:name="_Toc444075026"/>
      <w:r w:rsidRPr="00A92246">
        <w:rPr>
          <w:rStyle w:val="CharSectno"/>
        </w:rPr>
        <w:t>6</w:t>
      </w:r>
      <w:r w:rsidRPr="00A92246">
        <w:t xml:space="preserve">  Non</w:t>
      </w:r>
      <w:r w:rsidR="00A92246">
        <w:noBreakHyphen/>
      </w:r>
      <w:r w:rsidRPr="00A92246">
        <w:t>warlike service</w:t>
      </w:r>
      <w:bookmarkEnd w:id="9"/>
    </w:p>
    <w:p w:rsidR="00045C17" w:rsidRPr="00A92246" w:rsidRDefault="00755452" w:rsidP="001625FE">
      <w:pPr>
        <w:pStyle w:val="subsection"/>
      </w:pPr>
      <w:r w:rsidRPr="00A92246">
        <w:tab/>
      </w:r>
      <w:r w:rsidRPr="00A92246">
        <w:tab/>
        <w:t>Schedule</w:t>
      </w:r>
      <w:r w:rsidR="00A92246" w:rsidRPr="00A92246">
        <w:t> </w:t>
      </w:r>
      <w:r w:rsidRPr="00A92246">
        <w:t>1 specifies service that is non</w:t>
      </w:r>
      <w:r w:rsidR="00A92246">
        <w:noBreakHyphen/>
      </w:r>
      <w:r w:rsidRPr="00A92246">
        <w:t>warlike service for the purposes of the Act.</w:t>
      </w:r>
    </w:p>
    <w:p w:rsidR="00045C17" w:rsidRPr="00A92246" w:rsidRDefault="00045C17">
      <w:pPr>
        <w:sectPr w:rsidR="00045C17" w:rsidRPr="00A92246" w:rsidSect="0063645F">
          <w:headerReference w:type="even" r:id="rId20"/>
          <w:headerReference w:type="default" r:id="rId21"/>
          <w:footerReference w:type="even" r:id="rId22"/>
          <w:footerReference w:type="default" r:id="rId23"/>
          <w:footerReference w:type="first" r:id="rId24"/>
          <w:pgSz w:w="11907" w:h="16839" w:code="9"/>
          <w:pgMar w:top="2233" w:right="1797" w:bottom="1440" w:left="1797" w:header="720" w:footer="709" w:gutter="0"/>
          <w:pgNumType w:start="1"/>
          <w:cols w:space="720"/>
          <w:docGrid w:linePitch="299"/>
        </w:sectPr>
      </w:pPr>
    </w:p>
    <w:p w:rsidR="00045C17" w:rsidRPr="00A92246" w:rsidRDefault="00045C17" w:rsidP="00045C17">
      <w:pPr>
        <w:pStyle w:val="ActHead1"/>
      </w:pPr>
      <w:bookmarkStart w:id="10" w:name="_Toc444075027"/>
      <w:r w:rsidRPr="00A92246">
        <w:rPr>
          <w:rStyle w:val="CharChapNo"/>
        </w:rPr>
        <w:lastRenderedPageBreak/>
        <w:t>Schedule</w:t>
      </w:r>
      <w:r w:rsidR="00A92246" w:rsidRPr="00A92246">
        <w:rPr>
          <w:rStyle w:val="CharChapNo"/>
        </w:rPr>
        <w:t> </w:t>
      </w:r>
      <w:r w:rsidRPr="00A92246">
        <w:rPr>
          <w:rStyle w:val="CharChapNo"/>
        </w:rPr>
        <w:t>1</w:t>
      </w:r>
      <w:r w:rsidRPr="00A92246">
        <w:t>—</w:t>
      </w:r>
      <w:r w:rsidRPr="00A92246">
        <w:rPr>
          <w:rStyle w:val="CharChapText"/>
        </w:rPr>
        <w:t>Non</w:t>
      </w:r>
      <w:r w:rsidR="00A92246" w:rsidRPr="00A92246">
        <w:rPr>
          <w:rStyle w:val="CharChapText"/>
        </w:rPr>
        <w:noBreakHyphen/>
      </w:r>
      <w:r w:rsidRPr="00A92246">
        <w:rPr>
          <w:rStyle w:val="CharChapText"/>
        </w:rPr>
        <w:t>warlike service</w:t>
      </w:r>
      <w:bookmarkEnd w:id="10"/>
    </w:p>
    <w:p w:rsidR="00045C17" w:rsidRPr="00A92246" w:rsidRDefault="00045C17" w:rsidP="00045C17">
      <w:pPr>
        <w:pStyle w:val="notemargin"/>
      </w:pPr>
      <w:r w:rsidRPr="00A92246">
        <w:t>Note:</w:t>
      </w:r>
      <w:r w:rsidRPr="00A92246">
        <w:tab/>
        <w:t>See section</w:t>
      </w:r>
      <w:r w:rsidR="00A92246" w:rsidRPr="00A92246">
        <w:t> </w:t>
      </w:r>
      <w:r w:rsidRPr="00A92246">
        <w:t>6.</w:t>
      </w:r>
    </w:p>
    <w:p w:rsidR="00045C17" w:rsidRPr="00A92246" w:rsidRDefault="00045C17" w:rsidP="00045C17">
      <w:pPr>
        <w:pStyle w:val="Header"/>
      </w:pPr>
      <w:bookmarkStart w:id="11" w:name="f_Check_Lines_below"/>
      <w:bookmarkEnd w:id="11"/>
      <w:r w:rsidRPr="00A92246">
        <w:rPr>
          <w:rStyle w:val="CharPartNo"/>
        </w:rPr>
        <w:t xml:space="preserve"> </w:t>
      </w:r>
      <w:r w:rsidRPr="00A92246">
        <w:rPr>
          <w:rStyle w:val="CharPartText"/>
        </w:rPr>
        <w:t xml:space="preserve"> </w:t>
      </w:r>
    </w:p>
    <w:p w:rsidR="00045C17" w:rsidRPr="00A92246" w:rsidRDefault="00045C17" w:rsidP="00045C17">
      <w:pPr>
        <w:pStyle w:val="Header"/>
      </w:pPr>
      <w:r w:rsidRPr="00A92246">
        <w:rPr>
          <w:rStyle w:val="CharDivNo"/>
        </w:rPr>
        <w:t xml:space="preserve"> </w:t>
      </w:r>
      <w:r w:rsidRPr="00A92246">
        <w:rPr>
          <w:rStyle w:val="CharDivText"/>
        </w:rPr>
        <w:t xml:space="preserve"> </w:t>
      </w:r>
    </w:p>
    <w:p w:rsidR="00045C17" w:rsidRPr="00A92246" w:rsidRDefault="00045C17" w:rsidP="00045C17">
      <w:pPr>
        <w:pStyle w:val="ActHead5"/>
      </w:pPr>
      <w:bookmarkStart w:id="12" w:name="_Toc444075028"/>
      <w:r w:rsidRPr="00A92246">
        <w:rPr>
          <w:rStyle w:val="CharSectno"/>
        </w:rPr>
        <w:t>1</w:t>
      </w:r>
      <w:r w:rsidRPr="00A92246">
        <w:t xml:space="preserve">  Non</w:t>
      </w:r>
      <w:r w:rsidR="00A92246">
        <w:noBreakHyphen/>
      </w:r>
      <w:r w:rsidRPr="00A92246">
        <w:t>warlike service</w:t>
      </w:r>
      <w:bookmarkEnd w:id="12"/>
    </w:p>
    <w:p w:rsidR="00045C17" w:rsidRPr="00A92246" w:rsidRDefault="00045C17" w:rsidP="00045C17">
      <w:pPr>
        <w:pStyle w:val="subsection"/>
      </w:pPr>
      <w:r w:rsidRPr="00A92246">
        <w:tab/>
      </w:r>
      <w:r w:rsidRPr="00A92246">
        <w:tab/>
        <w:t>For paragraph</w:t>
      </w:r>
      <w:r w:rsidR="00A92246" w:rsidRPr="00A92246">
        <w:t> </w:t>
      </w:r>
      <w:r w:rsidRPr="00A92246">
        <w:t>6(1)(b) of the Act, service in an operation mentioned in an item of the following table is non</w:t>
      </w:r>
      <w:r w:rsidR="00A92246">
        <w:noBreakHyphen/>
      </w:r>
      <w:r w:rsidRPr="00A92246">
        <w:t>warlike service for the purposes of the Act if the service:</w:t>
      </w:r>
    </w:p>
    <w:p w:rsidR="00045C17" w:rsidRPr="00A92246" w:rsidRDefault="00045C17" w:rsidP="00045C17">
      <w:pPr>
        <w:pStyle w:val="paragraph"/>
      </w:pPr>
      <w:r w:rsidRPr="00A92246">
        <w:tab/>
        <w:t>(a)</w:t>
      </w:r>
      <w:r w:rsidRPr="00A92246">
        <w:tab/>
        <w:t>is in an area of operation mentioned in the item; and</w:t>
      </w:r>
    </w:p>
    <w:p w:rsidR="00045C17" w:rsidRPr="00A92246" w:rsidRDefault="00045C17" w:rsidP="00045C17">
      <w:pPr>
        <w:pStyle w:val="paragraph"/>
      </w:pPr>
      <w:r w:rsidRPr="00A92246">
        <w:tab/>
        <w:t>(b)</w:t>
      </w:r>
      <w:r w:rsidRPr="00A92246">
        <w:tab/>
        <w:t>occurs during a period mentioned in the item.</w:t>
      </w:r>
    </w:p>
    <w:p w:rsidR="00045C17" w:rsidRPr="00A92246" w:rsidRDefault="00045C17" w:rsidP="00045C17">
      <w:pPr>
        <w:pStyle w:val="Tabletext"/>
      </w:pPr>
    </w:p>
    <w:tbl>
      <w:tblPr>
        <w:tblW w:w="5000" w:type="pct"/>
        <w:tblBorders>
          <w:top w:val="single" w:sz="4" w:space="0" w:color="auto"/>
          <w:bottom w:val="single" w:sz="2" w:space="0" w:color="auto"/>
          <w:insideH w:val="single" w:sz="2" w:space="0" w:color="auto"/>
        </w:tblBorders>
        <w:tblLook w:val="0000" w:firstRow="0" w:lastRow="0" w:firstColumn="0" w:lastColumn="0" w:noHBand="0" w:noVBand="0"/>
      </w:tblPr>
      <w:tblGrid>
        <w:gridCol w:w="731"/>
        <w:gridCol w:w="1880"/>
        <w:gridCol w:w="2035"/>
        <w:gridCol w:w="2327"/>
        <w:gridCol w:w="1556"/>
      </w:tblGrid>
      <w:tr w:rsidR="00045C17" w:rsidRPr="00A92246" w:rsidTr="00D10F3C">
        <w:trPr>
          <w:tblHeader/>
        </w:trPr>
        <w:tc>
          <w:tcPr>
            <w:tcW w:w="5000" w:type="pct"/>
            <w:gridSpan w:val="5"/>
            <w:tcBorders>
              <w:top w:val="single" w:sz="12" w:space="0" w:color="auto"/>
              <w:bottom w:val="single" w:sz="6" w:space="0" w:color="auto"/>
            </w:tcBorders>
            <w:shd w:val="clear" w:color="auto" w:fill="auto"/>
          </w:tcPr>
          <w:p w:rsidR="00045C17" w:rsidRPr="00A92246" w:rsidRDefault="00045C17" w:rsidP="00D10F3C">
            <w:pPr>
              <w:pStyle w:val="TableHeading"/>
            </w:pPr>
            <w:r w:rsidRPr="00A92246">
              <w:t>Non</w:t>
            </w:r>
            <w:r w:rsidR="00A92246">
              <w:noBreakHyphen/>
            </w:r>
            <w:r w:rsidRPr="00A92246">
              <w:t>warlike service</w:t>
            </w:r>
          </w:p>
        </w:tc>
      </w:tr>
      <w:tr w:rsidR="00045C17" w:rsidRPr="00A92246" w:rsidTr="00D10F3C">
        <w:trPr>
          <w:tblHeader/>
        </w:trPr>
        <w:tc>
          <w:tcPr>
            <w:tcW w:w="429" w:type="pct"/>
            <w:tcBorders>
              <w:top w:val="single" w:sz="6" w:space="0" w:color="auto"/>
              <w:bottom w:val="single" w:sz="12" w:space="0" w:color="auto"/>
            </w:tcBorders>
            <w:shd w:val="clear" w:color="auto" w:fill="auto"/>
          </w:tcPr>
          <w:p w:rsidR="00045C17" w:rsidRPr="00A92246" w:rsidRDefault="00045C17" w:rsidP="00D10F3C">
            <w:pPr>
              <w:pStyle w:val="TableHeading"/>
            </w:pPr>
            <w:r w:rsidRPr="00A92246">
              <w:t>Item</w:t>
            </w:r>
          </w:p>
        </w:tc>
        <w:tc>
          <w:tcPr>
            <w:tcW w:w="1102" w:type="pct"/>
            <w:tcBorders>
              <w:top w:val="single" w:sz="6" w:space="0" w:color="auto"/>
              <w:bottom w:val="single" w:sz="12" w:space="0" w:color="auto"/>
            </w:tcBorders>
            <w:shd w:val="clear" w:color="auto" w:fill="auto"/>
          </w:tcPr>
          <w:p w:rsidR="00045C17" w:rsidRPr="00A92246" w:rsidRDefault="00045C17" w:rsidP="00D10F3C">
            <w:pPr>
              <w:pStyle w:val="TableHeading"/>
            </w:pPr>
            <w:r w:rsidRPr="00A92246">
              <w:t>Name of operation</w:t>
            </w:r>
          </w:p>
        </w:tc>
        <w:tc>
          <w:tcPr>
            <w:tcW w:w="1193" w:type="pct"/>
            <w:tcBorders>
              <w:top w:val="single" w:sz="6" w:space="0" w:color="auto"/>
              <w:bottom w:val="single" w:sz="12" w:space="0" w:color="auto"/>
            </w:tcBorders>
            <w:shd w:val="clear" w:color="auto" w:fill="auto"/>
          </w:tcPr>
          <w:p w:rsidR="00045C17" w:rsidRPr="00A92246" w:rsidRDefault="00045C17" w:rsidP="00D10F3C">
            <w:pPr>
              <w:pStyle w:val="TableHeading"/>
            </w:pPr>
            <w:r w:rsidRPr="00A92246">
              <w:t>Nature of operation</w:t>
            </w:r>
          </w:p>
        </w:tc>
        <w:tc>
          <w:tcPr>
            <w:tcW w:w="1364" w:type="pct"/>
            <w:tcBorders>
              <w:top w:val="single" w:sz="6" w:space="0" w:color="auto"/>
              <w:bottom w:val="single" w:sz="12" w:space="0" w:color="auto"/>
            </w:tcBorders>
            <w:shd w:val="clear" w:color="auto" w:fill="auto"/>
          </w:tcPr>
          <w:p w:rsidR="00045C17" w:rsidRPr="00A92246" w:rsidRDefault="00045C17" w:rsidP="00D10F3C">
            <w:pPr>
              <w:pStyle w:val="TableHeading"/>
            </w:pPr>
            <w:r w:rsidRPr="00A92246">
              <w:t>Area of operation</w:t>
            </w:r>
          </w:p>
        </w:tc>
        <w:tc>
          <w:tcPr>
            <w:tcW w:w="912" w:type="pct"/>
            <w:tcBorders>
              <w:top w:val="single" w:sz="6" w:space="0" w:color="auto"/>
              <w:bottom w:val="single" w:sz="12" w:space="0" w:color="auto"/>
            </w:tcBorders>
            <w:shd w:val="clear" w:color="auto" w:fill="auto"/>
          </w:tcPr>
          <w:p w:rsidR="00045C17" w:rsidRPr="00A92246" w:rsidRDefault="00045C17" w:rsidP="00D10F3C">
            <w:pPr>
              <w:pStyle w:val="TableHeading"/>
            </w:pPr>
            <w:r w:rsidRPr="00A92246">
              <w:t>Period</w:t>
            </w:r>
          </w:p>
        </w:tc>
      </w:tr>
      <w:tr w:rsidR="00045C17" w:rsidRPr="00A92246" w:rsidTr="00D10F3C">
        <w:tc>
          <w:tcPr>
            <w:tcW w:w="429" w:type="pct"/>
            <w:tcBorders>
              <w:top w:val="single" w:sz="12" w:space="0" w:color="auto"/>
            </w:tcBorders>
            <w:shd w:val="clear" w:color="auto" w:fill="auto"/>
          </w:tcPr>
          <w:p w:rsidR="00045C17" w:rsidRPr="00A92246" w:rsidRDefault="00045C17" w:rsidP="00D10F3C">
            <w:pPr>
              <w:pStyle w:val="Tabletext"/>
            </w:pPr>
            <w:r w:rsidRPr="00A92246">
              <w:t>1</w:t>
            </w:r>
          </w:p>
        </w:tc>
        <w:tc>
          <w:tcPr>
            <w:tcW w:w="1102" w:type="pct"/>
            <w:tcBorders>
              <w:top w:val="single" w:sz="12" w:space="0" w:color="auto"/>
            </w:tcBorders>
            <w:shd w:val="clear" w:color="auto" w:fill="auto"/>
          </w:tcPr>
          <w:p w:rsidR="00045C17" w:rsidRPr="00A92246" w:rsidRDefault="00045C17" w:rsidP="00D10F3C">
            <w:pPr>
              <w:pStyle w:val="Tabletext"/>
            </w:pPr>
            <w:r w:rsidRPr="00A92246">
              <w:t>Mazurka</w:t>
            </w:r>
          </w:p>
        </w:tc>
        <w:tc>
          <w:tcPr>
            <w:tcW w:w="1193" w:type="pct"/>
            <w:tcBorders>
              <w:top w:val="single" w:sz="12" w:space="0" w:color="auto"/>
            </w:tcBorders>
            <w:shd w:val="clear" w:color="auto" w:fill="auto"/>
          </w:tcPr>
          <w:p w:rsidR="00045C17" w:rsidRPr="00A92246" w:rsidRDefault="00045C17" w:rsidP="00D10F3C">
            <w:pPr>
              <w:pStyle w:val="Tabletext"/>
            </w:pPr>
            <w:r w:rsidRPr="00A92246">
              <w:t>Multi</w:t>
            </w:r>
            <w:r w:rsidR="00A92246">
              <w:noBreakHyphen/>
            </w:r>
            <w:r w:rsidRPr="00A92246">
              <w:t>national Force and Observers—Sinai</w:t>
            </w:r>
          </w:p>
        </w:tc>
        <w:tc>
          <w:tcPr>
            <w:tcW w:w="1364" w:type="pct"/>
            <w:tcBorders>
              <w:top w:val="single" w:sz="12" w:space="0" w:color="auto"/>
            </w:tcBorders>
            <w:shd w:val="clear" w:color="auto" w:fill="auto"/>
          </w:tcPr>
          <w:p w:rsidR="00045C17" w:rsidRPr="00A92246" w:rsidRDefault="00045C17" w:rsidP="00D10F3C">
            <w:pPr>
              <w:pStyle w:val="Tabletext"/>
            </w:pPr>
            <w:r w:rsidRPr="00A92246">
              <w:t>Egypt, between the east bank of the Suez Canal and the international boundary between Egypt and Israel established by the peace treaty between Egypt and Israel signed in Washington on 26</w:t>
            </w:r>
            <w:r w:rsidR="00A92246" w:rsidRPr="00A92246">
              <w:t> </w:t>
            </w:r>
            <w:r w:rsidRPr="00A92246">
              <w:t>March 1979, and an adjoining area extending 5 kilometres into Israel</w:t>
            </w:r>
          </w:p>
        </w:tc>
        <w:tc>
          <w:tcPr>
            <w:tcW w:w="912" w:type="pct"/>
            <w:tcBorders>
              <w:top w:val="single" w:sz="12" w:space="0" w:color="auto"/>
            </w:tcBorders>
            <w:shd w:val="clear" w:color="auto" w:fill="auto"/>
          </w:tcPr>
          <w:p w:rsidR="00045C17" w:rsidRPr="00A92246" w:rsidRDefault="00045C17" w:rsidP="00D10F3C">
            <w:pPr>
              <w:pStyle w:val="Tabletext"/>
            </w:pPr>
            <w:r w:rsidRPr="00A92246">
              <w:t>On and after 28</w:t>
            </w:r>
            <w:r w:rsidR="00A92246" w:rsidRPr="00A92246">
              <w:t> </w:t>
            </w:r>
            <w:r w:rsidRPr="00A92246">
              <w:t>January 1993</w:t>
            </w:r>
          </w:p>
        </w:tc>
      </w:tr>
      <w:tr w:rsidR="00045C17" w:rsidRPr="00A92246" w:rsidTr="00D10F3C">
        <w:tc>
          <w:tcPr>
            <w:tcW w:w="429" w:type="pct"/>
            <w:shd w:val="clear" w:color="auto" w:fill="auto"/>
          </w:tcPr>
          <w:p w:rsidR="00045C17" w:rsidRPr="00A92246" w:rsidRDefault="00045C17" w:rsidP="00D10F3C">
            <w:pPr>
              <w:pStyle w:val="Tabletext"/>
            </w:pPr>
            <w:r w:rsidRPr="00A92246">
              <w:t>2</w:t>
            </w:r>
          </w:p>
        </w:tc>
        <w:tc>
          <w:tcPr>
            <w:tcW w:w="1102" w:type="pct"/>
            <w:shd w:val="clear" w:color="auto" w:fill="auto"/>
          </w:tcPr>
          <w:p w:rsidR="00045C17" w:rsidRPr="00A92246" w:rsidRDefault="00045C17" w:rsidP="00D10F3C">
            <w:pPr>
              <w:pStyle w:val="Tabletext"/>
            </w:pPr>
            <w:r w:rsidRPr="00A92246">
              <w:t>Osier</w:t>
            </w:r>
          </w:p>
        </w:tc>
        <w:tc>
          <w:tcPr>
            <w:tcW w:w="1193" w:type="pct"/>
            <w:shd w:val="clear" w:color="auto" w:fill="auto"/>
          </w:tcPr>
          <w:p w:rsidR="00045C17" w:rsidRPr="00A92246" w:rsidRDefault="00045C17" w:rsidP="00D10F3C">
            <w:pPr>
              <w:pStyle w:val="Tabletext"/>
            </w:pPr>
            <w:r w:rsidRPr="00A92246">
              <w:t>NATO Stabilisation Force</w:t>
            </w:r>
          </w:p>
        </w:tc>
        <w:tc>
          <w:tcPr>
            <w:tcW w:w="1364" w:type="pct"/>
            <w:shd w:val="clear" w:color="auto" w:fill="auto"/>
          </w:tcPr>
          <w:p w:rsidR="00045C17" w:rsidRPr="00A92246" w:rsidRDefault="00045C17" w:rsidP="00D10F3C">
            <w:pPr>
              <w:pStyle w:val="Tabletext"/>
            </w:pPr>
            <w:r w:rsidRPr="00A92246">
              <w:t>The Former Yugoslav Republic of Macedonia, Bosnia</w:t>
            </w:r>
            <w:r w:rsidR="00A92246">
              <w:noBreakHyphen/>
            </w:r>
            <w:r w:rsidRPr="00A92246">
              <w:t>Herzegovina, Croatia, Slovenia, Serbia and Montenegro</w:t>
            </w:r>
          </w:p>
        </w:tc>
        <w:tc>
          <w:tcPr>
            <w:tcW w:w="912" w:type="pct"/>
            <w:shd w:val="clear" w:color="auto" w:fill="auto"/>
          </w:tcPr>
          <w:p w:rsidR="00045C17" w:rsidRPr="00A92246" w:rsidRDefault="00045C17" w:rsidP="00D10F3C">
            <w:pPr>
              <w:pStyle w:val="Tabletext"/>
            </w:pPr>
            <w:r w:rsidRPr="00A92246">
              <w:t>On and after 24</w:t>
            </w:r>
            <w:r w:rsidR="00A92246" w:rsidRPr="00A92246">
              <w:t> </w:t>
            </w:r>
            <w:r w:rsidRPr="00A92246">
              <w:t>January 1997</w:t>
            </w:r>
          </w:p>
        </w:tc>
      </w:tr>
      <w:tr w:rsidR="00045C17" w:rsidRPr="00A92246" w:rsidTr="00D10F3C">
        <w:tc>
          <w:tcPr>
            <w:tcW w:w="429" w:type="pct"/>
            <w:shd w:val="clear" w:color="auto" w:fill="auto"/>
          </w:tcPr>
          <w:p w:rsidR="00045C17" w:rsidRPr="00A92246" w:rsidRDefault="00045C17" w:rsidP="00D10F3C">
            <w:pPr>
              <w:pStyle w:val="Tabletext"/>
            </w:pPr>
            <w:r w:rsidRPr="00A92246">
              <w:t>3</w:t>
            </w:r>
          </w:p>
        </w:tc>
        <w:tc>
          <w:tcPr>
            <w:tcW w:w="1102" w:type="pct"/>
            <w:shd w:val="clear" w:color="auto" w:fill="auto"/>
          </w:tcPr>
          <w:p w:rsidR="00045C17" w:rsidRPr="00A92246" w:rsidRDefault="00045C17" w:rsidP="00D10F3C">
            <w:pPr>
              <w:pStyle w:val="Tabletext"/>
            </w:pPr>
            <w:r w:rsidRPr="00A92246">
              <w:t>Joint Guardian</w:t>
            </w:r>
          </w:p>
        </w:tc>
        <w:tc>
          <w:tcPr>
            <w:tcW w:w="1193" w:type="pct"/>
            <w:shd w:val="clear" w:color="auto" w:fill="auto"/>
          </w:tcPr>
          <w:p w:rsidR="00045C17" w:rsidRPr="00A92246" w:rsidRDefault="00045C17" w:rsidP="00D10F3C">
            <w:pPr>
              <w:pStyle w:val="Tabletext"/>
            </w:pPr>
            <w:r w:rsidRPr="00A92246">
              <w:t>United Nations Kosovo Force</w:t>
            </w:r>
          </w:p>
        </w:tc>
        <w:tc>
          <w:tcPr>
            <w:tcW w:w="1364" w:type="pct"/>
            <w:shd w:val="clear" w:color="auto" w:fill="auto"/>
          </w:tcPr>
          <w:p w:rsidR="00045C17" w:rsidRPr="00A92246" w:rsidRDefault="00045C17" w:rsidP="00D10F3C">
            <w:pPr>
              <w:pStyle w:val="Tabletext"/>
            </w:pPr>
            <w:r w:rsidRPr="00A92246">
              <w:t>Albania, Serbia, Montenegro and the Former Yugoslav Republic of Macedonia</w:t>
            </w:r>
          </w:p>
        </w:tc>
        <w:tc>
          <w:tcPr>
            <w:tcW w:w="912" w:type="pct"/>
            <w:shd w:val="clear" w:color="auto" w:fill="auto"/>
          </w:tcPr>
          <w:p w:rsidR="00045C17" w:rsidRPr="00A92246" w:rsidRDefault="00045C17" w:rsidP="00D10F3C">
            <w:pPr>
              <w:pStyle w:val="Tabletext"/>
            </w:pPr>
            <w:r w:rsidRPr="00A92246">
              <w:t>On and after 11</w:t>
            </w:r>
            <w:r w:rsidR="00A92246" w:rsidRPr="00A92246">
              <w:t> </w:t>
            </w:r>
            <w:r w:rsidRPr="00A92246">
              <w:t>June 1999</w:t>
            </w:r>
          </w:p>
        </w:tc>
      </w:tr>
      <w:tr w:rsidR="00045C17" w:rsidRPr="00A92246" w:rsidTr="00D10F3C">
        <w:tc>
          <w:tcPr>
            <w:tcW w:w="429" w:type="pct"/>
            <w:shd w:val="clear" w:color="auto" w:fill="auto"/>
          </w:tcPr>
          <w:p w:rsidR="00045C17" w:rsidRPr="00A92246" w:rsidRDefault="00045C17" w:rsidP="00D10F3C">
            <w:pPr>
              <w:pStyle w:val="Tabletext"/>
            </w:pPr>
            <w:r w:rsidRPr="00A92246">
              <w:t>4</w:t>
            </w:r>
          </w:p>
        </w:tc>
        <w:tc>
          <w:tcPr>
            <w:tcW w:w="1102" w:type="pct"/>
            <w:shd w:val="clear" w:color="auto" w:fill="auto"/>
          </w:tcPr>
          <w:p w:rsidR="00045C17" w:rsidRPr="00A92246" w:rsidRDefault="00045C17" w:rsidP="00D10F3C">
            <w:pPr>
              <w:pStyle w:val="Tabletext"/>
            </w:pPr>
            <w:r w:rsidRPr="00A92246">
              <w:t>Pomelo</w:t>
            </w:r>
          </w:p>
        </w:tc>
        <w:tc>
          <w:tcPr>
            <w:tcW w:w="1193" w:type="pct"/>
            <w:shd w:val="clear" w:color="auto" w:fill="auto"/>
          </w:tcPr>
          <w:p w:rsidR="00045C17" w:rsidRPr="00A92246" w:rsidRDefault="00045C17" w:rsidP="00D10F3C">
            <w:pPr>
              <w:pStyle w:val="Tabletext"/>
            </w:pPr>
            <w:proofErr w:type="spellStart"/>
            <w:r w:rsidRPr="00A92246">
              <w:t>ADF</w:t>
            </w:r>
            <w:proofErr w:type="spellEnd"/>
            <w:r w:rsidRPr="00A92246">
              <w:t xml:space="preserve"> contribution to the United Nations Mission in Ethiopia and Eritrea</w:t>
            </w:r>
          </w:p>
        </w:tc>
        <w:tc>
          <w:tcPr>
            <w:tcW w:w="1364" w:type="pct"/>
            <w:shd w:val="clear" w:color="auto" w:fill="auto"/>
          </w:tcPr>
          <w:p w:rsidR="00045C17" w:rsidRPr="00A92246" w:rsidRDefault="00045C17" w:rsidP="00D10F3C">
            <w:pPr>
              <w:pStyle w:val="Tabletext"/>
            </w:pPr>
            <w:r w:rsidRPr="00A92246">
              <w:t>Ethiopia and Eritrea</w:t>
            </w:r>
          </w:p>
        </w:tc>
        <w:tc>
          <w:tcPr>
            <w:tcW w:w="912" w:type="pct"/>
            <w:shd w:val="clear" w:color="auto" w:fill="auto"/>
          </w:tcPr>
          <w:p w:rsidR="00045C17" w:rsidRPr="00A92246" w:rsidRDefault="00045C17" w:rsidP="00D10F3C">
            <w:pPr>
              <w:pStyle w:val="Tabletext"/>
            </w:pPr>
            <w:r w:rsidRPr="00A92246">
              <w:t>On and after 15</w:t>
            </w:r>
            <w:r w:rsidR="00A92246" w:rsidRPr="00A92246">
              <w:t> </w:t>
            </w:r>
            <w:r w:rsidRPr="00A92246">
              <w:t>January 2001</w:t>
            </w:r>
          </w:p>
        </w:tc>
      </w:tr>
      <w:tr w:rsidR="00045C17" w:rsidRPr="00A92246" w:rsidTr="00D10F3C">
        <w:tc>
          <w:tcPr>
            <w:tcW w:w="429" w:type="pct"/>
            <w:shd w:val="clear" w:color="auto" w:fill="auto"/>
          </w:tcPr>
          <w:p w:rsidR="00045C17" w:rsidRPr="00A92246" w:rsidRDefault="00045C17" w:rsidP="00D10F3C">
            <w:pPr>
              <w:pStyle w:val="Tabletext"/>
            </w:pPr>
            <w:r w:rsidRPr="00A92246">
              <w:t>5</w:t>
            </w:r>
          </w:p>
        </w:tc>
        <w:tc>
          <w:tcPr>
            <w:tcW w:w="1102" w:type="pct"/>
            <w:shd w:val="clear" w:color="auto" w:fill="auto"/>
          </w:tcPr>
          <w:p w:rsidR="00045C17" w:rsidRPr="00A92246" w:rsidRDefault="00045C17" w:rsidP="00D10F3C">
            <w:pPr>
              <w:pStyle w:val="Tabletext"/>
            </w:pPr>
            <w:r w:rsidRPr="00A92246">
              <w:t>Paladin</w:t>
            </w:r>
          </w:p>
        </w:tc>
        <w:tc>
          <w:tcPr>
            <w:tcW w:w="1193" w:type="pct"/>
            <w:shd w:val="clear" w:color="auto" w:fill="auto"/>
          </w:tcPr>
          <w:p w:rsidR="00045C17" w:rsidRPr="00A92246" w:rsidRDefault="00045C17" w:rsidP="00D10F3C">
            <w:pPr>
              <w:pStyle w:val="Tabletext"/>
            </w:pPr>
            <w:proofErr w:type="spellStart"/>
            <w:r w:rsidRPr="00A92246">
              <w:t>ADF</w:t>
            </w:r>
            <w:proofErr w:type="spellEnd"/>
            <w:r w:rsidRPr="00A92246">
              <w:t xml:space="preserve"> contribution to the United Nations Truce Supervision Organization</w:t>
            </w:r>
          </w:p>
        </w:tc>
        <w:tc>
          <w:tcPr>
            <w:tcW w:w="1364" w:type="pct"/>
            <w:shd w:val="clear" w:color="auto" w:fill="auto"/>
          </w:tcPr>
          <w:p w:rsidR="00045C17" w:rsidRPr="00A92246" w:rsidRDefault="00045C17" w:rsidP="00D10F3C">
            <w:pPr>
              <w:pStyle w:val="Tabletext"/>
            </w:pPr>
            <w:r w:rsidRPr="00A92246">
              <w:t xml:space="preserve">The total land area, territorial waters and </w:t>
            </w:r>
            <w:proofErr w:type="spellStart"/>
            <w:r w:rsidRPr="00A92246">
              <w:t>superjacent</w:t>
            </w:r>
            <w:proofErr w:type="spellEnd"/>
            <w:r w:rsidRPr="00A92246">
              <w:t xml:space="preserve"> airspace within the internationally recognised boundaries of Israel, Jordan, Syria, Lebanon and Egypt</w:t>
            </w:r>
          </w:p>
        </w:tc>
        <w:tc>
          <w:tcPr>
            <w:tcW w:w="912" w:type="pct"/>
            <w:shd w:val="clear" w:color="auto" w:fill="auto"/>
          </w:tcPr>
          <w:p w:rsidR="00045C17" w:rsidRPr="00A92246" w:rsidRDefault="00045C17" w:rsidP="00D10F3C">
            <w:pPr>
              <w:pStyle w:val="Tabletext"/>
            </w:pPr>
            <w:r w:rsidRPr="00A92246">
              <w:t>21</w:t>
            </w:r>
            <w:r w:rsidR="00A92246" w:rsidRPr="00A92246">
              <w:t> </w:t>
            </w:r>
            <w:r w:rsidRPr="00A92246">
              <w:t>April 2003–11</w:t>
            </w:r>
            <w:r w:rsidR="00A92246" w:rsidRPr="00A92246">
              <w:t> </w:t>
            </w:r>
            <w:r w:rsidRPr="00A92246">
              <w:t>July 2006</w:t>
            </w:r>
          </w:p>
        </w:tc>
      </w:tr>
      <w:tr w:rsidR="00045C17" w:rsidRPr="00A92246" w:rsidTr="00D10F3C">
        <w:tc>
          <w:tcPr>
            <w:tcW w:w="429" w:type="pct"/>
            <w:shd w:val="clear" w:color="auto" w:fill="auto"/>
          </w:tcPr>
          <w:p w:rsidR="00045C17" w:rsidRPr="00A92246" w:rsidRDefault="00045C17" w:rsidP="00D10F3C">
            <w:pPr>
              <w:pStyle w:val="Tabletext"/>
            </w:pPr>
            <w:r w:rsidRPr="00A92246">
              <w:t>6</w:t>
            </w:r>
          </w:p>
        </w:tc>
        <w:tc>
          <w:tcPr>
            <w:tcW w:w="1102" w:type="pct"/>
            <w:shd w:val="clear" w:color="auto" w:fill="auto"/>
          </w:tcPr>
          <w:p w:rsidR="00045C17" w:rsidRPr="00A92246" w:rsidRDefault="00045C17" w:rsidP="00D10F3C">
            <w:pPr>
              <w:pStyle w:val="Tabletext"/>
            </w:pPr>
            <w:r w:rsidRPr="00A92246">
              <w:t>Paladin</w:t>
            </w:r>
          </w:p>
        </w:tc>
        <w:tc>
          <w:tcPr>
            <w:tcW w:w="1193" w:type="pct"/>
            <w:shd w:val="clear" w:color="auto" w:fill="auto"/>
          </w:tcPr>
          <w:p w:rsidR="00045C17" w:rsidRPr="00A92246" w:rsidRDefault="00045C17" w:rsidP="00D10F3C">
            <w:pPr>
              <w:pStyle w:val="Tabletext"/>
            </w:pPr>
            <w:proofErr w:type="spellStart"/>
            <w:r w:rsidRPr="00A92246">
              <w:t>ADF</w:t>
            </w:r>
            <w:proofErr w:type="spellEnd"/>
            <w:r w:rsidRPr="00A92246">
              <w:t xml:space="preserve"> contribution to the United Nations Truce Supervision Organization</w:t>
            </w:r>
          </w:p>
        </w:tc>
        <w:tc>
          <w:tcPr>
            <w:tcW w:w="1364" w:type="pct"/>
            <w:shd w:val="clear" w:color="auto" w:fill="auto"/>
          </w:tcPr>
          <w:p w:rsidR="00045C17" w:rsidRPr="00A92246" w:rsidRDefault="00045C17" w:rsidP="00D10F3C">
            <w:pPr>
              <w:pStyle w:val="Tabletext"/>
            </w:pPr>
            <w:r w:rsidRPr="00A92246">
              <w:t xml:space="preserve">The total land area, territorial waters and </w:t>
            </w:r>
            <w:proofErr w:type="spellStart"/>
            <w:r w:rsidRPr="00A92246">
              <w:t>superjacent</w:t>
            </w:r>
            <w:proofErr w:type="spellEnd"/>
            <w:r w:rsidRPr="00A92246">
              <w:t xml:space="preserve"> airspace within the internationally </w:t>
            </w:r>
            <w:r w:rsidRPr="00A92246">
              <w:lastRenderedPageBreak/>
              <w:t>recognised boundaries of Israel, Jordan, Syria, Lebanon and Egypt, excluding the following area: Southern Lebanon bounded by 33°12</w:t>
            </w:r>
            <w:r w:rsidRPr="00A92246">
              <w:rPr>
                <w:szCs w:val="22"/>
              </w:rPr>
              <w:t>′</w:t>
            </w:r>
            <w:r w:rsidRPr="00A92246">
              <w:t>N 35°12</w:t>
            </w:r>
            <w:r w:rsidRPr="00A92246">
              <w:rPr>
                <w:szCs w:val="22"/>
              </w:rPr>
              <w:t>′</w:t>
            </w:r>
            <w:r w:rsidRPr="00A92246">
              <w:t>E, 33°10</w:t>
            </w:r>
            <w:r w:rsidRPr="00A92246">
              <w:rPr>
                <w:szCs w:val="22"/>
              </w:rPr>
              <w:t>′</w:t>
            </w:r>
            <w:r w:rsidRPr="00A92246">
              <w:t>N 35°20</w:t>
            </w:r>
            <w:r w:rsidRPr="00A92246">
              <w:rPr>
                <w:szCs w:val="22"/>
              </w:rPr>
              <w:t>′</w:t>
            </w:r>
            <w:r w:rsidRPr="00A92246">
              <w:t>E, 33°19</w:t>
            </w:r>
            <w:r w:rsidRPr="00A92246">
              <w:rPr>
                <w:szCs w:val="22"/>
              </w:rPr>
              <w:t>′</w:t>
            </w:r>
            <w:r w:rsidRPr="00A92246">
              <w:t>N 35°25</w:t>
            </w:r>
            <w:r w:rsidRPr="00A92246">
              <w:rPr>
                <w:szCs w:val="22"/>
              </w:rPr>
              <w:t>′</w:t>
            </w:r>
            <w:r w:rsidRPr="00A92246">
              <w:t xml:space="preserve">E, on the </w:t>
            </w:r>
            <w:proofErr w:type="spellStart"/>
            <w:r w:rsidRPr="00A92246">
              <w:t>Litani</w:t>
            </w:r>
            <w:proofErr w:type="spellEnd"/>
            <w:r w:rsidRPr="00A92246">
              <w:t xml:space="preserve"> River, then along the </w:t>
            </w:r>
            <w:proofErr w:type="spellStart"/>
            <w:r w:rsidRPr="00A92246">
              <w:t>Litani</w:t>
            </w:r>
            <w:proofErr w:type="spellEnd"/>
            <w:r w:rsidRPr="00A92246">
              <w:t xml:space="preserve"> River to 33°25</w:t>
            </w:r>
            <w:r w:rsidRPr="00A92246">
              <w:rPr>
                <w:szCs w:val="22"/>
              </w:rPr>
              <w:t>′</w:t>
            </w:r>
            <w:r w:rsidRPr="00A92246">
              <w:t>N 35°37</w:t>
            </w:r>
            <w:r w:rsidRPr="00A92246">
              <w:rPr>
                <w:szCs w:val="22"/>
              </w:rPr>
              <w:t>′</w:t>
            </w:r>
            <w:r w:rsidRPr="00A92246">
              <w:t>E, 33°22</w:t>
            </w:r>
            <w:r w:rsidRPr="00A92246">
              <w:rPr>
                <w:szCs w:val="22"/>
              </w:rPr>
              <w:t>′</w:t>
            </w:r>
            <w:r w:rsidRPr="00A92246">
              <w:t>N 35°49</w:t>
            </w:r>
            <w:r w:rsidRPr="00A92246">
              <w:rPr>
                <w:szCs w:val="22"/>
              </w:rPr>
              <w:t>′</w:t>
            </w:r>
            <w:r w:rsidRPr="00A92246">
              <w:t>E, on the Syria</w:t>
            </w:r>
            <w:r w:rsidR="00A92246">
              <w:noBreakHyphen/>
            </w:r>
            <w:r w:rsidRPr="00A92246">
              <w:t>Lebanon border, then south to the junction of the Syria</w:t>
            </w:r>
            <w:r w:rsidR="00A92246">
              <w:noBreakHyphen/>
            </w:r>
            <w:r w:rsidRPr="00A92246">
              <w:t>Lebanon</w:t>
            </w:r>
            <w:r w:rsidR="00A92246">
              <w:noBreakHyphen/>
            </w:r>
            <w:r w:rsidRPr="00A92246">
              <w:t>Israel border, then east along the Lebanon</w:t>
            </w:r>
            <w:r w:rsidR="00A92246">
              <w:noBreakHyphen/>
            </w:r>
            <w:r w:rsidRPr="00A92246">
              <w:t>Israel border to the coast, then north along the coast to 33°12</w:t>
            </w:r>
            <w:r w:rsidRPr="00A92246">
              <w:rPr>
                <w:szCs w:val="22"/>
              </w:rPr>
              <w:t>′</w:t>
            </w:r>
            <w:r w:rsidRPr="00A92246">
              <w:t>N 35°12</w:t>
            </w:r>
            <w:r w:rsidRPr="00A92246">
              <w:rPr>
                <w:szCs w:val="22"/>
              </w:rPr>
              <w:t>′</w:t>
            </w:r>
            <w:r w:rsidRPr="00A92246">
              <w:t>E</w:t>
            </w:r>
          </w:p>
        </w:tc>
        <w:tc>
          <w:tcPr>
            <w:tcW w:w="912" w:type="pct"/>
            <w:shd w:val="clear" w:color="auto" w:fill="auto"/>
          </w:tcPr>
          <w:p w:rsidR="00045C17" w:rsidRPr="00A92246" w:rsidRDefault="00045C17" w:rsidP="00D10F3C">
            <w:pPr>
              <w:pStyle w:val="Tabletext"/>
            </w:pPr>
            <w:r w:rsidRPr="00A92246">
              <w:lastRenderedPageBreak/>
              <w:t>12</w:t>
            </w:r>
            <w:r w:rsidR="00A92246" w:rsidRPr="00A92246">
              <w:t> </w:t>
            </w:r>
            <w:r w:rsidRPr="00A92246">
              <w:t>July 2006–14</w:t>
            </w:r>
            <w:r w:rsidR="00A92246" w:rsidRPr="00A92246">
              <w:t> </w:t>
            </w:r>
            <w:r w:rsidRPr="00A92246">
              <w:t>August 2006</w:t>
            </w:r>
          </w:p>
        </w:tc>
      </w:tr>
      <w:tr w:rsidR="00045C17" w:rsidRPr="00A92246" w:rsidTr="00D10F3C">
        <w:tc>
          <w:tcPr>
            <w:tcW w:w="429" w:type="pct"/>
            <w:shd w:val="clear" w:color="auto" w:fill="auto"/>
          </w:tcPr>
          <w:p w:rsidR="00045C17" w:rsidRPr="00A92246" w:rsidRDefault="00045C17" w:rsidP="00D10F3C">
            <w:pPr>
              <w:pStyle w:val="Tabletext"/>
            </w:pPr>
            <w:r w:rsidRPr="00A92246">
              <w:lastRenderedPageBreak/>
              <w:t>7</w:t>
            </w:r>
          </w:p>
        </w:tc>
        <w:tc>
          <w:tcPr>
            <w:tcW w:w="1102" w:type="pct"/>
            <w:shd w:val="clear" w:color="auto" w:fill="auto"/>
          </w:tcPr>
          <w:p w:rsidR="00045C17" w:rsidRPr="00A92246" w:rsidRDefault="00045C17" w:rsidP="00D10F3C">
            <w:pPr>
              <w:pStyle w:val="Tabletext"/>
            </w:pPr>
            <w:r w:rsidRPr="00A92246">
              <w:t>Paladin</w:t>
            </w:r>
          </w:p>
        </w:tc>
        <w:tc>
          <w:tcPr>
            <w:tcW w:w="1193" w:type="pct"/>
            <w:shd w:val="clear" w:color="auto" w:fill="auto"/>
          </w:tcPr>
          <w:p w:rsidR="00045C17" w:rsidRPr="00A92246" w:rsidRDefault="00045C17" w:rsidP="00D10F3C">
            <w:pPr>
              <w:pStyle w:val="Tabletext"/>
            </w:pPr>
            <w:proofErr w:type="spellStart"/>
            <w:r w:rsidRPr="00A92246">
              <w:t>ADF</w:t>
            </w:r>
            <w:proofErr w:type="spellEnd"/>
            <w:r w:rsidRPr="00A92246">
              <w:t xml:space="preserve"> contribution to the United Nations Truce Supervision Organization</w:t>
            </w:r>
          </w:p>
        </w:tc>
        <w:tc>
          <w:tcPr>
            <w:tcW w:w="1364" w:type="pct"/>
            <w:shd w:val="clear" w:color="auto" w:fill="auto"/>
          </w:tcPr>
          <w:p w:rsidR="00045C17" w:rsidRPr="00A92246" w:rsidRDefault="00045C17" w:rsidP="00D10F3C">
            <w:pPr>
              <w:pStyle w:val="Tabletext"/>
            </w:pPr>
            <w:r w:rsidRPr="00A92246">
              <w:t xml:space="preserve">The total land area, territorial waters and </w:t>
            </w:r>
            <w:proofErr w:type="spellStart"/>
            <w:r w:rsidRPr="00A92246">
              <w:t>superjacent</w:t>
            </w:r>
            <w:proofErr w:type="spellEnd"/>
            <w:r w:rsidRPr="00A92246">
              <w:t xml:space="preserve"> airspace within the internationally recognised boundaries of Israel, Jordan, Syria, Lebanon and Egypt</w:t>
            </w:r>
          </w:p>
        </w:tc>
        <w:tc>
          <w:tcPr>
            <w:tcW w:w="912" w:type="pct"/>
            <w:shd w:val="clear" w:color="auto" w:fill="auto"/>
          </w:tcPr>
          <w:p w:rsidR="00045C17" w:rsidRPr="00A92246" w:rsidRDefault="00045C17" w:rsidP="00D10F3C">
            <w:pPr>
              <w:pStyle w:val="Tabletext"/>
            </w:pPr>
            <w:r w:rsidRPr="00A92246">
              <w:t>On and after 15</w:t>
            </w:r>
            <w:r w:rsidR="00A92246" w:rsidRPr="00A92246">
              <w:t> </w:t>
            </w:r>
            <w:r w:rsidRPr="00A92246">
              <w:t>August 2006</w:t>
            </w:r>
          </w:p>
        </w:tc>
      </w:tr>
      <w:tr w:rsidR="00045C17" w:rsidRPr="00A92246" w:rsidTr="00D10F3C">
        <w:tc>
          <w:tcPr>
            <w:tcW w:w="429" w:type="pct"/>
            <w:shd w:val="clear" w:color="auto" w:fill="auto"/>
          </w:tcPr>
          <w:p w:rsidR="00045C17" w:rsidRPr="00A92246" w:rsidRDefault="00045C17" w:rsidP="00D10F3C">
            <w:pPr>
              <w:pStyle w:val="Tabletext"/>
            </w:pPr>
            <w:r w:rsidRPr="00A92246">
              <w:t>8</w:t>
            </w:r>
          </w:p>
        </w:tc>
        <w:tc>
          <w:tcPr>
            <w:tcW w:w="1102" w:type="pct"/>
            <w:shd w:val="clear" w:color="auto" w:fill="auto"/>
          </w:tcPr>
          <w:p w:rsidR="00045C17" w:rsidRPr="00A92246" w:rsidRDefault="00045C17" w:rsidP="00D10F3C">
            <w:pPr>
              <w:pStyle w:val="Tabletext"/>
            </w:pPr>
            <w:r w:rsidRPr="00A92246">
              <w:t>Anode</w:t>
            </w:r>
          </w:p>
        </w:tc>
        <w:tc>
          <w:tcPr>
            <w:tcW w:w="1193" w:type="pct"/>
            <w:shd w:val="clear" w:color="auto" w:fill="auto"/>
          </w:tcPr>
          <w:p w:rsidR="00045C17" w:rsidRPr="00A92246" w:rsidRDefault="00045C17" w:rsidP="00D10F3C">
            <w:pPr>
              <w:pStyle w:val="Tabletext"/>
            </w:pPr>
            <w:proofErr w:type="spellStart"/>
            <w:r w:rsidRPr="00A92246">
              <w:t>ADF</w:t>
            </w:r>
            <w:proofErr w:type="spellEnd"/>
            <w:r w:rsidRPr="00A92246">
              <w:t xml:space="preserve"> contribution to the Australian Government’s Strengthened Assistance Framework Program in support of the Solomon Islands Government</w:t>
            </w:r>
          </w:p>
        </w:tc>
        <w:tc>
          <w:tcPr>
            <w:tcW w:w="1364" w:type="pct"/>
            <w:shd w:val="clear" w:color="auto" w:fill="auto"/>
          </w:tcPr>
          <w:p w:rsidR="00045C17" w:rsidRPr="00A92246" w:rsidRDefault="00045C17" w:rsidP="00D10F3C">
            <w:pPr>
              <w:pStyle w:val="Tabletext"/>
            </w:pPr>
            <w:r w:rsidRPr="00A92246">
              <w:t xml:space="preserve">The total land areas, territorial waters and </w:t>
            </w:r>
            <w:proofErr w:type="spellStart"/>
            <w:r w:rsidRPr="00A92246">
              <w:t>superjacent</w:t>
            </w:r>
            <w:proofErr w:type="spellEnd"/>
            <w:r w:rsidRPr="00A92246">
              <w:t xml:space="preserve"> airspace boundaries of the Solomon Islands</w:t>
            </w:r>
          </w:p>
        </w:tc>
        <w:tc>
          <w:tcPr>
            <w:tcW w:w="912" w:type="pct"/>
            <w:shd w:val="clear" w:color="auto" w:fill="auto"/>
          </w:tcPr>
          <w:p w:rsidR="00045C17" w:rsidRPr="00A92246" w:rsidRDefault="00045C17" w:rsidP="00D10F3C">
            <w:pPr>
              <w:pStyle w:val="Tabletext"/>
            </w:pPr>
            <w:r w:rsidRPr="00A92246">
              <w:t>On and after 24</w:t>
            </w:r>
            <w:r w:rsidR="00A92246" w:rsidRPr="00A92246">
              <w:t> </w:t>
            </w:r>
            <w:r w:rsidRPr="00A92246">
              <w:t>July 2003</w:t>
            </w:r>
          </w:p>
        </w:tc>
      </w:tr>
      <w:tr w:rsidR="00045C17" w:rsidRPr="00A92246" w:rsidTr="00D10F3C">
        <w:tc>
          <w:tcPr>
            <w:tcW w:w="429" w:type="pct"/>
            <w:shd w:val="clear" w:color="auto" w:fill="auto"/>
          </w:tcPr>
          <w:p w:rsidR="00045C17" w:rsidRPr="00A92246" w:rsidRDefault="00045C17" w:rsidP="00D10F3C">
            <w:pPr>
              <w:pStyle w:val="Tabletext"/>
            </w:pPr>
            <w:r w:rsidRPr="00A92246">
              <w:t>9</w:t>
            </w:r>
          </w:p>
        </w:tc>
        <w:tc>
          <w:tcPr>
            <w:tcW w:w="1102" w:type="pct"/>
            <w:shd w:val="clear" w:color="auto" w:fill="auto"/>
          </w:tcPr>
          <w:p w:rsidR="00045C17" w:rsidRPr="00A92246" w:rsidRDefault="00045C17" w:rsidP="00D10F3C">
            <w:pPr>
              <w:pStyle w:val="Tabletext"/>
            </w:pPr>
            <w:r w:rsidRPr="00A92246">
              <w:t>Citadel</w:t>
            </w:r>
          </w:p>
        </w:tc>
        <w:tc>
          <w:tcPr>
            <w:tcW w:w="1193" w:type="pct"/>
            <w:shd w:val="clear" w:color="auto" w:fill="auto"/>
          </w:tcPr>
          <w:p w:rsidR="00045C17" w:rsidRPr="00A92246" w:rsidRDefault="00045C17" w:rsidP="00D10F3C">
            <w:pPr>
              <w:pStyle w:val="Tabletext"/>
            </w:pPr>
            <w:r w:rsidRPr="00A92246">
              <w:t>United Nations Mission of Support in East Timor</w:t>
            </w:r>
          </w:p>
        </w:tc>
        <w:tc>
          <w:tcPr>
            <w:tcW w:w="1364" w:type="pct"/>
            <w:shd w:val="clear" w:color="auto" w:fill="auto"/>
          </w:tcPr>
          <w:p w:rsidR="00045C17" w:rsidRPr="00A92246" w:rsidRDefault="00045C17" w:rsidP="00D10F3C">
            <w:pPr>
              <w:pStyle w:val="Tabletext"/>
            </w:pPr>
            <w:r w:rsidRPr="00A92246">
              <w:t>East Timor and the territorial sea of East Timor</w:t>
            </w:r>
          </w:p>
        </w:tc>
        <w:tc>
          <w:tcPr>
            <w:tcW w:w="912" w:type="pct"/>
            <w:shd w:val="clear" w:color="auto" w:fill="auto"/>
          </w:tcPr>
          <w:p w:rsidR="00045C17" w:rsidRPr="00A92246" w:rsidRDefault="00045C17" w:rsidP="00D10F3C">
            <w:pPr>
              <w:pStyle w:val="Tabletext"/>
            </w:pPr>
            <w:r w:rsidRPr="00A92246">
              <w:t>On and after 18</w:t>
            </w:r>
            <w:r w:rsidR="00A92246" w:rsidRPr="00A92246">
              <w:t> </w:t>
            </w:r>
            <w:r w:rsidRPr="00A92246">
              <w:t>August 2003</w:t>
            </w:r>
          </w:p>
        </w:tc>
      </w:tr>
      <w:tr w:rsidR="00045C17" w:rsidRPr="00A92246" w:rsidTr="00D10F3C">
        <w:tc>
          <w:tcPr>
            <w:tcW w:w="429" w:type="pct"/>
            <w:shd w:val="clear" w:color="auto" w:fill="auto"/>
          </w:tcPr>
          <w:p w:rsidR="00045C17" w:rsidRPr="00A92246" w:rsidRDefault="00045C17" w:rsidP="00D10F3C">
            <w:pPr>
              <w:pStyle w:val="Tabletext"/>
            </w:pPr>
            <w:r w:rsidRPr="00A92246">
              <w:t>10</w:t>
            </w:r>
          </w:p>
        </w:tc>
        <w:tc>
          <w:tcPr>
            <w:tcW w:w="1102" w:type="pct"/>
            <w:shd w:val="clear" w:color="auto" w:fill="auto"/>
          </w:tcPr>
          <w:p w:rsidR="00045C17" w:rsidRPr="00A92246" w:rsidRDefault="00045C17" w:rsidP="00D10F3C">
            <w:pPr>
              <w:pStyle w:val="Tabletext"/>
            </w:pPr>
            <w:r w:rsidRPr="00A92246">
              <w:t>Spire</w:t>
            </w:r>
          </w:p>
        </w:tc>
        <w:tc>
          <w:tcPr>
            <w:tcW w:w="1193" w:type="pct"/>
            <w:shd w:val="clear" w:color="auto" w:fill="auto"/>
          </w:tcPr>
          <w:p w:rsidR="00045C17" w:rsidRPr="00A92246" w:rsidRDefault="00045C17" w:rsidP="00D10F3C">
            <w:pPr>
              <w:pStyle w:val="Tabletext"/>
            </w:pPr>
            <w:r w:rsidRPr="00A92246">
              <w:t>United Nations Mission of Support in East Timor</w:t>
            </w:r>
          </w:p>
        </w:tc>
        <w:tc>
          <w:tcPr>
            <w:tcW w:w="1364" w:type="pct"/>
            <w:shd w:val="clear" w:color="auto" w:fill="auto"/>
          </w:tcPr>
          <w:p w:rsidR="00045C17" w:rsidRPr="00A92246" w:rsidRDefault="00045C17" w:rsidP="00D10F3C">
            <w:pPr>
              <w:pStyle w:val="Tabletext"/>
            </w:pPr>
            <w:r w:rsidRPr="00A92246">
              <w:t>East Timor and the territorial sea of East Timor</w:t>
            </w:r>
          </w:p>
        </w:tc>
        <w:tc>
          <w:tcPr>
            <w:tcW w:w="912" w:type="pct"/>
            <w:shd w:val="clear" w:color="auto" w:fill="auto"/>
          </w:tcPr>
          <w:p w:rsidR="00045C17" w:rsidRPr="00A92246" w:rsidRDefault="00045C17" w:rsidP="00D10F3C">
            <w:pPr>
              <w:pStyle w:val="Tabletext"/>
            </w:pPr>
            <w:r w:rsidRPr="00A92246">
              <w:t>On and after 20</w:t>
            </w:r>
            <w:r w:rsidR="00A92246" w:rsidRPr="00A92246">
              <w:t> </w:t>
            </w:r>
            <w:r w:rsidRPr="00A92246">
              <w:t>May 2004</w:t>
            </w:r>
          </w:p>
        </w:tc>
      </w:tr>
      <w:tr w:rsidR="00045C17" w:rsidRPr="00A92246" w:rsidTr="00D10F3C">
        <w:tc>
          <w:tcPr>
            <w:tcW w:w="429" w:type="pct"/>
            <w:shd w:val="clear" w:color="auto" w:fill="auto"/>
          </w:tcPr>
          <w:p w:rsidR="00045C17" w:rsidRPr="00A92246" w:rsidRDefault="00045C17" w:rsidP="00D10F3C">
            <w:pPr>
              <w:pStyle w:val="Tabletext"/>
            </w:pPr>
            <w:r w:rsidRPr="00A92246">
              <w:t>11</w:t>
            </w:r>
          </w:p>
        </w:tc>
        <w:tc>
          <w:tcPr>
            <w:tcW w:w="1102" w:type="pct"/>
            <w:shd w:val="clear" w:color="auto" w:fill="auto"/>
          </w:tcPr>
          <w:p w:rsidR="00045C17" w:rsidRPr="00A92246" w:rsidRDefault="00045C17" w:rsidP="00D10F3C">
            <w:pPr>
              <w:pStyle w:val="Tabletext"/>
            </w:pPr>
            <w:r w:rsidRPr="00A92246">
              <w:t>Azure</w:t>
            </w:r>
          </w:p>
        </w:tc>
        <w:tc>
          <w:tcPr>
            <w:tcW w:w="1193" w:type="pct"/>
            <w:shd w:val="clear" w:color="auto" w:fill="auto"/>
          </w:tcPr>
          <w:p w:rsidR="00045C17" w:rsidRPr="00A92246" w:rsidRDefault="00045C17" w:rsidP="00D10F3C">
            <w:pPr>
              <w:pStyle w:val="Tabletext"/>
            </w:pPr>
            <w:r w:rsidRPr="00A92246">
              <w:t>United Nations Mission in Sudan</w:t>
            </w:r>
          </w:p>
        </w:tc>
        <w:tc>
          <w:tcPr>
            <w:tcW w:w="1364" w:type="pct"/>
            <w:shd w:val="clear" w:color="auto" w:fill="auto"/>
          </w:tcPr>
          <w:p w:rsidR="00045C17" w:rsidRPr="00A92246" w:rsidRDefault="00045C17" w:rsidP="00D10F3C">
            <w:pPr>
              <w:pStyle w:val="Tabletext"/>
            </w:pPr>
            <w:r w:rsidRPr="00A92246">
              <w:t>Sudan</w:t>
            </w:r>
          </w:p>
        </w:tc>
        <w:tc>
          <w:tcPr>
            <w:tcW w:w="912" w:type="pct"/>
            <w:shd w:val="clear" w:color="auto" w:fill="auto"/>
          </w:tcPr>
          <w:p w:rsidR="00045C17" w:rsidRPr="00A92246" w:rsidRDefault="00045C17" w:rsidP="00D10F3C">
            <w:pPr>
              <w:pStyle w:val="Tabletext"/>
            </w:pPr>
            <w:r w:rsidRPr="00A92246">
              <w:t>On and after 10</w:t>
            </w:r>
            <w:r w:rsidR="00A92246" w:rsidRPr="00A92246">
              <w:t> </w:t>
            </w:r>
            <w:r w:rsidRPr="00A92246">
              <w:t>April 2005</w:t>
            </w:r>
          </w:p>
        </w:tc>
      </w:tr>
      <w:tr w:rsidR="00045C17" w:rsidRPr="00A92246" w:rsidTr="00D10F3C">
        <w:tc>
          <w:tcPr>
            <w:tcW w:w="429" w:type="pct"/>
            <w:shd w:val="clear" w:color="auto" w:fill="auto"/>
          </w:tcPr>
          <w:p w:rsidR="00045C17" w:rsidRPr="00A92246" w:rsidRDefault="00045C17" w:rsidP="00D10F3C">
            <w:pPr>
              <w:pStyle w:val="Tabletext"/>
            </w:pPr>
            <w:r w:rsidRPr="00A92246">
              <w:t>12</w:t>
            </w:r>
          </w:p>
        </w:tc>
        <w:tc>
          <w:tcPr>
            <w:tcW w:w="1102" w:type="pct"/>
            <w:shd w:val="clear" w:color="auto" w:fill="auto"/>
          </w:tcPr>
          <w:p w:rsidR="00045C17" w:rsidRPr="00A92246" w:rsidRDefault="00045C17" w:rsidP="00D10F3C">
            <w:pPr>
              <w:pStyle w:val="Tabletext"/>
            </w:pPr>
            <w:r w:rsidRPr="00A92246">
              <w:t>Astute</w:t>
            </w:r>
          </w:p>
        </w:tc>
        <w:tc>
          <w:tcPr>
            <w:tcW w:w="1193" w:type="pct"/>
            <w:shd w:val="clear" w:color="auto" w:fill="auto"/>
          </w:tcPr>
          <w:p w:rsidR="00045C17" w:rsidRPr="00A92246" w:rsidRDefault="00045C17" w:rsidP="00D10F3C">
            <w:pPr>
              <w:pStyle w:val="Tabletext"/>
            </w:pPr>
            <w:proofErr w:type="spellStart"/>
            <w:r w:rsidRPr="00A92246">
              <w:t>ADF</w:t>
            </w:r>
            <w:proofErr w:type="spellEnd"/>
            <w:r w:rsidRPr="00A92246">
              <w:t xml:space="preserve"> stabilisation operation in support of the Government of </w:t>
            </w:r>
            <w:r w:rsidRPr="00A92246">
              <w:lastRenderedPageBreak/>
              <w:t>East Timor</w:t>
            </w:r>
          </w:p>
        </w:tc>
        <w:tc>
          <w:tcPr>
            <w:tcW w:w="1364" w:type="pct"/>
            <w:shd w:val="clear" w:color="auto" w:fill="auto"/>
          </w:tcPr>
          <w:p w:rsidR="00045C17" w:rsidRPr="00A92246" w:rsidRDefault="00045C17" w:rsidP="00D10F3C">
            <w:pPr>
              <w:pStyle w:val="Tabletext"/>
            </w:pPr>
            <w:r w:rsidRPr="00A92246">
              <w:lastRenderedPageBreak/>
              <w:t xml:space="preserve">East Timor and its territorial waters and </w:t>
            </w:r>
            <w:proofErr w:type="spellStart"/>
            <w:r w:rsidRPr="00A92246">
              <w:t>superjacent</w:t>
            </w:r>
            <w:proofErr w:type="spellEnd"/>
            <w:r w:rsidRPr="00A92246">
              <w:t xml:space="preserve"> airspace</w:t>
            </w:r>
          </w:p>
        </w:tc>
        <w:tc>
          <w:tcPr>
            <w:tcW w:w="912" w:type="pct"/>
            <w:shd w:val="clear" w:color="auto" w:fill="auto"/>
          </w:tcPr>
          <w:p w:rsidR="00045C17" w:rsidRPr="00A92246" w:rsidRDefault="00045C17" w:rsidP="00D10F3C">
            <w:pPr>
              <w:pStyle w:val="Tabletext"/>
            </w:pPr>
            <w:r w:rsidRPr="00A92246">
              <w:t>On and after 12</w:t>
            </w:r>
            <w:r w:rsidR="00A92246" w:rsidRPr="00A92246">
              <w:t> </w:t>
            </w:r>
            <w:r w:rsidRPr="00A92246">
              <w:t>May 2006</w:t>
            </w:r>
          </w:p>
        </w:tc>
      </w:tr>
      <w:tr w:rsidR="00045C17" w:rsidRPr="00A92246" w:rsidTr="00D10F3C">
        <w:tc>
          <w:tcPr>
            <w:tcW w:w="429" w:type="pct"/>
            <w:shd w:val="clear" w:color="auto" w:fill="auto"/>
          </w:tcPr>
          <w:p w:rsidR="00045C17" w:rsidRPr="00A92246" w:rsidRDefault="00045C17" w:rsidP="00D10F3C">
            <w:pPr>
              <w:pStyle w:val="Tabletext"/>
            </w:pPr>
            <w:r w:rsidRPr="00A92246">
              <w:lastRenderedPageBreak/>
              <w:t>13</w:t>
            </w:r>
          </w:p>
        </w:tc>
        <w:tc>
          <w:tcPr>
            <w:tcW w:w="1102" w:type="pct"/>
            <w:shd w:val="clear" w:color="auto" w:fill="auto"/>
          </w:tcPr>
          <w:p w:rsidR="00045C17" w:rsidRPr="00A92246" w:rsidRDefault="00045C17" w:rsidP="00D10F3C">
            <w:pPr>
              <w:pStyle w:val="Tabletext"/>
            </w:pPr>
            <w:r w:rsidRPr="00A92246">
              <w:t>Ramp</w:t>
            </w:r>
          </w:p>
        </w:tc>
        <w:tc>
          <w:tcPr>
            <w:tcW w:w="1193" w:type="pct"/>
            <w:shd w:val="clear" w:color="auto" w:fill="auto"/>
          </w:tcPr>
          <w:p w:rsidR="00045C17" w:rsidRPr="00A92246" w:rsidRDefault="00045C17" w:rsidP="00D10F3C">
            <w:pPr>
              <w:pStyle w:val="Tabletext"/>
            </w:pPr>
            <w:proofErr w:type="spellStart"/>
            <w:r w:rsidRPr="00A92246">
              <w:t>ADF</w:t>
            </w:r>
            <w:proofErr w:type="spellEnd"/>
            <w:r w:rsidRPr="00A92246">
              <w:t xml:space="preserve"> operation in the Middle East in support of the Australian whole of government response to the crisis in Lebanon</w:t>
            </w:r>
          </w:p>
        </w:tc>
        <w:tc>
          <w:tcPr>
            <w:tcW w:w="1364" w:type="pct"/>
            <w:shd w:val="clear" w:color="auto" w:fill="auto"/>
          </w:tcPr>
          <w:p w:rsidR="00045C17" w:rsidRPr="00A92246" w:rsidRDefault="00045C17" w:rsidP="00D10F3C">
            <w:pPr>
              <w:pStyle w:val="Tabletext"/>
            </w:pPr>
            <w:r w:rsidRPr="00A92246">
              <w:t xml:space="preserve">Lebanon and its territorial waters and </w:t>
            </w:r>
            <w:proofErr w:type="spellStart"/>
            <w:r w:rsidRPr="00A92246">
              <w:t>superjacent</w:t>
            </w:r>
            <w:proofErr w:type="spellEnd"/>
            <w:r w:rsidRPr="00A92246">
              <w:t xml:space="preserve"> airspace</w:t>
            </w:r>
          </w:p>
        </w:tc>
        <w:tc>
          <w:tcPr>
            <w:tcW w:w="912" w:type="pct"/>
            <w:shd w:val="clear" w:color="auto" w:fill="auto"/>
          </w:tcPr>
          <w:p w:rsidR="00045C17" w:rsidRPr="00A92246" w:rsidRDefault="00045C17" w:rsidP="00D10F3C">
            <w:pPr>
              <w:pStyle w:val="Tabletext"/>
            </w:pPr>
            <w:r w:rsidRPr="00A92246">
              <w:t>On and after 20</w:t>
            </w:r>
            <w:r w:rsidR="00A92246" w:rsidRPr="00A92246">
              <w:t> </w:t>
            </w:r>
            <w:r w:rsidRPr="00A92246">
              <w:t>July 2006</w:t>
            </w:r>
          </w:p>
        </w:tc>
      </w:tr>
      <w:tr w:rsidR="00045C17" w:rsidRPr="00A92246" w:rsidTr="00D10F3C">
        <w:tc>
          <w:tcPr>
            <w:tcW w:w="429" w:type="pct"/>
            <w:shd w:val="clear" w:color="auto" w:fill="auto"/>
          </w:tcPr>
          <w:p w:rsidR="00045C17" w:rsidRPr="00A92246" w:rsidRDefault="00045C17" w:rsidP="00D10F3C">
            <w:pPr>
              <w:pStyle w:val="Tabletext"/>
            </w:pPr>
            <w:r w:rsidRPr="00A92246">
              <w:t>14</w:t>
            </w:r>
          </w:p>
        </w:tc>
        <w:tc>
          <w:tcPr>
            <w:tcW w:w="1102" w:type="pct"/>
            <w:shd w:val="clear" w:color="auto" w:fill="auto"/>
          </w:tcPr>
          <w:p w:rsidR="00045C17" w:rsidRPr="00A92246" w:rsidRDefault="00045C17" w:rsidP="00D10F3C">
            <w:pPr>
              <w:pStyle w:val="Tabletext"/>
            </w:pPr>
            <w:r w:rsidRPr="00A92246">
              <w:t>Quickstep</w:t>
            </w:r>
          </w:p>
        </w:tc>
        <w:tc>
          <w:tcPr>
            <w:tcW w:w="1193" w:type="pct"/>
            <w:shd w:val="clear" w:color="auto" w:fill="auto"/>
          </w:tcPr>
          <w:p w:rsidR="00045C17" w:rsidRPr="00A92246" w:rsidRDefault="00045C17" w:rsidP="00D10F3C">
            <w:pPr>
              <w:pStyle w:val="Tabletext"/>
            </w:pPr>
            <w:proofErr w:type="spellStart"/>
            <w:r w:rsidRPr="00A92246">
              <w:t>ADF</w:t>
            </w:r>
            <w:proofErr w:type="spellEnd"/>
            <w:r w:rsidRPr="00A92246">
              <w:t xml:space="preserve"> mission in Fiji</w:t>
            </w:r>
          </w:p>
        </w:tc>
        <w:tc>
          <w:tcPr>
            <w:tcW w:w="1364" w:type="pct"/>
            <w:shd w:val="clear" w:color="auto" w:fill="auto"/>
          </w:tcPr>
          <w:p w:rsidR="00045C17" w:rsidRPr="00A92246" w:rsidRDefault="00045C17" w:rsidP="00D10F3C">
            <w:pPr>
              <w:pStyle w:val="Tabletext"/>
            </w:pPr>
            <w:r w:rsidRPr="00A92246">
              <w:t xml:space="preserve">Fiji and its land, internal waters, archipelagic waters, territorial sea and </w:t>
            </w:r>
            <w:proofErr w:type="spellStart"/>
            <w:r w:rsidRPr="00A92246">
              <w:t>superjacent</w:t>
            </w:r>
            <w:proofErr w:type="spellEnd"/>
            <w:r w:rsidRPr="00A92246">
              <w:t xml:space="preserve"> airspace and the exclusive economic zone of Fiji</w:t>
            </w:r>
          </w:p>
        </w:tc>
        <w:tc>
          <w:tcPr>
            <w:tcW w:w="912" w:type="pct"/>
            <w:shd w:val="clear" w:color="auto" w:fill="auto"/>
          </w:tcPr>
          <w:p w:rsidR="00045C17" w:rsidRPr="00A92246" w:rsidRDefault="00045C17" w:rsidP="00D10F3C">
            <w:pPr>
              <w:pStyle w:val="Tabletext"/>
            </w:pPr>
            <w:r w:rsidRPr="00A92246">
              <w:t>31</w:t>
            </w:r>
            <w:r w:rsidR="00A92246" w:rsidRPr="00A92246">
              <w:t> </w:t>
            </w:r>
            <w:r w:rsidRPr="00A92246">
              <w:t>October 2006–22</w:t>
            </w:r>
            <w:r w:rsidR="00A92246" w:rsidRPr="00A92246">
              <w:t> </w:t>
            </w:r>
            <w:r w:rsidRPr="00A92246">
              <w:t>December 2006</w:t>
            </w:r>
          </w:p>
        </w:tc>
      </w:tr>
      <w:tr w:rsidR="00045C17" w:rsidRPr="00A92246" w:rsidTr="00D10F3C">
        <w:tc>
          <w:tcPr>
            <w:tcW w:w="429" w:type="pct"/>
            <w:shd w:val="clear" w:color="auto" w:fill="auto"/>
          </w:tcPr>
          <w:p w:rsidR="00045C17" w:rsidRPr="00A92246" w:rsidRDefault="00045C17" w:rsidP="00D10F3C">
            <w:pPr>
              <w:pStyle w:val="Tabletext"/>
            </w:pPr>
            <w:r w:rsidRPr="00A92246">
              <w:t>15</w:t>
            </w:r>
          </w:p>
        </w:tc>
        <w:tc>
          <w:tcPr>
            <w:tcW w:w="1102" w:type="pct"/>
            <w:shd w:val="clear" w:color="auto" w:fill="auto"/>
          </w:tcPr>
          <w:p w:rsidR="00045C17" w:rsidRPr="00A92246" w:rsidRDefault="00045C17" w:rsidP="00D10F3C">
            <w:pPr>
              <w:pStyle w:val="Tabletext"/>
            </w:pPr>
            <w:r w:rsidRPr="00A92246">
              <w:t>Quickstep Tonga</w:t>
            </w:r>
          </w:p>
        </w:tc>
        <w:tc>
          <w:tcPr>
            <w:tcW w:w="1193" w:type="pct"/>
            <w:shd w:val="clear" w:color="auto" w:fill="auto"/>
          </w:tcPr>
          <w:p w:rsidR="00045C17" w:rsidRPr="00A92246" w:rsidRDefault="00045C17" w:rsidP="00D10F3C">
            <w:pPr>
              <w:pStyle w:val="Tabletext"/>
            </w:pPr>
            <w:proofErr w:type="spellStart"/>
            <w:r w:rsidRPr="00A92246">
              <w:t>ADF</w:t>
            </w:r>
            <w:proofErr w:type="spellEnd"/>
            <w:r w:rsidRPr="00A92246">
              <w:t xml:space="preserve"> operation to assist the Government of Tonga with the restoration of law and order in Tonga</w:t>
            </w:r>
          </w:p>
        </w:tc>
        <w:tc>
          <w:tcPr>
            <w:tcW w:w="1364" w:type="pct"/>
            <w:shd w:val="clear" w:color="auto" w:fill="auto"/>
          </w:tcPr>
          <w:p w:rsidR="00045C17" w:rsidRPr="00A92246" w:rsidRDefault="00045C17" w:rsidP="00D10F3C">
            <w:pPr>
              <w:pStyle w:val="Tabletext"/>
            </w:pPr>
            <w:r w:rsidRPr="00A92246">
              <w:t xml:space="preserve">Sovereign territory of Tonga, including the land territory, internal waters, territorial sea, </w:t>
            </w:r>
            <w:proofErr w:type="spellStart"/>
            <w:r w:rsidRPr="00A92246">
              <w:t>superjacent</w:t>
            </w:r>
            <w:proofErr w:type="spellEnd"/>
            <w:r w:rsidRPr="00A92246">
              <w:t xml:space="preserve"> airspace, and the exclusive economic zone of Tonga, and its </w:t>
            </w:r>
            <w:proofErr w:type="spellStart"/>
            <w:r w:rsidRPr="00A92246">
              <w:t>superjacent</w:t>
            </w:r>
            <w:proofErr w:type="spellEnd"/>
            <w:r w:rsidRPr="00A92246">
              <w:t xml:space="preserve"> airspace</w:t>
            </w:r>
          </w:p>
        </w:tc>
        <w:tc>
          <w:tcPr>
            <w:tcW w:w="912" w:type="pct"/>
            <w:shd w:val="clear" w:color="auto" w:fill="auto"/>
          </w:tcPr>
          <w:p w:rsidR="00045C17" w:rsidRPr="00A92246" w:rsidRDefault="00045C17" w:rsidP="00D10F3C">
            <w:pPr>
              <w:pStyle w:val="Tabletext"/>
            </w:pPr>
            <w:r w:rsidRPr="00A92246">
              <w:t>18</w:t>
            </w:r>
            <w:r w:rsidR="00A92246" w:rsidRPr="00A92246">
              <w:t> </w:t>
            </w:r>
            <w:r w:rsidRPr="00A92246">
              <w:t>November 2006–30</w:t>
            </w:r>
            <w:r w:rsidR="00A92246" w:rsidRPr="00A92246">
              <w:t> </w:t>
            </w:r>
            <w:r w:rsidRPr="00A92246">
              <w:t>November 2006</w:t>
            </w:r>
          </w:p>
        </w:tc>
      </w:tr>
      <w:tr w:rsidR="00045C17" w:rsidRPr="00A92246" w:rsidTr="00D10F3C">
        <w:tc>
          <w:tcPr>
            <w:tcW w:w="429" w:type="pct"/>
            <w:shd w:val="clear" w:color="auto" w:fill="auto"/>
          </w:tcPr>
          <w:p w:rsidR="00045C17" w:rsidRPr="00A92246" w:rsidRDefault="00045C17" w:rsidP="00D10F3C">
            <w:pPr>
              <w:pStyle w:val="Tabletext"/>
            </w:pPr>
            <w:r w:rsidRPr="00A92246">
              <w:t>16</w:t>
            </w:r>
          </w:p>
        </w:tc>
        <w:tc>
          <w:tcPr>
            <w:tcW w:w="1102" w:type="pct"/>
            <w:shd w:val="clear" w:color="auto" w:fill="auto"/>
          </w:tcPr>
          <w:p w:rsidR="00045C17" w:rsidRPr="00A92246" w:rsidRDefault="00045C17" w:rsidP="00D10F3C">
            <w:pPr>
              <w:pStyle w:val="Tabletext"/>
            </w:pPr>
            <w:r w:rsidRPr="00A92246">
              <w:t>Hedgerow</w:t>
            </w:r>
          </w:p>
        </w:tc>
        <w:tc>
          <w:tcPr>
            <w:tcW w:w="1193" w:type="pct"/>
            <w:shd w:val="clear" w:color="auto" w:fill="auto"/>
          </w:tcPr>
          <w:p w:rsidR="00045C17" w:rsidRPr="00A92246" w:rsidRDefault="00045C17" w:rsidP="00D10F3C">
            <w:pPr>
              <w:pStyle w:val="Tabletext"/>
            </w:pPr>
            <w:proofErr w:type="spellStart"/>
            <w:r w:rsidRPr="00A92246">
              <w:t>ADF</w:t>
            </w:r>
            <w:proofErr w:type="spellEnd"/>
            <w:r w:rsidRPr="00A92246">
              <w:t xml:space="preserve"> contribution to the hybrid United Nations and African Union mission in Darfur</w:t>
            </w:r>
          </w:p>
        </w:tc>
        <w:tc>
          <w:tcPr>
            <w:tcW w:w="1364" w:type="pct"/>
            <w:shd w:val="clear" w:color="auto" w:fill="auto"/>
          </w:tcPr>
          <w:p w:rsidR="00045C17" w:rsidRPr="00A92246" w:rsidRDefault="00045C17" w:rsidP="00D10F3C">
            <w:pPr>
              <w:pStyle w:val="Tabletext"/>
            </w:pPr>
            <w:r w:rsidRPr="00A92246">
              <w:t>Sudan</w:t>
            </w:r>
          </w:p>
        </w:tc>
        <w:tc>
          <w:tcPr>
            <w:tcW w:w="912" w:type="pct"/>
            <w:shd w:val="clear" w:color="auto" w:fill="auto"/>
          </w:tcPr>
          <w:p w:rsidR="00045C17" w:rsidRPr="00A92246" w:rsidRDefault="00045C17" w:rsidP="00D10F3C">
            <w:pPr>
              <w:pStyle w:val="Tabletext"/>
            </w:pPr>
            <w:r w:rsidRPr="00A92246">
              <w:t>On and after 28</w:t>
            </w:r>
            <w:r w:rsidR="00A92246" w:rsidRPr="00A92246">
              <w:t> </w:t>
            </w:r>
            <w:r w:rsidRPr="00A92246">
              <w:t>July 2008</w:t>
            </w:r>
          </w:p>
        </w:tc>
      </w:tr>
      <w:tr w:rsidR="00045C17" w:rsidRPr="00A92246" w:rsidTr="00D10F3C">
        <w:tc>
          <w:tcPr>
            <w:tcW w:w="429" w:type="pct"/>
            <w:shd w:val="clear" w:color="auto" w:fill="auto"/>
          </w:tcPr>
          <w:p w:rsidR="00045C17" w:rsidRPr="00A92246" w:rsidRDefault="00045C17" w:rsidP="00D10F3C">
            <w:pPr>
              <w:pStyle w:val="Tabletext"/>
            </w:pPr>
            <w:r w:rsidRPr="00A92246">
              <w:t>17</w:t>
            </w:r>
          </w:p>
        </w:tc>
        <w:tc>
          <w:tcPr>
            <w:tcW w:w="1102" w:type="pct"/>
            <w:shd w:val="clear" w:color="auto" w:fill="auto"/>
          </w:tcPr>
          <w:p w:rsidR="00045C17" w:rsidRPr="00A92246" w:rsidRDefault="00045C17" w:rsidP="00D10F3C">
            <w:pPr>
              <w:pStyle w:val="Tabletext"/>
            </w:pPr>
          </w:p>
        </w:tc>
        <w:tc>
          <w:tcPr>
            <w:tcW w:w="1193" w:type="pct"/>
            <w:shd w:val="clear" w:color="auto" w:fill="auto"/>
          </w:tcPr>
          <w:p w:rsidR="00045C17" w:rsidRPr="00A92246" w:rsidRDefault="00045C17" w:rsidP="00D10F3C">
            <w:pPr>
              <w:pStyle w:val="Tabletext"/>
            </w:pPr>
            <w:proofErr w:type="spellStart"/>
            <w:r w:rsidRPr="00A92246">
              <w:t>ADF</w:t>
            </w:r>
            <w:proofErr w:type="spellEnd"/>
            <w:r w:rsidRPr="00A92246">
              <w:t xml:space="preserve"> contribution to the NATO no</w:t>
            </w:r>
            <w:r w:rsidR="00A92246">
              <w:noBreakHyphen/>
            </w:r>
            <w:r w:rsidRPr="00A92246">
              <w:t>fly zone and maritime enforcement operation against Libya</w:t>
            </w:r>
          </w:p>
        </w:tc>
        <w:tc>
          <w:tcPr>
            <w:tcW w:w="1364" w:type="pct"/>
            <w:shd w:val="clear" w:color="auto" w:fill="auto"/>
          </w:tcPr>
          <w:p w:rsidR="00045C17" w:rsidRPr="00A92246" w:rsidRDefault="00045C17" w:rsidP="00D10F3C">
            <w:pPr>
              <w:pStyle w:val="Tabletext"/>
            </w:pPr>
            <w:r w:rsidRPr="00A92246">
              <w:t xml:space="preserve">International waters and </w:t>
            </w:r>
            <w:proofErr w:type="spellStart"/>
            <w:r w:rsidRPr="00A92246">
              <w:t>superjacent</w:t>
            </w:r>
            <w:proofErr w:type="spellEnd"/>
            <w:r w:rsidRPr="00A92246">
              <w:t xml:space="preserve"> airspace of the central southern Mediterranean Sea between 10°00</w:t>
            </w:r>
            <w:r w:rsidRPr="00A92246">
              <w:rPr>
                <w:szCs w:val="22"/>
              </w:rPr>
              <w:t>′</w:t>
            </w:r>
            <w:r w:rsidRPr="00A92246">
              <w:t>E and 28°00</w:t>
            </w:r>
            <w:r w:rsidRPr="00A92246">
              <w:rPr>
                <w:szCs w:val="22"/>
              </w:rPr>
              <w:t>′</w:t>
            </w:r>
            <w:r w:rsidRPr="00A92246">
              <w:t>E and south of 41°00</w:t>
            </w:r>
            <w:r w:rsidRPr="00A92246">
              <w:rPr>
                <w:szCs w:val="22"/>
              </w:rPr>
              <w:t>′</w:t>
            </w:r>
            <w:r w:rsidRPr="00A92246">
              <w:t xml:space="preserve">N, including portions of Italy, Greece, Turkey, Albania and all of Malta and north of Libya and its territorial waters and </w:t>
            </w:r>
            <w:proofErr w:type="spellStart"/>
            <w:r w:rsidRPr="00A92246">
              <w:t>superjacent</w:t>
            </w:r>
            <w:proofErr w:type="spellEnd"/>
            <w:r w:rsidRPr="00A92246">
              <w:t xml:space="preserve"> airspace</w:t>
            </w:r>
          </w:p>
        </w:tc>
        <w:tc>
          <w:tcPr>
            <w:tcW w:w="912" w:type="pct"/>
            <w:shd w:val="clear" w:color="auto" w:fill="auto"/>
          </w:tcPr>
          <w:p w:rsidR="00045C17" w:rsidRPr="00A92246" w:rsidRDefault="00045C17" w:rsidP="00D10F3C">
            <w:pPr>
              <w:pStyle w:val="Tabletext"/>
            </w:pPr>
            <w:r w:rsidRPr="00A92246">
              <w:t>31</w:t>
            </w:r>
            <w:r w:rsidR="00A92246" w:rsidRPr="00A92246">
              <w:t> </w:t>
            </w:r>
            <w:r w:rsidRPr="00A92246">
              <w:t>March 2011–31</w:t>
            </w:r>
            <w:r w:rsidR="00A92246" w:rsidRPr="00A92246">
              <w:t> </w:t>
            </w:r>
            <w:r w:rsidRPr="00A92246">
              <w:t>October 2011</w:t>
            </w:r>
          </w:p>
        </w:tc>
      </w:tr>
      <w:tr w:rsidR="00045C17" w:rsidRPr="00A92246" w:rsidTr="00D10F3C">
        <w:tc>
          <w:tcPr>
            <w:tcW w:w="429" w:type="pct"/>
            <w:shd w:val="clear" w:color="auto" w:fill="auto"/>
          </w:tcPr>
          <w:p w:rsidR="00045C17" w:rsidRPr="00A92246" w:rsidRDefault="00045C17" w:rsidP="00D10F3C">
            <w:pPr>
              <w:pStyle w:val="Tabletext"/>
            </w:pPr>
            <w:r w:rsidRPr="00A92246">
              <w:t>18</w:t>
            </w:r>
          </w:p>
        </w:tc>
        <w:tc>
          <w:tcPr>
            <w:tcW w:w="1102" w:type="pct"/>
            <w:shd w:val="clear" w:color="auto" w:fill="auto"/>
          </w:tcPr>
          <w:p w:rsidR="00045C17" w:rsidRPr="00A92246" w:rsidRDefault="00045C17" w:rsidP="00D10F3C">
            <w:pPr>
              <w:pStyle w:val="Tabletext"/>
            </w:pPr>
            <w:r w:rsidRPr="00A92246">
              <w:t>Aslan</w:t>
            </w:r>
          </w:p>
        </w:tc>
        <w:tc>
          <w:tcPr>
            <w:tcW w:w="1193" w:type="pct"/>
            <w:shd w:val="clear" w:color="auto" w:fill="auto"/>
          </w:tcPr>
          <w:p w:rsidR="00045C17" w:rsidRPr="00A92246" w:rsidRDefault="00045C17" w:rsidP="00D10F3C">
            <w:pPr>
              <w:pStyle w:val="Tabletext"/>
            </w:pPr>
            <w:proofErr w:type="spellStart"/>
            <w:r w:rsidRPr="00A92246">
              <w:t>ADF</w:t>
            </w:r>
            <w:proofErr w:type="spellEnd"/>
            <w:r w:rsidRPr="00A92246">
              <w:t xml:space="preserve"> contribution to the United Nations Mission in the Republic of South Sudan</w:t>
            </w:r>
          </w:p>
        </w:tc>
        <w:tc>
          <w:tcPr>
            <w:tcW w:w="1364" w:type="pct"/>
            <w:shd w:val="clear" w:color="auto" w:fill="auto"/>
          </w:tcPr>
          <w:p w:rsidR="00045C17" w:rsidRPr="00A92246" w:rsidRDefault="00045C17" w:rsidP="00D10F3C">
            <w:pPr>
              <w:pStyle w:val="Tabletext"/>
            </w:pPr>
            <w:r w:rsidRPr="00A92246">
              <w:t xml:space="preserve">Republic of South Sudan and its </w:t>
            </w:r>
            <w:proofErr w:type="spellStart"/>
            <w:r w:rsidRPr="00A92246">
              <w:t>superjacent</w:t>
            </w:r>
            <w:proofErr w:type="spellEnd"/>
            <w:r w:rsidRPr="00A92246">
              <w:t xml:space="preserve"> airspace</w:t>
            </w:r>
          </w:p>
        </w:tc>
        <w:tc>
          <w:tcPr>
            <w:tcW w:w="912" w:type="pct"/>
            <w:shd w:val="clear" w:color="auto" w:fill="auto"/>
          </w:tcPr>
          <w:p w:rsidR="00045C17" w:rsidRPr="00A92246" w:rsidRDefault="00045C17" w:rsidP="00D10F3C">
            <w:pPr>
              <w:pStyle w:val="Tabletext"/>
            </w:pPr>
            <w:r w:rsidRPr="00A92246">
              <w:t>On and after 23</w:t>
            </w:r>
            <w:r w:rsidR="00A92246" w:rsidRPr="00A92246">
              <w:t> </w:t>
            </w:r>
            <w:r w:rsidRPr="00A92246">
              <w:t>September 2011</w:t>
            </w:r>
          </w:p>
        </w:tc>
      </w:tr>
      <w:tr w:rsidR="00045C17" w:rsidRPr="00A92246" w:rsidTr="00D10F3C">
        <w:tc>
          <w:tcPr>
            <w:tcW w:w="429" w:type="pct"/>
            <w:shd w:val="clear" w:color="auto" w:fill="auto"/>
          </w:tcPr>
          <w:p w:rsidR="00045C17" w:rsidRPr="00A92246" w:rsidRDefault="00045C17" w:rsidP="00D10F3C">
            <w:pPr>
              <w:pStyle w:val="Tabletext"/>
            </w:pPr>
            <w:r w:rsidRPr="00A92246">
              <w:t>19</w:t>
            </w:r>
          </w:p>
        </w:tc>
        <w:tc>
          <w:tcPr>
            <w:tcW w:w="1102" w:type="pct"/>
            <w:shd w:val="clear" w:color="auto" w:fill="auto"/>
          </w:tcPr>
          <w:p w:rsidR="00045C17" w:rsidRPr="00A92246" w:rsidRDefault="00045C17" w:rsidP="00D10F3C">
            <w:pPr>
              <w:pStyle w:val="Tabletext"/>
            </w:pPr>
            <w:r w:rsidRPr="00A92246">
              <w:t>Accordion</w:t>
            </w:r>
          </w:p>
        </w:tc>
        <w:tc>
          <w:tcPr>
            <w:tcW w:w="1193" w:type="pct"/>
            <w:shd w:val="clear" w:color="auto" w:fill="auto"/>
          </w:tcPr>
          <w:p w:rsidR="00045C17" w:rsidRPr="00A92246" w:rsidRDefault="00045C17" w:rsidP="00D10F3C">
            <w:pPr>
              <w:pStyle w:val="Tabletext"/>
            </w:pPr>
            <w:r w:rsidRPr="00A92246">
              <w:t xml:space="preserve">Supporting operations in Bahrain, Qatar and the United Arab Emirates in relation to </w:t>
            </w:r>
            <w:r w:rsidRPr="00A92246">
              <w:lastRenderedPageBreak/>
              <w:t xml:space="preserve">the </w:t>
            </w:r>
            <w:proofErr w:type="spellStart"/>
            <w:r w:rsidRPr="00A92246">
              <w:t>ADF</w:t>
            </w:r>
            <w:proofErr w:type="spellEnd"/>
            <w:r w:rsidRPr="00A92246">
              <w:t xml:space="preserve"> contribution to the International Coalition against Terrorism</w:t>
            </w:r>
          </w:p>
        </w:tc>
        <w:tc>
          <w:tcPr>
            <w:tcW w:w="1364" w:type="pct"/>
            <w:shd w:val="clear" w:color="auto" w:fill="auto"/>
          </w:tcPr>
          <w:p w:rsidR="00045C17" w:rsidRPr="00A92246" w:rsidRDefault="00045C17" w:rsidP="00D10F3C">
            <w:pPr>
              <w:pStyle w:val="Tabletext"/>
            </w:pPr>
            <w:r w:rsidRPr="00A92246">
              <w:lastRenderedPageBreak/>
              <w:t xml:space="preserve">The area bounded by the land mass and </w:t>
            </w:r>
            <w:proofErr w:type="spellStart"/>
            <w:r w:rsidRPr="00A92246">
              <w:t>superjacent</w:t>
            </w:r>
            <w:proofErr w:type="spellEnd"/>
            <w:r w:rsidRPr="00A92246">
              <w:t xml:space="preserve"> airspaces of Bahrain, Qatar and the United </w:t>
            </w:r>
            <w:r w:rsidRPr="00A92246">
              <w:lastRenderedPageBreak/>
              <w:t>Arab Emirates</w:t>
            </w:r>
          </w:p>
        </w:tc>
        <w:tc>
          <w:tcPr>
            <w:tcW w:w="912" w:type="pct"/>
            <w:shd w:val="clear" w:color="auto" w:fill="auto"/>
          </w:tcPr>
          <w:p w:rsidR="00045C17" w:rsidRPr="00A92246" w:rsidRDefault="00045C17" w:rsidP="00D10F3C">
            <w:pPr>
              <w:pStyle w:val="Tabletext"/>
            </w:pPr>
            <w:r w:rsidRPr="00A92246">
              <w:lastRenderedPageBreak/>
              <w:t>On and after 1</w:t>
            </w:r>
            <w:r w:rsidR="00A92246" w:rsidRPr="00A92246">
              <w:t> </w:t>
            </w:r>
            <w:r w:rsidRPr="00A92246">
              <w:t>July 2014</w:t>
            </w:r>
          </w:p>
        </w:tc>
      </w:tr>
      <w:tr w:rsidR="00045C17" w:rsidRPr="00A92246" w:rsidTr="00D10F3C">
        <w:tc>
          <w:tcPr>
            <w:tcW w:w="429" w:type="pct"/>
            <w:shd w:val="clear" w:color="auto" w:fill="auto"/>
          </w:tcPr>
          <w:p w:rsidR="00045C17" w:rsidRPr="00A92246" w:rsidRDefault="00045C17" w:rsidP="00D10F3C">
            <w:pPr>
              <w:pStyle w:val="Tabletext"/>
            </w:pPr>
            <w:r w:rsidRPr="00A92246">
              <w:lastRenderedPageBreak/>
              <w:t xml:space="preserve">20 </w:t>
            </w:r>
          </w:p>
        </w:tc>
        <w:tc>
          <w:tcPr>
            <w:tcW w:w="1102" w:type="pct"/>
            <w:shd w:val="clear" w:color="auto" w:fill="auto"/>
          </w:tcPr>
          <w:p w:rsidR="00045C17" w:rsidRPr="00A92246" w:rsidRDefault="00045C17" w:rsidP="00D10F3C">
            <w:pPr>
              <w:pStyle w:val="Tabletext"/>
            </w:pPr>
            <w:r w:rsidRPr="00A92246">
              <w:t>Manitou</w:t>
            </w:r>
          </w:p>
        </w:tc>
        <w:tc>
          <w:tcPr>
            <w:tcW w:w="1193" w:type="pct"/>
            <w:shd w:val="clear" w:color="auto" w:fill="auto"/>
          </w:tcPr>
          <w:p w:rsidR="00045C17" w:rsidRPr="00A92246" w:rsidRDefault="00045C17" w:rsidP="00D10F3C">
            <w:pPr>
              <w:pStyle w:val="Tabletext"/>
            </w:pPr>
            <w:r w:rsidRPr="00A92246">
              <w:t>Maritime operations, including counter</w:t>
            </w:r>
            <w:r w:rsidR="00A92246">
              <w:noBreakHyphen/>
            </w:r>
            <w:r w:rsidRPr="00A92246">
              <w:t>piracy operations</w:t>
            </w:r>
          </w:p>
        </w:tc>
        <w:tc>
          <w:tcPr>
            <w:tcW w:w="1364" w:type="pct"/>
            <w:shd w:val="clear" w:color="auto" w:fill="auto"/>
          </w:tcPr>
          <w:p w:rsidR="00045C17" w:rsidRPr="00A92246" w:rsidRDefault="00045C17" w:rsidP="00D10F3C">
            <w:pPr>
              <w:pStyle w:val="Tabletext"/>
            </w:pPr>
            <w:r w:rsidRPr="00A92246">
              <w:t>The area:</w:t>
            </w:r>
          </w:p>
          <w:p w:rsidR="00045C17" w:rsidRPr="00A92246" w:rsidRDefault="00045C17" w:rsidP="00D10F3C">
            <w:pPr>
              <w:pStyle w:val="Tablea"/>
              <w:rPr>
                <w:lang w:eastAsia="en-US"/>
              </w:rPr>
            </w:pPr>
            <w:r w:rsidRPr="00A92246">
              <w:t xml:space="preserve">(a) comprising all sea and </w:t>
            </w:r>
            <w:proofErr w:type="spellStart"/>
            <w:r w:rsidRPr="00A92246">
              <w:t>superjacent</w:t>
            </w:r>
            <w:proofErr w:type="spellEnd"/>
            <w:r w:rsidRPr="00A92246">
              <w:t xml:space="preserve"> airspace of the Persian Gulf, the Gulf of Aden, the Red Sea and the Arabian Sea north of latitude 11°</w:t>
            </w:r>
            <w:r w:rsidRPr="00A92246">
              <w:rPr>
                <w:lang w:eastAsia="en-US"/>
              </w:rPr>
              <w:t>00</w:t>
            </w:r>
            <w:r w:rsidRPr="00A92246">
              <w:rPr>
                <w:szCs w:val="22"/>
              </w:rPr>
              <w:t>′</w:t>
            </w:r>
            <w:r w:rsidRPr="00A92246">
              <w:rPr>
                <w:lang w:eastAsia="en-US"/>
              </w:rPr>
              <w:t>S and west of longitude 68°00</w:t>
            </w:r>
            <w:r w:rsidRPr="00A92246">
              <w:rPr>
                <w:szCs w:val="22"/>
              </w:rPr>
              <w:t>′</w:t>
            </w:r>
            <w:r w:rsidRPr="00A92246">
              <w:rPr>
                <w:lang w:eastAsia="en-US"/>
              </w:rPr>
              <w:t>E; and</w:t>
            </w:r>
          </w:p>
          <w:p w:rsidR="00045C17" w:rsidRPr="00A92246" w:rsidRDefault="00045C17" w:rsidP="00D10F3C">
            <w:pPr>
              <w:pStyle w:val="Tablea"/>
            </w:pPr>
            <w:r w:rsidRPr="00A92246">
              <w:t xml:space="preserve">(b) including the ports adjacent to the area mentioned in </w:t>
            </w:r>
            <w:r w:rsidR="00A92246" w:rsidRPr="00A92246">
              <w:t>paragraph (</w:t>
            </w:r>
            <w:r w:rsidRPr="00A92246">
              <w:t>a), and the area within a 10 kilometre radius of each port</w:t>
            </w:r>
          </w:p>
        </w:tc>
        <w:tc>
          <w:tcPr>
            <w:tcW w:w="912" w:type="pct"/>
            <w:shd w:val="clear" w:color="auto" w:fill="auto"/>
          </w:tcPr>
          <w:p w:rsidR="00045C17" w:rsidRPr="00A92246" w:rsidRDefault="00045C17" w:rsidP="00D10F3C">
            <w:pPr>
              <w:pStyle w:val="Tabletext"/>
            </w:pPr>
            <w:r w:rsidRPr="00A92246">
              <w:t>1</w:t>
            </w:r>
            <w:r w:rsidR="00A92246" w:rsidRPr="00A92246">
              <w:t> </w:t>
            </w:r>
            <w:r w:rsidRPr="00A92246">
              <w:t>July 2014–13</w:t>
            </w:r>
            <w:r w:rsidR="00A92246" w:rsidRPr="00A92246">
              <w:t> </w:t>
            </w:r>
            <w:r w:rsidRPr="00A92246">
              <w:t>May 2015</w:t>
            </w:r>
          </w:p>
        </w:tc>
      </w:tr>
      <w:tr w:rsidR="00045C17" w:rsidRPr="00A92246" w:rsidTr="00D10F3C">
        <w:tc>
          <w:tcPr>
            <w:tcW w:w="429" w:type="pct"/>
            <w:shd w:val="clear" w:color="auto" w:fill="auto"/>
          </w:tcPr>
          <w:p w:rsidR="00045C17" w:rsidRPr="00A92246" w:rsidRDefault="00045C17" w:rsidP="00D10F3C">
            <w:pPr>
              <w:pStyle w:val="Tabletext"/>
            </w:pPr>
            <w:r w:rsidRPr="00A92246">
              <w:t>21</w:t>
            </w:r>
          </w:p>
        </w:tc>
        <w:tc>
          <w:tcPr>
            <w:tcW w:w="1102" w:type="pct"/>
            <w:shd w:val="clear" w:color="auto" w:fill="auto"/>
          </w:tcPr>
          <w:p w:rsidR="00045C17" w:rsidRPr="00A92246" w:rsidRDefault="00045C17" w:rsidP="00D10F3C">
            <w:pPr>
              <w:pStyle w:val="Tabletext"/>
            </w:pPr>
            <w:r w:rsidRPr="00A92246">
              <w:t>Manitou</w:t>
            </w:r>
          </w:p>
        </w:tc>
        <w:tc>
          <w:tcPr>
            <w:tcW w:w="1193" w:type="pct"/>
            <w:shd w:val="clear" w:color="auto" w:fill="auto"/>
          </w:tcPr>
          <w:p w:rsidR="00045C17" w:rsidRPr="00A92246" w:rsidRDefault="00045C17" w:rsidP="00D10F3C">
            <w:pPr>
              <w:pStyle w:val="Tabletext"/>
            </w:pPr>
            <w:r w:rsidRPr="00A92246">
              <w:t>Maritime operations, including counter</w:t>
            </w:r>
            <w:r w:rsidR="00A92246">
              <w:noBreakHyphen/>
            </w:r>
            <w:r w:rsidRPr="00A92246">
              <w:t>piracy operations</w:t>
            </w:r>
          </w:p>
        </w:tc>
        <w:tc>
          <w:tcPr>
            <w:tcW w:w="1364" w:type="pct"/>
            <w:shd w:val="clear" w:color="auto" w:fill="auto"/>
          </w:tcPr>
          <w:p w:rsidR="00045C17" w:rsidRPr="00A92246" w:rsidRDefault="00045C17" w:rsidP="00D10F3C">
            <w:pPr>
              <w:pStyle w:val="Tabletext"/>
            </w:pPr>
            <w:r w:rsidRPr="00A92246">
              <w:t>The area:</w:t>
            </w:r>
          </w:p>
          <w:p w:rsidR="00045C17" w:rsidRPr="00A92246" w:rsidRDefault="00045C17" w:rsidP="00D10F3C">
            <w:pPr>
              <w:pStyle w:val="Tablea"/>
              <w:rPr>
                <w:lang w:eastAsia="en-US"/>
              </w:rPr>
            </w:pPr>
            <w:r w:rsidRPr="00A92246">
              <w:t xml:space="preserve">(a) comprising all sea and </w:t>
            </w:r>
            <w:proofErr w:type="spellStart"/>
            <w:r w:rsidRPr="00A92246">
              <w:t>superjacent</w:t>
            </w:r>
            <w:proofErr w:type="spellEnd"/>
            <w:r w:rsidRPr="00A92246">
              <w:t xml:space="preserve"> airspace of the Persian Gulf, the Gulf of Oman, the Arabian Sea, the Gulf of Aden, the Red Sea, the Gulf of Suez, the Gulf of Aqaba and the Indian Ocean north of latitude 15°</w:t>
            </w:r>
            <w:r w:rsidRPr="00A92246">
              <w:rPr>
                <w:lang w:eastAsia="en-US"/>
              </w:rPr>
              <w:t>00</w:t>
            </w:r>
            <w:r w:rsidRPr="00A92246">
              <w:rPr>
                <w:szCs w:val="22"/>
              </w:rPr>
              <w:t>′</w:t>
            </w:r>
            <w:r w:rsidRPr="00A92246">
              <w:rPr>
                <w:lang w:eastAsia="en-US"/>
              </w:rPr>
              <w:t>S and west of longitude 68°00</w:t>
            </w:r>
            <w:r w:rsidRPr="00A92246">
              <w:rPr>
                <w:szCs w:val="22"/>
              </w:rPr>
              <w:t>′</w:t>
            </w:r>
            <w:r w:rsidRPr="00A92246">
              <w:rPr>
                <w:lang w:eastAsia="en-US"/>
              </w:rPr>
              <w:t>E; and</w:t>
            </w:r>
          </w:p>
          <w:p w:rsidR="00045C17" w:rsidRPr="00A92246" w:rsidRDefault="00045C17" w:rsidP="00D10F3C">
            <w:pPr>
              <w:pStyle w:val="Tablea"/>
            </w:pPr>
            <w:r w:rsidRPr="00A92246">
              <w:t xml:space="preserve">(b) including the ports adjacent to the area mentioned in </w:t>
            </w:r>
            <w:r w:rsidR="00A92246" w:rsidRPr="00A92246">
              <w:t>paragraph (</w:t>
            </w:r>
            <w:r w:rsidRPr="00A92246">
              <w:t>a), and the area within a 10 kilometre radius of each port</w:t>
            </w:r>
          </w:p>
        </w:tc>
        <w:tc>
          <w:tcPr>
            <w:tcW w:w="912" w:type="pct"/>
            <w:shd w:val="clear" w:color="auto" w:fill="auto"/>
          </w:tcPr>
          <w:p w:rsidR="00045C17" w:rsidRPr="00A92246" w:rsidRDefault="00045C17" w:rsidP="00D10F3C">
            <w:pPr>
              <w:pStyle w:val="Tabletext"/>
            </w:pPr>
            <w:r w:rsidRPr="00A92246">
              <w:t>On and after 14</w:t>
            </w:r>
            <w:r w:rsidR="00A92246" w:rsidRPr="00A92246">
              <w:t> </w:t>
            </w:r>
            <w:r w:rsidRPr="00A92246">
              <w:t>May 2015</w:t>
            </w:r>
          </w:p>
        </w:tc>
      </w:tr>
      <w:tr w:rsidR="00045C17" w:rsidRPr="00A92246" w:rsidTr="00D10F3C">
        <w:tc>
          <w:tcPr>
            <w:tcW w:w="429" w:type="pct"/>
            <w:shd w:val="clear" w:color="auto" w:fill="auto"/>
          </w:tcPr>
          <w:p w:rsidR="00045C17" w:rsidRPr="00A92246" w:rsidRDefault="00045C17" w:rsidP="00D10F3C">
            <w:pPr>
              <w:pStyle w:val="Tabletext"/>
            </w:pPr>
            <w:r w:rsidRPr="00A92246">
              <w:t>22</w:t>
            </w:r>
          </w:p>
        </w:tc>
        <w:tc>
          <w:tcPr>
            <w:tcW w:w="1102" w:type="pct"/>
            <w:shd w:val="clear" w:color="auto" w:fill="auto"/>
          </w:tcPr>
          <w:p w:rsidR="00045C17" w:rsidRPr="00A92246" w:rsidRDefault="00045C17" w:rsidP="00D10F3C">
            <w:pPr>
              <w:pStyle w:val="Tabletext"/>
            </w:pPr>
            <w:r w:rsidRPr="00A92246">
              <w:t>Okra</w:t>
            </w:r>
          </w:p>
        </w:tc>
        <w:tc>
          <w:tcPr>
            <w:tcW w:w="1193" w:type="pct"/>
            <w:shd w:val="clear" w:color="auto" w:fill="auto"/>
          </w:tcPr>
          <w:p w:rsidR="00045C17" w:rsidRPr="00A92246" w:rsidRDefault="00045C17" w:rsidP="00D10F3C">
            <w:pPr>
              <w:pStyle w:val="Tabletext"/>
            </w:pPr>
            <w:proofErr w:type="spellStart"/>
            <w:r w:rsidRPr="00A92246">
              <w:t>ADF</w:t>
            </w:r>
            <w:proofErr w:type="spellEnd"/>
            <w:r w:rsidRPr="00A92246">
              <w:t xml:space="preserve"> contribution to the Iraq crisis</w:t>
            </w:r>
          </w:p>
        </w:tc>
        <w:tc>
          <w:tcPr>
            <w:tcW w:w="1364" w:type="pct"/>
            <w:shd w:val="clear" w:color="auto" w:fill="auto"/>
          </w:tcPr>
          <w:p w:rsidR="00045C17" w:rsidRPr="00A92246" w:rsidRDefault="00045C17" w:rsidP="00D10F3C">
            <w:pPr>
              <w:pStyle w:val="Tabletext"/>
            </w:pPr>
            <w:r w:rsidRPr="00A92246">
              <w:t xml:space="preserve">The land area, territorial waters and </w:t>
            </w:r>
            <w:proofErr w:type="spellStart"/>
            <w:r w:rsidRPr="00A92246">
              <w:t>superjacent</w:t>
            </w:r>
            <w:proofErr w:type="spellEnd"/>
            <w:r w:rsidRPr="00A92246">
              <w:t xml:space="preserve"> airspace of Bahrain, Iraq, Jordan, Kuwait, Qatar and the United Arab Emirates, and the waters and </w:t>
            </w:r>
            <w:proofErr w:type="spellStart"/>
            <w:r w:rsidRPr="00A92246">
              <w:t>superjacent</w:t>
            </w:r>
            <w:proofErr w:type="spellEnd"/>
            <w:r w:rsidRPr="00A92246">
              <w:t xml:space="preserve"> airspace of the Persian Gulf</w:t>
            </w:r>
          </w:p>
        </w:tc>
        <w:tc>
          <w:tcPr>
            <w:tcW w:w="912" w:type="pct"/>
            <w:shd w:val="clear" w:color="auto" w:fill="auto"/>
          </w:tcPr>
          <w:p w:rsidR="00045C17" w:rsidRPr="00A92246" w:rsidRDefault="00045C17" w:rsidP="00D10F3C">
            <w:pPr>
              <w:pStyle w:val="Tabletext"/>
            </w:pPr>
            <w:r w:rsidRPr="00A92246">
              <w:t>1</w:t>
            </w:r>
            <w:r w:rsidR="00A92246" w:rsidRPr="00A92246">
              <w:t> </w:t>
            </w:r>
            <w:r w:rsidRPr="00A92246">
              <w:t>July 2014–8</w:t>
            </w:r>
            <w:r w:rsidR="00A92246" w:rsidRPr="00A92246">
              <w:t> </w:t>
            </w:r>
            <w:r w:rsidRPr="00A92246">
              <w:t>August 2014</w:t>
            </w:r>
          </w:p>
        </w:tc>
      </w:tr>
      <w:tr w:rsidR="00045C17" w:rsidRPr="00A92246" w:rsidTr="00D10F3C">
        <w:tc>
          <w:tcPr>
            <w:tcW w:w="429" w:type="pct"/>
            <w:shd w:val="clear" w:color="auto" w:fill="auto"/>
          </w:tcPr>
          <w:p w:rsidR="00045C17" w:rsidRPr="00A92246" w:rsidRDefault="00045C17" w:rsidP="00D10F3C">
            <w:pPr>
              <w:pStyle w:val="Tabletext"/>
            </w:pPr>
            <w:r w:rsidRPr="00A92246">
              <w:t>23</w:t>
            </w:r>
          </w:p>
        </w:tc>
        <w:tc>
          <w:tcPr>
            <w:tcW w:w="1102" w:type="pct"/>
            <w:shd w:val="clear" w:color="auto" w:fill="auto"/>
          </w:tcPr>
          <w:p w:rsidR="00045C17" w:rsidRPr="00A92246" w:rsidRDefault="00045C17" w:rsidP="00D10F3C">
            <w:pPr>
              <w:pStyle w:val="Tabletext"/>
            </w:pPr>
            <w:r w:rsidRPr="00A92246">
              <w:t>Okra</w:t>
            </w:r>
          </w:p>
        </w:tc>
        <w:tc>
          <w:tcPr>
            <w:tcW w:w="1193" w:type="pct"/>
            <w:shd w:val="clear" w:color="auto" w:fill="auto"/>
          </w:tcPr>
          <w:p w:rsidR="00045C17" w:rsidRPr="00A92246" w:rsidRDefault="00045C17" w:rsidP="00D10F3C">
            <w:pPr>
              <w:pStyle w:val="Tabletext"/>
            </w:pPr>
            <w:proofErr w:type="spellStart"/>
            <w:r w:rsidRPr="00A92246">
              <w:t>ADF</w:t>
            </w:r>
            <w:proofErr w:type="spellEnd"/>
            <w:r w:rsidRPr="00A92246">
              <w:t xml:space="preserve"> contribution to </w:t>
            </w:r>
            <w:r w:rsidRPr="00A92246">
              <w:lastRenderedPageBreak/>
              <w:t>the Iraq crisis</w:t>
            </w:r>
          </w:p>
        </w:tc>
        <w:tc>
          <w:tcPr>
            <w:tcW w:w="1364" w:type="pct"/>
            <w:shd w:val="clear" w:color="auto" w:fill="auto"/>
          </w:tcPr>
          <w:p w:rsidR="00045C17" w:rsidRPr="00A92246" w:rsidRDefault="00045C17" w:rsidP="00D10F3C">
            <w:pPr>
              <w:pStyle w:val="Tabletext"/>
            </w:pPr>
            <w:r w:rsidRPr="00A92246">
              <w:lastRenderedPageBreak/>
              <w:t xml:space="preserve">The land area, territorial </w:t>
            </w:r>
            <w:r w:rsidRPr="00A92246">
              <w:lastRenderedPageBreak/>
              <w:t xml:space="preserve">waters and </w:t>
            </w:r>
            <w:proofErr w:type="spellStart"/>
            <w:r w:rsidRPr="00A92246">
              <w:t>superjacent</w:t>
            </w:r>
            <w:proofErr w:type="spellEnd"/>
            <w:r w:rsidRPr="00A92246">
              <w:t xml:space="preserve"> airspace of Albania, Bahrain, Bosnia and Herzegovina, Bulgaria, Croatia, Cyprus, Czech Republic, Estonia, Hungary, Jordan, Kuwait, Montenegro, Poland, Qatar, Romania and the United Arab Emirates, and the waters and </w:t>
            </w:r>
            <w:proofErr w:type="spellStart"/>
            <w:r w:rsidRPr="00A92246">
              <w:t>superjacent</w:t>
            </w:r>
            <w:proofErr w:type="spellEnd"/>
            <w:r w:rsidRPr="00A92246">
              <w:t xml:space="preserve"> airspace of the Persian Gulf</w:t>
            </w:r>
          </w:p>
        </w:tc>
        <w:tc>
          <w:tcPr>
            <w:tcW w:w="912" w:type="pct"/>
            <w:shd w:val="clear" w:color="auto" w:fill="auto"/>
          </w:tcPr>
          <w:p w:rsidR="00045C17" w:rsidRPr="00A92246" w:rsidRDefault="00045C17" w:rsidP="00D10F3C">
            <w:pPr>
              <w:pStyle w:val="Tabletext"/>
            </w:pPr>
            <w:r w:rsidRPr="00A92246">
              <w:lastRenderedPageBreak/>
              <w:t>9</w:t>
            </w:r>
            <w:r w:rsidR="00A92246" w:rsidRPr="00A92246">
              <w:t> </w:t>
            </w:r>
            <w:r w:rsidRPr="00A92246">
              <w:t>August 2014–</w:t>
            </w:r>
            <w:r w:rsidRPr="00A92246">
              <w:lastRenderedPageBreak/>
              <w:t>8</w:t>
            </w:r>
            <w:r w:rsidR="00A92246" w:rsidRPr="00A92246">
              <w:t> </w:t>
            </w:r>
            <w:r w:rsidRPr="00A92246">
              <w:t>September 2015</w:t>
            </w:r>
          </w:p>
        </w:tc>
      </w:tr>
      <w:tr w:rsidR="00045C17" w:rsidRPr="00A92246" w:rsidTr="00D10F3C">
        <w:tc>
          <w:tcPr>
            <w:tcW w:w="429" w:type="pct"/>
            <w:shd w:val="clear" w:color="auto" w:fill="auto"/>
          </w:tcPr>
          <w:p w:rsidR="00045C17" w:rsidRPr="00A92246" w:rsidRDefault="00045C17" w:rsidP="00D10F3C">
            <w:pPr>
              <w:pStyle w:val="Tabletext"/>
            </w:pPr>
            <w:r w:rsidRPr="00A92246">
              <w:lastRenderedPageBreak/>
              <w:t>24</w:t>
            </w:r>
          </w:p>
        </w:tc>
        <w:tc>
          <w:tcPr>
            <w:tcW w:w="1102" w:type="pct"/>
            <w:shd w:val="clear" w:color="auto" w:fill="auto"/>
          </w:tcPr>
          <w:p w:rsidR="00045C17" w:rsidRPr="00A92246" w:rsidRDefault="00045C17" w:rsidP="00D10F3C">
            <w:pPr>
              <w:pStyle w:val="Tabletext"/>
            </w:pPr>
            <w:r w:rsidRPr="00A92246">
              <w:t>Okra</w:t>
            </w:r>
          </w:p>
        </w:tc>
        <w:tc>
          <w:tcPr>
            <w:tcW w:w="1193" w:type="pct"/>
            <w:shd w:val="clear" w:color="auto" w:fill="auto"/>
          </w:tcPr>
          <w:p w:rsidR="00045C17" w:rsidRPr="00A92246" w:rsidRDefault="00045C17" w:rsidP="00D10F3C">
            <w:pPr>
              <w:pStyle w:val="Tabletext"/>
            </w:pPr>
            <w:proofErr w:type="spellStart"/>
            <w:r w:rsidRPr="00A92246">
              <w:t>ADF</w:t>
            </w:r>
            <w:proofErr w:type="spellEnd"/>
            <w:r w:rsidRPr="00A92246">
              <w:t xml:space="preserve"> contribution to the Iraq and Syria crisis</w:t>
            </w:r>
          </w:p>
        </w:tc>
        <w:tc>
          <w:tcPr>
            <w:tcW w:w="1364" w:type="pct"/>
            <w:shd w:val="clear" w:color="auto" w:fill="auto"/>
          </w:tcPr>
          <w:p w:rsidR="00045C17" w:rsidRPr="00A92246" w:rsidRDefault="00045C17" w:rsidP="00D10F3C">
            <w:pPr>
              <w:pStyle w:val="Tabletext"/>
            </w:pPr>
            <w:r w:rsidRPr="00A92246">
              <w:t>The following areas:</w:t>
            </w:r>
          </w:p>
          <w:p w:rsidR="00045C17" w:rsidRPr="00A92246" w:rsidRDefault="00045C17" w:rsidP="00D10F3C">
            <w:pPr>
              <w:pStyle w:val="Tablea"/>
            </w:pPr>
            <w:r w:rsidRPr="00A92246">
              <w:t xml:space="preserve">(a) the land area, territorial waters and </w:t>
            </w:r>
            <w:proofErr w:type="spellStart"/>
            <w:r w:rsidRPr="00A92246">
              <w:t>superjacent</w:t>
            </w:r>
            <w:proofErr w:type="spellEnd"/>
            <w:r w:rsidRPr="00A92246">
              <w:t xml:space="preserve"> airspace of Albania, the Kingdom of Bahrain, Bosnia and Herzegovina, Bulgaria, Croatia, Cyprus, Czech Republic, Estonia, Hungary, the Hashemite Kingdom of Jordan, Kuwait, Montenegro, Poland, the State of Qatar, Romania and the United Arab Emirates;</w:t>
            </w:r>
          </w:p>
          <w:p w:rsidR="00045C17" w:rsidRPr="00A92246" w:rsidRDefault="00045C17" w:rsidP="00D10F3C">
            <w:pPr>
              <w:pStyle w:val="Tablea"/>
            </w:pPr>
            <w:r w:rsidRPr="00A92246">
              <w:t xml:space="preserve">(b) the waters and </w:t>
            </w:r>
            <w:proofErr w:type="spellStart"/>
            <w:r w:rsidRPr="00A92246">
              <w:t>superjacent</w:t>
            </w:r>
            <w:proofErr w:type="spellEnd"/>
            <w:r w:rsidRPr="00A92246">
              <w:t xml:space="preserve"> airspace of the Persian Gulf;</w:t>
            </w:r>
          </w:p>
          <w:p w:rsidR="00045C17" w:rsidRPr="00A92246" w:rsidRDefault="00045C17" w:rsidP="00D10F3C">
            <w:pPr>
              <w:pStyle w:val="Tablea"/>
            </w:pPr>
            <w:r w:rsidRPr="00A92246">
              <w:t>(c) the land territory of Turkey east of longitude 35°00</w:t>
            </w:r>
            <w:r w:rsidRPr="00A92246">
              <w:rPr>
                <w:szCs w:val="22"/>
              </w:rPr>
              <w:t>′</w:t>
            </w:r>
            <w:r w:rsidRPr="00A92246">
              <w:t xml:space="preserve">E, including </w:t>
            </w:r>
            <w:proofErr w:type="spellStart"/>
            <w:r w:rsidRPr="00A92246">
              <w:t>superjacent</w:t>
            </w:r>
            <w:proofErr w:type="spellEnd"/>
            <w:r w:rsidRPr="00A92246">
              <w:t xml:space="preserve"> airspace and territorial waters</w:t>
            </w:r>
          </w:p>
        </w:tc>
        <w:tc>
          <w:tcPr>
            <w:tcW w:w="912" w:type="pct"/>
            <w:shd w:val="clear" w:color="auto" w:fill="auto"/>
          </w:tcPr>
          <w:p w:rsidR="00045C17" w:rsidRPr="00A92246" w:rsidRDefault="00045C17" w:rsidP="00D10F3C">
            <w:pPr>
              <w:pStyle w:val="Tabletext"/>
            </w:pPr>
            <w:r w:rsidRPr="00A92246">
              <w:t>On and after 9</w:t>
            </w:r>
            <w:r w:rsidR="00A92246" w:rsidRPr="00A92246">
              <w:t> </w:t>
            </w:r>
            <w:r w:rsidRPr="00A92246">
              <w:t>September 2015</w:t>
            </w:r>
          </w:p>
        </w:tc>
      </w:tr>
      <w:tr w:rsidR="00045C17" w:rsidRPr="00A92246" w:rsidTr="00D10F3C">
        <w:tc>
          <w:tcPr>
            <w:tcW w:w="429" w:type="pct"/>
            <w:tcBorders>
              <w:bottom w:val="single" w:sz="2" w:space="0" w:color="auto"/>
            </w:tcBorders>
            <w:shd w:val="clear" w:color="auto" w:fill="auto"/>
          </w:tcPr>
          <w:p w:rsidR="00045C17" w:rsidRPr="00A92246" w:rsidRDefault="00045C17" w:rsidP="00D10F3C">
            <w:pPr>
              <w:pStyle w:val="Tabletext"/>
            </w:pPr>
            <w:r w:rsidRPr="00A92246">
              <w:t>25</w:t>
            </w:r>
          </w:p>
        </w:tc>
        <w:tc>
          <w:tcPr>
            <w:tcW w:w="1102" w:type="pct"/>
            <w:tcBorders>
              <w:bottom w:val="single" w:sz="2" w:space="0" w:color="auto"/>
            </w:tcBorders>
            <w:shd w:val="clear" w:color="auto" w:fill="auto"/>
          </w:tcPr>
          <w:p w:rsidR="00045C17" w:rsidRPr="00A92246" w:rsidRDefault="00045C17" w:rsidP="00D10F3C">
            <w:pPr>
              <w:pStyle w:val="Tabletext"/>
            </w:pPr>
            <w:r w:rsidRPr="00A92246">
              <w:t>Augury</w:t>
            </w:r>
          </w:p>
        </w:tc>
        <w:tc>
          <w:tcPr>
            <w:tcW w:w="1193" w:type="pct"/>
            <w:tcBorders>
              <w:bottom w:val="single" w:sz="2" w:space="0" w:color="auto"/>
            </w:tcBorders>
            <w:shd w:val="clear" w:color="auto" w:fill="auto"/>
          </w:tcPr>
          <w:p w:rsidR="00045C17" w:rsidRPr="00A92246" w:rsidRDefault="00045C17" w:rsidP="00D10F3C">
            <w:pPr>
              <w:pStyle w:val="Tabletext"/>
            </w:pPr>
            <w:r w:rsidRPr="00A92246">
              <w:t xml:space="preserve">Supporting </w:t>
            </w:r>
            <w:proofErr w:type="spellStart"/>
            <w:r w:rsidRPr="00A92246">
              <w:t>ADF’s</w:t>
            </w:r>
            <w:proofErr w:type="spellEnd"/>
            <w:r w:rsidRPr="00A92246">
              <w:t xml:space="preserve"> understanding of Islamist terrorist threats to Australia and the region</w:t>
            </w:r>
          </w:p>
        </w:tc>
        <w:tc>
          <w:tcPr>
            <w:tcW w:w="1364" w:type="pct"/>
            <w:tcBorders>
              <w:bottom w:val="single" w:sz="2" w:space="0" w:color="auto"/>
            </w:tcBorders>
            <w:shd w:val="clear" w:color="auto" w:fill="auto"/>
          </w:tcPr>
          <w:p w:rsidR="00045C17" w:rsidRPr="00A92246" w:rsidRDefault="00045C17" w:rsidP="00D10F3C">
            <w:pPr>
              <w:pStyle w:val="Tabletext"/>
            </w:pPr>
            <w:r w:rsidRPr="00A92246">
              <w:t xml:space="preserve">Jordan and its </w:t>
            </w:r>
            <w:proofErr w:type="spellStart"/>
            <w:r w:rsidRPr="00A92246">
              <w:t>superjacent</w:t>
            </w:r>
            <w:proofErr w:type="spellEnd"/>
            <w:r w:rsidRPr="00A92246">
              <w:t xml:space="preserve"> airspace</w:t>
            </w:r>
          </w:p>
        </w:tc>
        <w:tc>
          <w:tcPr>
            <w:tcW w:w="912" w:type="pct"/>
            <w:tcBorders>
              <w:bottom w:val="single" w:sz="2" w:space="0" w:color="auto"/>
            </w:tcBorders>
            <w:shd w:val="clear" w:color="auto" w:fill="auto"/>
          </w:tcPr>
          <w:p w:rsidR="00045C17" w:rsidRPr="00A92246" w:rsidRDefault="00045C17" w:rsidP="00D10F3C">
            <w:pPr>
              <w:pStyle w:val="Tabletext"/>
            </w:pPr>
            <w:r w:rsidRPr="00A92246">
              <w:t>On and after 4</w:t>
            </w:r>
            <w:r w:rsidR="00A92246" w:rsidRPr="00A92246">
              <w:t> </w:t>
            </w:r>
            <w:r w:rsidRPr="00A92246">
              <w:t>July 2014</w:t>
            </w:r>
          </w:p>
        </w:tc>
      </w:tr>
      <w:tr w:rsidR="00045C17" w:rsidRPr="00A92246" w:rsidTr="00D10F3C">
        <w:tc>
          <w:tcPr>
            <w:tcW w:w="429" w:type="pct"/>
            <w:tcBorders>
              <w:top w:val="single" w:sz="2" w:space="0" w:color="auto"/>
              <w:bottom w:val="single" w:sz="12" w:space="0" w:color="auto"/>
            </w:tcBorders>
            <w:shd w:val="clear" w:color="auto" w:fill="auto"/>
          </w:tcPr>
          <w:p w:rsidR="00045C17" w:rsidRPr="00A92246" w:rsidRDefault="00045C17" w:rsidP="00D10F3C">
            <w:pPr>
              <w:pStyle w:val="Tabletext"/>
            </w:pPr>
            <w:r w:rsidRPr="00A92246">
              <w:t>26</w:t>
            </w:r>
          </w:p>
        </w:tc>
        <w:tc>
          <w:tcPr>
            <w:tcW w:w="1102" w:type="pct"/>
            <w:tcBorders>
              <w:top w:val="single" w:sz="2" w:space="0" w:color="auto"/>
              <w:bottom w:val="single" w:sz="12" w:space="0" w:color="auto"/>
            </w:tcBorders>
            <w:shd w:val="clear" w:color="auto" w:fill="auto"/>
          </w:tcPr>
          <w:p w:rsidR="00045C17" w:rsidRPr="00A92246" w:rsidRDefault="00045C17" w:rsidP="00D10F3C">
            <w:pPr>
              <w:pStyle w:val="Tabletext"/>
            </w:pPr>
            <w:r w:rsidRPr="00A92246">
              <w:t>Hawick</w:t>
            </w:r>
          </w:p>
        </w:tc>
        <w:tc>
          <w:tcPr>
            <w:tcW w:w="1193" w:type="pct"/>
            <w:tcBorders>
              <w:top w:val="single" w:sz="2" w:space="0" w:color="auto"/>
              <w:bottom w:val="single" w:sz="12" w:space="0" w:color="auto"/>
            </w:tcBorders>
            <w:shd w:val="clear" w:color="auto" w:fill="auto"/>
          </w:tcPr>
          <w:p w:rsidR="00045C17" w:rsidRPr="00A92246" w:rsidRDefault="00045C17" w:rsidP="00D10F3C">
            <w:pPr>
              <w:pStyle w:val="Tabletext"/>
            </w:pPr>
            <w:proofErr w:type="spellStart"/>
            <w:r w:rsidRPr="00A92246">
              <w:t>ADF</w:t>
            </w:r>
            <w:proofErr w:type="spellEnd"/>
            <w:r w:rsidRPr="00A92246">
              <w:t xml:space="preserve"> contribution to the whole of government response to the MH17 air disaster in Ukraine</w:t>
            </w:r>
          </w:p>
        </w:tc>
        <w:tc>
          <w:tcPr>
            <w:tcW w:w="1364" w:type="pct"/>
            <w:tcBorders>
              <w:top w:val="single" w:sz="2" w:space="0" w:color="auto"/>
              <w:bottom w:val="single" w:sz="12" w:space="0" w:color="auto"/>
            </w:tcBorders>
            <w:shd w:val="clear" w:color="auto" w:fill="auto"/>
          </w:tcPr>
          <w:p w:rsidR="00045C17" w:rsidRPr="00A92246" w:rsidRDefault="00045C17" w:rsidP="00D10F3C">
            <w:pPr>
              <w:pStyle w:val="Tabletext"/>
            </w:pPr>
            <w:r w:rsidRPr="00A92246">
              <w:t xml:space="preserve">Ukraine and its </w:t>
            </w:r>
            <w:proofErr w:type="spellStart"/>
            <w:r w:rsidRPr="00A92246">
              <w:t>superjacent</w:t>
            </w:r>
            <w:proofErr w:type="spellEnd"/>
            <w:r w:rsidRPr="00A92246">
              <w:t xml:space="preserve"> airspace</w:t>
            </w:r>
          </w:p>
        </w:tc>
        <w:tc>
          <w:tcPr>
            <w:tcW w:w="912" w:type="pct"/>
            <w:tcBorders>
              <w:top w:val="single" w:sz="2" w:space="0" w:color="auto"/>
              <w:bottom w:val="single" w:sz="12" w:space="0" w:color="auto"/>
            </w:tcBorders>
            <w:shd w:val="clear" w:color="auto" w:fill="auto"/>
          </w:tcPr>
          <w:p w:rsidR="00045C17" w:rsidRPr="00A92246" w:rsidRDefault="00045C17" w:rsidP="00D10F3C">
            <w:pPr>
              <w:pStyle w:val="Tabletext"/>
            </w:pPr>
            <w:r w:rsidRPr="00A92246">
              <w:t>On and after 21</w:t>
            </w:r>
            <w:r w:rsidR="00A92246" w:rsidRPr="00A92246">
              <w:t> </w:t>
            </w:r>
            <w:r w:rsidRPr="00A92246">
              <w:t>July 2014</w:t>
            </w:r>
          </w:p>
        </w:tc>
      </w:tr>
    </w:tbl>
    <w:p w:rsidR="00045C17" w:rsidRPr="00A92246" w:rsidRDefault="00045C17" w:rsidP="00045C17">
      <w:pPr>
        <w:sectPr w:rsidR="00045C17" w:rsidRPr="00A92246" w:rsidSect="0063645F">
          <w:headerReference w:type="even" r:id="rId25"/>
          <w:headerReference w:type="default" r:id="rId26"/>
          <w:footerReference w:type="even" r:id="rId27"/>
          <w:footerReference w:type="default" r:id="rId28"/>
          <w:headerReference w:type="first" r:id="rId29"/>
          <w:footerReference w:type="first" r:id="rId30"/>
          <w:pgSz w:w="11907" w:h="16839" w:code="9"/>
          <w:pgMar w:top="1440" w:right="1797" w:bottom="1440" w:left="1797" w:header="720" w:footer="709" w:gutter="0"/>
          <w:cols w:space="720"/>
          <w:docGrid w:linePitch="299"/>
        </w:sectPr>
      </w:pPr>
    </w:p>
    <w:p w:rsidR="00045C17" w:rsidRPr="00A92246" w:rsidRDefault="00045C17" w:rsidP="00045C17">
      <w:pPr>
        <w:pStyle w:val="ActHead6"/>
      </w:pPr>
      <w:bookmarkStart w:id="13" w:name="_Toc444075029"/>
      <w:bookmarkStart w:id="14" w:name="opcAmSched"/>
      <w:bookmarkStart w:id="15" w:name="opcCurrentFind"/>
      <w:r w:rsidRPr="00A92246">
        <w:rPr>
          <w:rStyle w:val="CharAmSchNo"/>
        </w:rPr>
        <w:lastRenderedPageBreak/>
        <w:t>Schedule</w:t>
      </w:r>
      <w:r w:rsidR="00A92246" w:rsidRPr="00A92246">
        <w:rPr>
          <w:rStyle w:val="CharAmSchNo"/>
        </w:rPr>
        <w:t> </w:t>
      </w:r>
      <w:r w:rsidRPr="00A92246">
        <w:rPr>
          <w:rStyle w:val="CharAmSchNo"/>
        </w:rPr>
        <w:t>2</w:t>
      </w:r>
      <w:r w:rsidRPr="00A92246">
        <w:t>—</w:t>
      </w:r>
      <w:r w:rsidR="00520275" w:rsidRPr="00A92246">
        <w:rPr>
          <w:rStyle w:val="CharAmSchText"/>
        </w:rPr>
        <w:t>Repeals</w:t>
      </w:r>
      <w:bookmarkEnd w:id="13"/>
    </w:p>
    <w:bookmarkEnd w:id="14"/>
    <w:bookmarkEnd w:id="15"/>
    <w:p w:rsidR="00045C17" w:rsidRPr="00A92246" w:rsidRDefault="00045C17" w:rsidP="001625FE">
      <w:pPr>
        <w:pStyle w:val="Header"/>
      </w:pPr>
      <w:r w:rsidRPr="00A92246">
        <w:rPr>
          <w:rStyle w:val="CharAmPartNo"/>
        </w:rPr>
        <w:t xml:space="preserve"> </w:t>
      </w:r>
      <w:r w:rsidRPr="00A92246">
        <w:rPr>
          <w:rStyle w:val="CharAmPartText"/>
        </w:rPr>
        <w:t xml:space="preserve"> </w:t>
      </w:r>
    </w:p>
    <w:p w:rsidR="00045C17" w:rsidRPr="00A92246" w:rsidRDefault="00045C17" w:rsidP="00045C17">
      <w:pPr>
        <w:pStyle w:val="ActHead9"/>
      </w:pPr>
      <w:bookmarkStart w:id="16" w:name="_Toc444075030"/>
      <w:r w:rsidRPr="00A92246">
        <w:t>Military Rehabilitation and Compensation (Non</w:t>
      </w:r>
      <w:r w:rsidR="00A92246">
        <w:noBreakHyphen/>
      </w:r>
      <w:r w:rsidRPr="00A92246">
        <w:t>warlike Service) Determination</w:t>
      </w:r>
      <w:r w:rsidR="00A92246" w:rsidRPr="00A92246">
        <w:t> </w:t>
      </w:r>
      <w:r w:rsidRPr="00A92246">
        <w:t>2015 (No.</w:t>
      </w:r>
      <w:r w:rsidR="00A92246" w:rsidRPr="00A92246">
        <w:t> </w:t>
      </w:r>
      <w:r w:rsidRPr="00A92246">
        <w:t>2)</w:t>
      </w:r>
      <w:bookmarkEnd w:id="16"/>
    </w:p>
    <w:p w:rsidR="00045C17" w:rsidRPr="00A92246" w:rsidRDefault="00045C17" w:rsidP="00045C17">
      <w:pPr>
        <w:pStyle w:val="ItemHead"/>
      </w:pPr>
      <w:r w:rsidRPr="00A92246">
        <w:t>1  The whole of the determination</w:t>
      </w:r>
    </w:p>
    <w:p w:rsidR="00045C17" w:rsidRPr="00A92246" w:rsidRDefault="00045C17" w:rsidP="00045C17">
      <w:pPr>
        <w:pStyle w:val="Item"/>
      </w:pPr>
      <w:r w:rsidRPr="00A92246">
        <w:t>Repeal the determination.</w:t>
      </w:r>
    </w:p>
    <w:p w:rsidR="00045C17" w:rsidRPr="00A92246" w:rsidRDefault="00045C17" w:rsidP="001625FE"/>
    <w:p w:rsidR="00045C17" w:rsidRPr="00A92246" w:rsidRDefault="00045C17" w:rsidP="001625FE">
      <w:pPr>
        <w:sectPr w:rsidR="00045C17" w:rsidRPr="00A92246" w:rsidSect="0063645F">
          <w:headerReference w:type="even" r:id="rId31"/>
          <w:headerReference w:type="default" r:id="rId32"/>
          <w:footerReference w:type="even" r:id="rId33"/>
          <w:footerReference w:type="default" r:id="rId34"/>
          <w:headerReference w:type="first" r:id="rId35"/>
          <w:footerReference w:type="first" r:id="rId36"/>
          <w:pgSz w:w="11907" w:h="16839" w:code="9"/>
          <w:pgMar w:top="1440" w:right="1797" w:bottom="1440" w:left="1797" w:header="720" w:footer="709" w:gutter="0"/>
          <w:cols w:space="720"/>
          <w:docGrid w:linePitch="299"/>
        </w:sectPr>
      </w:pPr>
    </w:p>
    <w:p w:rsidR="00045C17" w:rsidRPr="00A92246" w:rsidRDefault="00045C17" w:rsidP="00045C17"/>
    <w:sectPr w:rsidR="00045C17" w:rsidRPr="00A92246" w:rsidSect="0063645F">
      <w:headerReference w:type="even" r:id="rId37"/>
      <w:headerReference w:type="default" r:id="rId38"/>
      <w:footerReference w:type="even" r:id="rId39"/>
      <w:footerReference w:type="default" r:id="rId40"/>
      <w:headerReference w:type="first" r:id="rId41"/>
      <w:footerReference w:type="first" r:id="rId42"/>
      <w:type w:val="continuous"/>
      <w:pgSz w:w="11907" w:h="16839"/>
      <w:pgMar w:top="1675" w:right="1797" w:bottom="1440" w:left="1797" w:header="72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033" w:rsidRDefault="002B3033" w:rsidP="0048364F">
      <w:pPr>
        <w:spacing w:line="240" w:lineRule="auto"/>
      </w:pPr>
      <w:r>
        <w:separator/>
      </w:r>
    </w:p>
  </w:endnote>
  <w:endnote w:type="continuationSeparator" w:id="0">
    <w:p w:rsidR="002B3033" w:rsidRDefault="002B3033" w:rsidP="00483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45F" w:rsidRPr="0063645F" w:rsidRDefault="0063645F" w:rsidP="0063645F">
    <w:pPr>
      <w:pStyle w:val="Footer"/>
      <w:rPr>
        <w:i/>
        <w:sz w:val="18"/>
      </w:rPr>
    </w:pPr>
    <w:r w:rsidRPr="0063645F">
      <w:rPr>
        <w:i/>
        <w:sz w:val="18"/>
      </w:rPr>
      <w:t>OPC61833 - D</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39" w:rsidRPr="00E33C1C" w:rsidRDefault="002A6E39" w:rsidP="002A6E39">
    <w:pPr>
      <w:pBdr>
        <w:top w:val="single" w:sz="6" w:space="1" w:color="auto"/>
      </w:pBdr>
      <w:spacing w:before="120" w:line="0" w:lineRule="atLeast"/>
      <w:rPr>
        <w:sz w:val="16"/>
        <w:szCs w:val="16"/>
      </w:rPr>
    </w:pPr>
  </w:p>
  <w:tbl>
    <w:tblPr>
      <w:tblStyle w:val="TableGrid"/>
      <w:tblW w:w="8472" w:type="dxa"/>
      <w:tblLayout w:type="fixed"/>
      <w:tblLook w:val="04A0" w:firstRow="1" w:lastRow="0" w:firstColumn="1" w:lastColumn="0" w:noHBand="0" w:noVBand="1"/>
    </w:tblPr>
    <w:tblGrid>
      <w:gridCol w:w="1383"/>
      <w:gridCol w:w="6380"/>
      <w:gridCol w:w="709"/>
    </w:tblGrid>
    <w:tr w:rsidR="002A6E39" w:rsidTr="00226FAB">
      <w:tc>
        <w:tcPr>
          <w:tcW w:w="1383" w:type="dxa"/>
          <w:tcBorders>
            <w:top w:val="nil"/>
            <w:left w:val="nil"/>
            <w:bottom w:val="nil"/>
            <w:right w:val="nil"/>
          </w:tcBorders>
        </w:tcPr>
        <w:p w:rsidR="002A6E39" w:rsidRDefault="002A6E39" w:rsidP="00226FAB">
          <w:pPr>
            <w:spacing w:line="0" w:lineRule="atLeast"/>
            <w:rPr>
              <w:sz w:val="18"/>
            </w:rPr>
          </w:pPr>
        </w:p>
      </w:tc>
      <w:tc>
        <w:tcPr>
          <w:tcW w:w="6380" w:type="dxa"/>
          <w:tcBorders>
            <w:top w:val="nil"/>
            <w:left w:val="nil"/>
            <w:bottom w:val="nil"/>
            <w:right w:val="nil"/>
          </w:tcBorders>
        </w:tcPr>
        <w:p w:rsidR="002A6E39" w:rsidRDefault="002A6E39" w:rsidP="00226FAB">
          <w:pPr>
            <w:spacing w:line="0" w:lineRule="atLeast"/>
            <w:jc w:val="center"/>
            <w:rPr>
              <w:sz w:val="18"/>
            </w:rPr>
          </w:pPr>
          <w:r w:rsidRPr="007A1328">
            <w:rPr>
              <w:i/>
              <w:sz w:val="18"/>
            </w:rPr>
            <w:fldChar w:fldCharType="begin"/>
          </w:r>
          <w:r>
            <w:rPr>
              <w:i/>
              <w:sz w:val="18"/>
            </w:rPr>
            <w:instrText xml:space="preserve"> DOCPROPERTY ShortT </w:instrText>
          </w:r>
          <w:r w:rsidRPr="007A1328">
            <w:rPr>
              <w:i/>
              <w:sz w:val="18"/>
            </w:rPr>
            <w:fldChar w:fldCharType="separate"/>
          </w:r>
          <w:r w:rsidR="001F0CEE">
            <w:rPr>
              <w:i/>
              <w:sz w:val="18"/>
            </w:rPr>
            <w:t>Military Rehabilitation and Compensation (Non</w:t>
          </w:r>
          <w:r w:rsidR="001F0CEE">
            <w:rPr>
              <w:i/>
              <w:sz w:val="18"/>
            </w:rPr>
            <w:noBreakHyphen/>
            <w:t>warlike Service) Determination 2016 (No. 1)</w:t>
          </w:r>
          <w:r w:rsidRPr="007A1328">
            <w:rPr>
              <w:i/>
              <w:sz w:val="18"/>
            </w:rPr>
            <w:fldChar w:fldCharType="end"/>
          </w:r>
        </w:p>
      </w:tc>
      <w:tc>
        <w:tcPr>
          <w:tcW w:w="709" w:type="dxa"/>
          <w:tcBorders>
            <w:top w:val="nil"/>
            <w:left w:val="nil"/>
            <w:bottom w:val="nil"/>
            <w:right w:val="nil"/>
          </w:tcBorders>
        </w:tcPr>
        <w:p w:rsidR="002A6E39" w:rsidRDefault="002A6E39" w:rsidP="00226FAB">
          <w:pPr>
            <w:spacing w:line="0" w:lineRule="atLeast"/>
            <w:jc w:val="right"/>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1F0CEE">
            <w:rPr>
              <w:i/>
              <w:noProof/>
              <w:sz w:val="18"/>
            </w:rPr>
            <w:t>5</w:t>
          </w:r>
          <w:r w:rsidRPr="00ED79B6">
            <w:rPr>
              <w:i/>
              <w:sz w:val="18"/>
            </w:rPr>
            <w:fldChar w:fldCharType="end"/>
          </w:r>
        </w:p>
      </w:tc>
    </w:tr>
  </w:tbl>
  <w:p w:rsidR="002A6E39" w:rsidRPr="00ED79B6" w:rsidRDefault="0063645F" w:rsidP="0063645F">
    <w:pPr>
      <w:rPr>
        <w:i/>
        <w:sz w:val="18"/>
      </w:rPr>
    </w:pPr>
    <w:r w:rsidRPr="0063645F">
      <w:rPr>
        <w:rFonts w:cs="Times New Roman"/>
        <w:i/>
        <w:sz w:val="18"/>
      </w:rPr>
      <w:t>OPC61833 - D</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39" w:rsidRPr="00ED79B6" w:rsidRDefault="002A6E39" w:rsidP="002A6E39">
    <w:pPr>
      <w:pStyle w:val="Footer"/>
      <w:tabs>
        <w:tab w:val="clear" w:pos="4153"/>
        <w:tab w:val="clear" w:pos="8306"/>
        <w:tab w:val="center" w:pos="4150"/>
        <w:tab w:val="right" w:pos="8307"/>
      </w:tabs>
      <w:spacing w:before="12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39" w:rsidRPr="0063645F" w:rsidRDefault="002A6E39" w:rsidP="002A6E39">
    <w:pPr>
      <w:pBdr>
        <w:top w:val="single" w:sz="6" w:space="1" w:color="auto"/>
      </w:pBdr>
      <w:spacing w:before="120" w:line="0" w:lineRule="atLeast"/>
      <w:rPr>
        <w:rFonts w:cs="Times New Roman"/>
        <w:i/>
        <w:sz w:val="18"/>
        <w:szCs w:val="16"/>
      </w:rPr>
    </w:pPr>
  </w:p>
  <w:tbl>
    <w:tblPr>
      <w:tblStyle w:val="TableGrid"/>
      <w:tblW w:w="0" w:type="auto"/>
      <w:tblLayout w:type="fixed"/>
      <w:tblLook w:val="04A0" w:firstRow="1" w:lastRow="0" w:firstColumn="1" w:lastColumn="0" w:noHBand="0" w:noVBand="1"/>
    </w:tblPr>
    <w:tblGrid>
      <w:gridCol w:w="709"/>
      <w:gridCol w:w="6379"/>
      <w:gridCol w:w="1384"/>
    </w:tblGrid>
    <w:tr w:rsidR="002A6E39" w:rsidRPr="0063645F" w:rsidTr="00A92246">
      <w:tc>
        <w:tcPr>
          <w:tcW w:w="709" w:type="dxa"/>
          <w:tcBorders>
            <w:top w:val="nil"/>
            <w:left w:val="nil"/>
            <w:bottom w:val="nil"/>
            <w:right w:val="nil"/>
          </w:tcBorders>
        </w:tcPr>
        <w:p w:rsidR="002A6E39" w:rsidRPr="0063645F" w:rsidRDefault="002A6E39" w:rsidP="00226FAB">
          <w:pPr>
            <w:spacing w:line="0" w:lineRule="atLeast"/>
            <w:rPr>
              <w:rFonts w:cs="Times New Roman"/>
              <w:i/>
              <w:sz w:val="18"/>
            </w:rPr>
          </w:pPr>
          <w:r w:rsidRPr="0063645F">
            <w:rPr>
              <w:rFonts w:cs="Times New Roman"/>
              <w:i/>
              <w:sz w:val="18"/>
            </w:rPr>
            <w:fldChar w:fldCharType="begin"/>
          </w:r>
          <w:r w:rsidRPr="0063645F">
            <w:rPr>
              <w:rFonts w:cs="Times New Roman"/>
              <w:i/>
              <w:sz w:val="18"/>
            </w:rPr>
            <w:instrText xml:space="preserve"> PAGE </w:instrText>
          </w:r>
          <w:r w:rsidRPr="0063645F">
            <w:rPr>
              <w:rFonts w:cs="Times New Roman"/>
              <w:i/>
              <w:sz w:val="18"/>
            </w:rPr>
            <w:fldChar w:fldCharType="separate"/>
          </w:r>
          <w:r w:rsidR="001F0CEE">
            <w:rPr>
              <w:rFonts w:cs="Times New Roman"/>
              <w:i/>
              <w:noProof/>
              <w:sz w:val="18"/>
            </w:rPr>
            <w:t>7</w:t>
          </w:r>
          <w:r w:rsidRPr="0063645F">
            <w:rPr>
              <w:rFonts w:cs="Times New Roman"/>
              <w:i/>
              <w:sz w:val="18"/>
            </w:rPr>
            <w:fldChar w:fldCharType="end"/>
          </w:r>
        </w:p>
      </w:tc>
      <w:tc>
        <w:tcPr>
          <w:tcW w:w="6379" w:type="dxa"/>
          <w:tcBorders>
            <w:top w:val="nil"/>
            <w:left w:val="nil"/>
            <w:bottom w:val="nil"/>
            <w:right w:val="nil"/>
          </w:tcBorders>
        </w:tcPr>
        <w:p w:rsidR="002A6E39" w:rsidRPr="0063645F" w:rsidRDefault="002A6E39" w:rsidP="00226FAB">
          <w:pPr>
            <w:spacing w:line="0" w:lineRule="atLeast"/>
            <w:jc w:val="center"/>
            <w:rPr>
              <w:rFonts w:cs="Times New Roman"/>
              <w:i/>
              <w:sz w:val="18"/>
            </w:rPr>
          </w:pPr>
          <w:r w:rsidRPr="0063645F">
            <w:rPr>
              <w:rFonts w:cs="Times New Roman"/>
              <w:i/>
              <w:sz w:val="18"/>
            </w:rPr>
            <w:fldChar w:fldCharType="begin"/>
          </w:r>
          <w:r w:rsidRPr="0063645F">
            <w:rPr>
              <w:rFonts w:cs="Times New Roman"/>
              <w:i/>
              <w:sz w:val="18"/>
            </w:rPr>
            <w:instrText xml:space="preserve"> DOCPROPERTY ShortT </w:instrText>
          </w:r>
          <w:r w:rsidRPr="0063645F">
            <w:rPr>
              <w:rFonts w:cs="Times New Roman"/>
              <w:i/>
              <w:sz w:val="18"/>
            </w:rPr>
            <w:fldChar w:fldCharType="separate"/>
          </w:r>
          <w:r w:rsidR="001F0CEE">
            <w:rPr>
              <w:rFonts w:cs="Times New Roman"/>
              <w:i/>
              <w:sz w:val="18"/>
            </w:rPr>
            <w:t>Military Rehabilitation and Compensation (Non</w:t>
          </w:r>
          <w:r w:rsidR="001F0CEE">
            <w:rPr>
              <w:rFonts w:cs="Times New Roman"/>
              <w:i/>
              <w:sz w:val="18"/>
            </w:rPr>
            <w:noBreakHyphen/>
            <w:t>warlike Service) Determination 2016 (No. 1)</w:t>
          </w:r>
          <w:r w:rsidRPr="0063645F">
            <w:rPr>
              <w:rFonts w:cs="Times New Roman"/>
              <w:i/>
              <w:sz w:val="18"/>
            </w:rPr>
            <w:fldChar w:fldCharType="end"/>
          </w:r>
        </w:p>
      </w:tc>
      <w:tc>
        <w:tcPr>
          <w:tcW w:w="1384" w:type="dxa"/>
          <w:tcBorders>
            <w:top w:val="nil"/>
            <w:left w:val="nil"/>
            <w:bottom w:val="nil"/>
            <w:right w:val="nil"/>
          </w:tcBorders>
        </w:tcPr>
        <w:p w:rsidR="002A6E39" w:rsidRPr="0063645F" w:rsidRDefault="002A6E39" w:rsidP="00226FAB">
          <w:pPr>
            <w:spacing w:line="0" w:lineRule="atLeast"/>
            <w:jc w:val="right"/>
            <w:rPr>
              <w:rFonts w:cs="Times New Roman"/>
              <w:i/>
              <w:sz w:val="18"/>
            </w:rPr>
          </w:pPr>
        </w:p>
      </w:tc>
    </w:tr>
  </w:tbl>
  <w:p w:rsidR="002A6E39" w:rsidRPr="0063645F" w:rsidRDefault="0063645F" w:rsidP="0063645F">
    <w:pPr>
      <w:rPr>
        <w:rFonts w:cs="Times New Roman"/>
        <w:i/>
        <w:sz w:val="18"/>
      </w:rPr>
    </w:pPr>
    <w:r w:rsidRPr="0063645F">
      <w:rPr>
        <w:rFonts w:cs="Times New Roman"/>
        <w:i/>
        <w:sz w:val="18"/>
      </w:rPr>
      <w:t>OPC61833 - D</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39" w:rsidRPr="00E33C1C" w:rsidRDefault="002A6E39" w:rsidP="002A6E39">
    <w:pPr>
      <w:pBdr>
        <w:top w:val="single" w:sz="6" w:space="1" w:color="auto"/>
      </w:pBdr>
      <w:spacing w:before="120" w:line="0" w:lineRule="atLeast"/>
      <w:rPr>
        <w:sz w:val="16"/>
        <w:szCs w:val="16"/>
      </w:rPr>
    </w:pPr>
  </w:p>
  <w:tbl>
    <w:tblPr>
      <w:tblStyle w:val="TableGrid"/>
      <w:tblW w:w="8472" w:type="dxa"/>
      <w:tblLayout w:type="fixed"/>
      <w:tblLook w:val="04A0" w:firstRow="1" w:lastRow="0" w:firstColumn="1" w:lastColumn="0" w:noHBand="0" w:noVBand="1"/>
    </w:tblPr>
    <w:tblGrid>
      <w:gridCol w:w="1383"/>
      <w:gridCol w:w="6380"/>
      <w:gridCol w:w="709"/>
    </w:tblGrid>
    <w:tr w:rsidR="002A6E39" w:rsidTr="00226FAB">
      <w:tc>
        <w:tcPr>
          <w:tcW w:w="1383" w:type="dxa"/>
          <w:tcBorders>
            <w:top w:val="nil"/>
            <w:left w:val="nil"/>
            <w:bottom w:val="nil"/>
            <w:right w:val="nil"/>
          </w:tcBorders>
        </w:tcPr>
        <w:p w:rsidR="002A6E39" w:rsidRDefault="002A6E39" w:rsidP="00226FAB">
          <w:pPr>
            <w:spacing w:line="0" w:lineRule="atLeast"/>
            <w:rPr>
              <w:sz w:val="18"/>
            </w:rPr>
          </w:pPr>
        </w:p>
      </w:tc>
      <w:tc>
        <w:tcPr>
          <w:tcW w:w="6380" w:type="dxa"/>
          <w:tcBorders>
            <w:top w:val="nil"/>
            <w:left w:val="nil"/>
            <w:bottom w:val="nil"/>
            <w:right w:val="nil"/>
          </w:tcBorders>
        </w:tcPr>
        <w:p w:rsidR="002A6E39" w:rsidRDefault="002A6E39" w:rsidP="00226FAB">
          <w:pPr>
            <w:spacing w:line="0" w:lineRule="atLeast"/>
            <w:jc w:val="center"/>
            <w:rPr>
              <w:sz w:val="18"/>
            </w:rPr>
          </w:pPr>
          <w:r w:rsidRPr="007A1328">
            <w:rPr>
              <w:i/>
              <w:sz w:val="18"/>
            </w:rPr>
            <w:fldChar w:fldCharType="begin"/>
          </w:r>
          <w:r>
            <w:rPr>
              <w:i/>
              <w:sz w:val="18"/>
            </w:rPr>
            <w:instrText xml:space="preserve"> DOCPROPERTY ShortT </w:instrText>
          </w:r>
          <w:r w:rsidRPr="007A1328">
            <w:rPr>
              <w:i/>
              <w:sz w:val="18"/>
            </w:rPr>
            <w:fldChar w:fldCharType="separate"/>
          </w:r>
          <w:r w:rsidR="001F0CEE">
            <w:rPr>
              <w:i/>
              <w:sz w:val="18"/>
            </w:rPr>
            <w:t>Military Rehabilitation and Compensation (Non</w:t>
          </w:r>
          <w:r w:rsidR="001F0CEE">
            <w:rPr>
              <w:i/>
              <w:sz w:val="18"/>
            </w:rPr>
            <w:noBreakHyphen/>
            <w:t>warlike Service) Determination 2016 (No. 1)</w:t>
          </w:r>
          <w:r w:rsidRPr="007A1328">
            <w:rPr>
              <w:i/>
              <w:sz w:val="18"/>
            </w:rPr>
            <w:fldChar w:fldCharType="end"/>
          </w:r>
        </w:p>
      </w:tc>
      <w:tc>
        <w:tcPr>
          <w:tcW w:w="709" w:type="dxa"/>
          <w:tcBorders>
            <w:top w:val="nil"/>
            <w:left w:val="nil"/>
            <w:bottom w:val="nil"/>
            <w:right w:val="nil"/>
          </w:tcBorders>
        </w:tcPr>
        <w:p w:rsidR="002A6E39" w:rsidRDefault="002A6E39" w:rsidP="00226FAB">
          <w:pPr>
            <w:spacing w:line="0" w:lineRule="atLeast"/>
            <w:jc w:val="right"/>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1F0CEE">
            <w:rPr>
              <w:i/>
              <w:noProof/>
              <w:sz w:val="18"/>
            </w:rPr>
            <w:t>7</w:t>
          </w:r>
          <w:r w:rsidRPr="00ED79B6">
            <w:rPr>
              <w:i/>
              <w:sz w:val="18"/>
            </w:rPr>
            <w:fldChar w:fldCharType="end"/>
          </w:r>
        </w:p>
      </w:tc>
    </w:tr>
  </w:tbl>
  <w:p w:rsidR="002A6E39" w:rsidRPr="00ED79B6" w:rsidRDefault="0063645F" w:rsidP="0063645F">
    <w:pPr>
      <w:rPr>
        <w:i/>
        <w:sz w:val="18"/>
      </w:rPr>
    </w:pPr>
    <w:r w:rsidRPr="0063645F">
      <w:rPr>
        <w:rFonts w:cs="Times New Roman"/>
        <w:i/>
        <w:sz w:val="18"/>
      </w:rPr>
      <w:t>OPC61833 - D</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39" w:rsidRPr="00ED79B6" w:rsidRDefault="002A6E39" w:rsidP="002A6E39">
    <w:pPr>
      <w:pStyle w:val="Footer"/>
      <w:tabs>
        <w:tab w:val="clear" w:pos="4153"/>
        <w:tab w:val="clear" w:pos="8306"/>
        <w:tab w:val="center" w:pos="4150"/>
        <w:tab w:val="right" w:pos="8307"/>
      </w:tabs>
      <w:spacing w:before="12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39" w:rsidRPr="0063645F" w:rsidRDefault="002A6E39" w:rsidP="002A6E39">
    <w:pPr>
      <w:pBdr>
        <w:top w:val="single" w:sz="6" w:space="1" w:color="auto"/>
      </w:pBdr>
      <w:spacing w:before="120" w:line="0" w:lineRule="atLeast"/>
      <w:rPr>
        <w:rFonts w:cs="Times New Roman"/>
        <w:i/>
        <w:sz w:val="18"/>
        <w:szCs w:val="16"/>
      </w:rPr>
    </w:pPr>
  </w:p>
  <w:tbl>
    <w:tblPr>
      <w:tblStyle w:val="TableGrid"/>
      <w:tblW w:w="0" w:type="auto"/>
      <w:tblLayout w:type="fixed"/>
      <w:tblLook w:val="04A0" w:firstRow="1" w:lastRow="0" w:firstColumn="1" w:lastColumn="0" w:noHBand="0" w:noVBand="1"/>
    </w:tblPr>
    <w:tblGrid>
      <w:gridCol w:w="709"/>
      <w:gridCol w:w="6379"/>
      <w:gridCol w:w="1384"/>
    </w:tblGrid>
    <w:tr w:rsidR="002A6E39" w:rsidRPr="0063645F" w:rsidTr="00A92246">
      <w:tc>
        <w:tcPr>
          <w:tcW w:w="709" w:type="dxa"/>
          <w:tcBorders>
            <w:top w:val="nil"/>
            <w:left w:val="nil"/>
            <w:bottom w:val="nil"/>
            <w:right w:val="nil"/>
          </w:tcBorders>
        </w:tcPr>
        <w:p w:rsidR="002A6E39" w:rsidRPr="0063645F" w:rsidRDefault="002A6E39" w:rsidP="00226FAB">
          <w:pPr>
            <w:spacing w:line="0" w:lineRule="atLeast"/>
            <w:rPr>
              <w:rFonts w:cs="Times New Roman"/>
              <w:i/>
              <w:sz w:val="18"/>
            </w:rPr>
          </w:pPr>
          <w:r w:rsidRPr="0063645F">
            <w:rPr>
              <w:rFonts w:cs="Times New Roman"/>
              <w:i/>
              <w:sz w:val="18"/>
            </w:rPr>
            <w:fldChar w:fldCharType="begin"/>
          </w:r>
          <w:r w:rsidRPr="0063645F">
            <w:rPr>
              <w:rFonts w:cs="Times New Roman"/>
              <w:i/>
              <w:sz w:val="18"/>
            </w:rPr>
            <w:instrText xml:space="preserve"> PAGE </w:instrText>
          </w:r>
          <w:r w:rsidRPr="0063645F">
            <w:rPr>
              <w:rFonts w:cs="Times New Roman"/>
              <w:i/>
              <w:sz w:val="18"/>
            </w:rPr>
            <w:fldChar w:fldCharType="separate"/>
          </w:r>
          <w:r w:rsidR="001F0CEE">
            <w:rPr>
              <w:rFonts w:cs="Times New Roman"/>
              <w:i/>
              <w:noProof/>
              <w:sz w:val="18"/>
            </w:rPr>
            <w:t>7</w:t>
          </w:r>
          <w:r w:rsidRPr="0063645F">
            <w:rPr>
              <w:rFonts w:cs="Times New Roman"/>
              <w:i/>
              <w:sz w:val="18"/>
            </w:rPr>
            <w:fldChar w:fldCharType="end"/>
          </w:r>
        </w:p>
      </w:tc>
      <w:tc>
        <w:tcPr>
          <w:tcW w:w="6379" w:type="dxa"/>
          <w:tcBorders>
            <w:top w:val="nil"/>
            <w:left w:val="nil"/>
            <w:bottom w:val="nil"/>
            <w:right w:val="nil"/>
          </w:tcBorders>
        </w:tcPr>
        <w:p w:rsidR="002A6E39" w:rsidRPr="0063645F" w:rsidRDefault="002A6E39" w:rsidP="00226FAB">
          <w:pPr>
            <w:spacing w:line="0" w:lineRule="atLeast"/>
            <w:jc w:val="center"/>
            <w:rPr>
              <w:rFonts w:cs="Times New Roman"/>
              <w:i/>
              <w:sz w:val="18"/>
            </w:rPr>
          </w:pPr>
          <w:r w:rsidRPr="0063645F">
            <w:rPr>
              <w:rFonts w:cs="Times New Roman"/>
              <w:i/>
              <w:sz w:val="18"/>
            </w:rPr>
            <w:fldChar w:fldCharType="begin"/>
          </w:r>
          <w:r w:rsidRPr="0063645F">
            <w:rPr>
              <w:rFonts w:cs="Times New Roman"/>
              <w:i/>
              <w:sz w:val="18"/>
            </w:rPr>
            <w:instrText xml:space="preserve"> DOCPROPERTY ShortT </w:instrText>
          </w:r>
          <w:r w:rsidRPr="0063645F">
            <w:rPr>
              <w:rFonts w:cs="Times New Roman"/>
              <w:i/>
              <w:sz w:val="18"/>
            </w:rPr>
            <w:fldChar w:fldCharType="separate"/>
          </w:r>
          <w:r w:rsidR="001F0CEE">
            <w:rPr>
              <w:rFonts w:cs="Times New Roman"/>
              <w:i/>
              <w:sz w:val="18"/>
            </w:rPr>
            <w:t>Military Rehabilitation and Compensation (Non</w:t>
          </w:r>
          <w:r w:rsidR="001F0CEE">
            <w:rPr>
              <w:rFonts w:cs="Times New Roman"/>
              <w:i/>
              <w:sz w:val="18"/>
            </w:rPr>
            <w:noBreakHyphen/>
            <w:t>warlike Service) Determination 2016 (No. 1)</w:t>
          </w:r>
          <w:r w:rsidRPr="0063645F">
            <w:rPr>
              <w:rFonts w:cs="Times New Roman"/>
              <w:i/>
              <w:sz w:val="18"/>
            </w:rPr>
            <w:fldChar w:fldCharType="end"/>
          </w:r>
        </w:p>
      </w:tc>
      <w:tc>
        <w:tcPr>
          <w:tcW w:w="1384" w:type="dxa"/>
          <w:tcBorders>
            <w:top w:val="nil"/>
            <w:left w:val="nil"/>
            <w:bottom w:val="nil"/>
            <w:right w:val="nil"/>
          </w:tcBorders>
        </w:tcPr>
        <w:p w:rsidR="002A6E39" w:rsidRPr="0063645F" w:rsidRDefault="002A6E39" w:rsidP="00226FAB">
          <w:pPr>
            <w:spacing w:line="0" w:lineRule="atLeast"/>
            <w:jc w:val="right"/>
            <w:rPr>
              <w:rFonts w:cs="Times New Roman"/>
              <w:i/>
              <w:sz w:val="18"/>
            </w:rPr>
          </w:pPr>
        </w:p>
      </w:tc>
    </w:tr>
  </w:tbl>
  <w:p w:rsidR="002A6E39" w:rsidRPr="0063645F" w:rsidRDefault="0063645F" w:rsidP="0063645F">
    <w:pPr>
      <w:rPr>
        <w:rFonts w:cs="Times New Roman"/>
        <w:i/>
        <w:sz w:val="18"/>
      </w:rPr>
    </w:pPr>
    <w:r w:rsidRPr="0063645F">
      <w:rPr>
        <w:rFonts w:cs="Times New Roman"/>
        <w:i/>
        <w:sz w:val="18"/>
      </w:rPr>
      <w:t>OPC61833 - D</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39" w:rsidRPr="00E33C1C" w:rsidRDefault="002A6E39" w:rsidP="002A6E39">
    <w:pPr>
      <w:pBdr>
        <w:top w:val="single" w:sz="6" w:space="1" w:color="auto"/>
      </w:pBdr>
      <w:spacing w:before="120" w:line="0" w:lineRule="atLeast"/>
      <w:rPr>
        <w:sz w:val="16"/>
        <w:szCs w:val="16"/>
      </w:rPr>
    </w:pPr>
  </w:p>
  <w:tbl>
    <w:tblPr>
      <w:tblStyle w:val="TableGrid"/>
      <w:tblW w:w="8472" w:type="dxa"/>
      <w:tblLayout w:type="fixed"/>
      <w:tblLook w:val="04A0" w:firstRow="1" w:lastRow="0" w:firstColumn="1" w:lastColumn="0" w:noHBand="0" w:noVBand="1"/>
    </w:tblPr>
    <w:tblGrid>
      <w:gridCol w:w="1383"/>
      <w:gridCol w:w="6380"/>
      <w:gridCol w:w="709"/>
    </w:tblGrid>
    <w:tr w:rsidR="002A6E39" w:rsidTr="00226FAB">
      <w:tc>
        <w:tcPr>
          <w:tcW w:w="1383" w:type="dxa"/>
          <w:tcBorders>
            <w:top w:val="nil"/>
            <w:left w:val="nil"/>
            <w:bottom w:val="nil"/>
            <w:right w:val="nil"/>
          </w:tcBorders>
        </w:tcPr>
        <w:p w:rsidR="002A6E39" w:rsidRDefault="002A6E39" w:rsidP="00226FAB">
          <w:pPr>
            <w:spacing w:line="0" w:lineRule="atLeast"/>
            <w:rPr>
              <w:sz w:val="18"/>
            </w:rPr>
          </w:pPr>
        </w:p>
      </w:tc>
      <w:tc>
        <w:tcPr>
          <w:tcW w:w="6380" w:type="dxa"/>
          <w:tcBorders>
            <w:top w:val="nil"/>
            <w:left w:val="nil"/>
            <w:bottom w:val="nil"/>
            <w:right w:val="nil"/>
          </w:tcBorders>
        </w:tcPr>
        <w:p w:rsidR="002A6E39" w:rsidRDefault="002A6E39" w:rsidP="00226FAB">
          <w:pPr>
            <w:spacing w:line="0" w:lineRule="atLeast"/>
            <w:jc w:val="center"/>
            <w:rPr>
              <w:sz w:val="18"/>
            </w:rPr>
          </w:pPr>
          <w:r w:rsidRPr="007A1328">
            <w:rPr>
              <w:i/>
              <w:sz w:val="18"/>
            </w:rPr>
            <w:fldChar w:fldCharType="begin"/>
          </w:r>
          <w:r>
            <w:rPr>
              <w:i/>
              <w:sz w:val="18"/>
            </w:rPr>
            <w:instrText xml:space="preserve"> DOCPROPERTY ShortT </w:instrText>
          </w:r>
          <w:r w:rsidRPr="007A1328">
            <w:rPr>
              <w:i/>
              <w:sz w:val="18"/>
            </w:rPr>
            <w:fldChar w:fldCharType="separate"/>
          </w:r>
          <w:r w:rsidR="001F0CEE">
            <w:rPr>
              <w:i/>
              <w:sz w:val="18"/>
            </w:rPr>
            <w:t>Military Rehabilitation and Compensation (Non</w:t>
          </w:r>
          <w:r w:rsidR="001F0CEE">
            <w:rPr>
              <w:i/>
              <w:sz w:val="18"/>
            </w:rPr>
            <w:noBreakHyphen/>
            <w:t>warlike Service) Determination 2016 (No. 1)</w:t>
          </w:r>
          <w:r w:rsidRPr="007A1328">
            <w:rPr>
              <w:i/>
              <w:sz w:val="18"/>
            </w:rPr>
            <w:fldChar w:fldCharType="end"/>
          </w:r>
        </w:p>
      </w:tc>
      <w:tc>
        <w:tcPr>
          <w:tcW w:w="709" w:type="dxa"/>
          <w:tcBorders>
            <w:top w:val="nil"/>
            <w:left w:val="nil"/>
            <w:bottom w:val="nil"/>
            <w:right w:val="nil"/>
          </w:tcBorders>
        </w:tcPr>
        <w:p w:rsidR="002A6E39" w:rsidRDefault="002A6E39" w:rsidP="00226FAB">
          <w:pPr>
            <w:spacing w:line="0" w:lineRule="atLeast"/>
            <w:jc w:val="right"/>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1F0CEE">
            <w:rPr>
              <w:i/>
              <w:noProof/>
              <w:sz w:val="18"/>
            </w:rPr>
            <w:t>7</w:t>
          </w:r>
          <w:r w:rsidRPr="00ED79B6">
            <w:rPr>
              <w:i/>
              <w:sz w:val="18"/>
            </w:rPr>
            <w:fldChar w:fldCharType="end"/>
          </w:r>
        </w:p>
      </w:tc>
    </w:tr>
  </w:tbl>
  <w:p w:rsidR="002A6E39" w:rsidRPr="00ED79B6" w:rsidRDefault="0063645F" w:rsidP="0063645F">
    <w:pPr>
      <w:rPr>
        <w:i/>
        <w:sz w:val="18"/>
      </w:rPr>
    </w:pPr>
    <w:r w:rsidRPr="0063645F">
      <w:rPr>
        <w:rFonts w:cs="Times New Roman"/>
        <w:i/>
        <w:sz w:val="18"/>
      </w:rPr>
      <w:t>OPC61833 - D</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39" w:rsidRPr="00ED79B6" w:rsidRDefault="002A6E39" w:rsidP="002A6E39">
    <w:pPr>
      <w:pStyle w:val="Footer"/>
      <w:tabs>
        <w:tab w:val="clear" w:pos="4153"/>
        <w:tab w:val="clear" w:pos="8306"/>
        <w:tab w:val="center" w:pos="4150"/>
        <w:tab w:val="right" w:pos="8307"/>
      </w:tabs>
      <w:spacing w:before="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39" w:rsidRDefault="002A6E39" w:rsidP="002A6E39">
    <w:pPr>
      <w:pStyle w:val="Footer"/>
    </w:pPr>
  </w:p>
  <w:p w:rsidR="002A6E39" w:rsidRPr="007500C8" w:rsidRDefault="0063645F" w:rsidP="0063645F">
    <w:pPr>
      <w:pStyle w:val="Footer"/>
    </w:pPr>
    <w:r w:rsidRPr="0063645F">
      <w:rPr>
        <w:i/>
        <w:sz w:val="18"/>
      </w:rPr>
      <w:t>OPC61833 - 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39" w:rsidRPr="00ED79B6" w:rsidRDefault="002A6E39" w:rsidP="002A6E39">
    <w:pPr>
      <w:pStyle w:val="Footer"/>
      <w:tabs>
        <w:tab w:val="clear" w:pos="4153"/>
        <w:tab w:val="clear" w:pos="8306"/>
        <w:tab w:val="center" w:pos="4150"/>
        <w:tab w:val="right" w:pos="8307"/>
      </w:tabs>
      <w:spacing w:before="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39" w:rsidRPr="0063645F" w:rsidRDefault="002A6E39" w:rsidP="002A6E39">
    <w:pPr>
      <w:pBdr>
        <w:top w:val="single" w:sz="6" w:space="1" w:color="auto"/>
      </w:pBdr>
      <w:spacing w:before="120" w:line="0" w:lineRule="atLeast"/>
      <w:rPr>
        <w:rFonts w:cs="Times New Roman"/>
        <w:i/>
        <w:sz w:val="18"/>
        <w:szCs w:val="16"/>
      </w:rPr>
    </w:pPr>
  </w:p>
  <w:tbl>
    <w:tblPr>
      <w:tblStyle w:val="TableGrid"/>
      <w:tblW w:w="0" w:type="auto"/>
      <w:tblLayout w:type="fixed"/>
      <w:tblLook w:val="04A0" w:firstRow="1" w:lastRow="0" w:firstColumn="1" w:lastColumn="0" w:noHBand="0" w:noVBand="1"/>
    </w:tblPr>
    <w:tblGrid>
      <w:gridCol w:w="709"/>
      <w:gridCol w:w="6379"/>
      <w:gridCol w:w="1384"/>
    </w:tblGrid>
    <w:tr w:rsidR="002A6E39" w:rsidRPr="0063645F" w:rsidTr="00A92246">
      <w:tc>
        <w:tcPr>
          <w:tcW w:w="709" w:type="dxa"/>
          <w:tcBorders>
            <w:top w:val="nil"/>
            <w:left w:val="nil"/>
            <w:bottom w:val="nil"/>
            <w:right w:val="nil"/>
          </w:tcBorders>
        </w:tcPr>
        <w:p w:rsidR="002A6E39" w:rsidRPr="0063645F" w:rsidRDefault="002A6E39" w:rsidP="00226FAB">
          <w:pPr>
            <w:spacing w:line="0" w:lineRule="atLeast"/>
            <w:rPr>
              <w:rFonts w:cs="Times New Roman"/>
              <w:i/>
              <w:sz w:val="18"/>
            </w:rPr>
          </w:pPr>
          <w:r w:rsidRPr="0063645F">
            <w:rPr>
              <w:rFonts w:cs="Times New Roman"/>
              <w:i/>
              <w:sz w:val="18"/>
            </w:rPr>
            <w:fldChar w:fldCharType="begin"/>
          </w:r>
          <w:r w:rsidRPr="0063645F">
            <w:rPr>
              <w:rFonts w:cs="Times New Roman"/>
              <w:i/>
              <w:sz w:val="18"/>
            </w:rPr>
            <w:instrText xml:space="preserve"> PAGE </w:instrText>
          </w:r>
          <w:r w:rsidRPr="0063645F">
            <w:rPr>
              <w:rFonts w:cs="Times New Roman"/>
              <w:i/>
              <w:sz w:val="18"/>
            </w:rPr>
            <w:fldChar w:fldCharType="separate"/>
          </w:r>
          <w:r w:rsidR="001F0CEE">
            <w:rPr>
              <w:rFonts w:cs="Times New Roman"/>
              <w:i/>
              <w:noProof/>
              <w:sz w:val="18"/>
            </w:rPr>
            <w:t>vii</w:t>
          </w:r>
          <w:r w:rsidRPr="0063645F">
            <w:rPr>
              <w:rFonts w:cs="Times New Roman"/>
              <w:i/>
              <w:sz w:val="18"/>
            </w:rPr>
            <w:fldChar w:fldCharType="end"/>
          </w:r>
        </w:p>
      </w:tc>
      <w:tc>
        <w:tcPr>
          <w:tcW w:w="6379" w:type="dxa"/>
          <w:tcBorders>
            <w:top w:val="nil"/>
            <w:left w:val="nil"/>
            <w:bottom w:val="nil"/>
            <w:right w:val="nil"/>
          </w:tcBorders>
        </w:tcPr>
        <w:p w:rsidR="002A6E39" w:rsidRPr="0063645F" w:rsidRDefault="002A6E39" w:rsidP="00226FAB">
          <w:pPr>
            <w:spacing w:line="0" w:lineRule="atLeast"/>
            <w:jc w:val="center"/>
            <w:rPr>
              <w:rFonts w:cs="Times New Roman"/>
              <w:i/>
              <w:sz w:val="18"/>
            </w:rPr>
          </w:pPr>
          <w:r w:rsidRPr="0063645F">
            <w:rPr>
              <w:rFonts w:cs="Times New Roman"/>
              <w:i/>
              <w:sz w:val="18"/>
            </w:rPr>
            <w:fldChar w:fldCharType="begin"/>
          </w:r>
          <w:r w:rsidRPr="0063645F">
            <w:rPr>
              <w:rFonts w:cs="Times New Roman"/>
              <w:i/>
              <w:sz w:val="18"/>
            </w:rPr>
            <w:instrText xml:space="preserve"> DOCPROPERTY ShortT </w:instrText>
          </w:r>
          <w:r w:rsidRPr="0063645F">
            <w:rPr>
              <w:rFonts w:cs="Times New Roman"/>
              <w:i/>
              <w:sz w:val="18"/>
            </w:rPr>
            <w:fldChar w:fldCharType="separate"/>
          </w:r>
          <w:r w:rsidR="001F0CEE">
            <w:rPr>
              <w:rFonts w:cs="Times New Roman"/>
              <w:i/>
              <w:sz w:val="18"/>
            </w:rPr>
            <w:t>Military Rehabilitation and Compensation (Non</w:t>
          </w:r>
          <w:r w:rsidR="001F0CEE">
            <w:rPr>
              <w:rFonts w:cs="Times New Roman"/>
              <w:i/>
              <w:sz w:val="18"/>
            </w:rPr>
            <w:noBreakHyphen/>
            <w:t>warlike Service) Determination 2016 (No. 1)</w:t>
          </w:r>
          <w:r w:rsidRPr="0063645F">
            <w:rPr>
              <w:rFonts w:cs="Times New Roman"/>
              <w:i/>
              <w:sz w:val="18"/>
            </w:rPr>
            <w:fldChar w:fldCharType="end"/>
          </w:r>
        </w:p>
      </w:tc>
      <w:tc>
        <w:tcPr>
          <w:tcW w:w="1384" w:type="dxa"/>
          <w:tcBorders>
            <w:top w:val="nil"/>
            <w:left w:val="nil"/>
            <w:bottom w:val="nil"/>
            <w:right w:val="nil"/>
          </w:tcBorders>
        </w:tcPr>
        <w:p w:rsidR="002A6E39" w:rsidRPr="0063645F" w:rsidRDefault="002A6E39" w:rsidP="00226FAB">
          <w:pPr>
            <w:spacing w:line="0" w:lineRule="atLeast"/>
            <w:jc w:val="right"/>
            <w:rPr>
              <w:rFonts w:cs="Times New Roman"/>
              <w:i/>
              <w:sz w:val="18"/>
            </w:rPr>
          </w:pPr>
        </w:p>
      </w:tc>
    </w:tr>
  </w:tbl>
  <w:p w:rsidR="002A6E39" w:rsidRPr="0063645F" w:rsidRDefault="0063645F" w:rsidP="0063645F">
    <w:pPr>
      <w:rPr>
        <w:rFonts w:cs="Times New Roman"/>
        <w:i/>
        <w:sz w:val="18"/>
      </w:rPr>
    </w:pPr>
    <w:r w:rsidRPr="0063645F">
      <w:rPr>
        <w:rFonts w:cs="Times New Roman"/>
        <w:i/>
        <w:sz w:val="18"/>
      </w:rPr>
      <w:t>OPC61833 - 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39" w:rsidRPr="00E33C1C" w:rsidRDefault="002A6E39" w:rsidP="002A6E39">
    <w:pPr>
      <w:pBdr>
        <w:top w:val="single" w:sz="6" w:space="1" w:color="auto"/>
      </w:pBdr>
      <w:spacing w:before="120" w:line="0" w:lineRule="atLeast"/>
      <w:rPr>
        <w:sz w:val="16"/>
        <w:szCs w:val="16"/>
      </w:rPr>
    </w:pPr>
  </w:p>
  <w:tbl>
    <w:tblPr>
      <w:tblStyle w:val="TableGrid"/>
      <w:tblW w:w="8472" w:type="dxa"/>
      <w:tblLayout w:type="fixed"/>
      <w:tblLook w:val="04A0" w:firstRow="1" w:lastRow="0" w:firstColumn="1" w:lastColumn="0" w:noHBand="0" w:noVBand="1"/>
    </w:tblPr>
    <w:tblGrid>
      <w:gridCol w:w="1383"/>
      <w:gridCol w:w="6380"/>
      <w:gridCol w:w="709"/>
    </w:tblGrid>
    <w:tr w:rsidR="002A6E39" w:rsidTr="00226FAB">
      <w:tc>
        <w:tcPr>
          <w:tcW w:w="1383" w:type="dxa"/>
          <w:tcBorders>
            <w:top w:val="nil"/>
            <w:left w:val="nil"/>
            <w:bottom w:val="nil"/>
            <w:right w:val="nil"/>
          </w:tcBorders>
        </w:tcPr>
        <w:p w:rsidR="002A6E39" w:rsidRDefault="002A6E39" w:rsidP="00226FAB">
          <w:pPr>
            <w:spacing w:line="0" w:lineRule="atLeast"/>
            <w:rPr>
              <w:sz w:val="18"/>
            </w:rPr>
          </w:pPr>
        </w:p>
      </w:tc>
      <w:tc>
        <w:tcPr>
          <w:tcW w:w="6380" w:type="dxa"/>
          <w:tcBorders>
            <w:top w:val="nil"/>
            <w:left w:val="nil"/>
            <w:bottom w:val="nil"/>
            <w:right w:val="nil"/>
          </w:tcBorders>
        </w:tcPr>
        <w:p w:rsidR="002A6E39" w:rsidRDefault="002A6E39" w:rsidP="00226FAB">
          <w:pPr>
            <w:spacing w:line="0" w:lineRule="atLeast"/>
            <w:jc w:val="center"/>
            <w:rPr>
              <w:sz w:val="18"/>
            </w:rPr>
          </w:pPr>
          <w:r w:rsidRPr="007A1328">
            <w:rPr>
              <w:i/>
              <w:sz w:val="18"/>
            </w:rPr>
            <w:fldChar w:fldCharType="begin"/>
          </w:r>
          <w:r>
            <w:rPr>
              <w:i/>
              <w:sz w:val="18"/>
            </w:rPr>
            <w:instrText xml:space="preserve"> DOCPROPERTY ShortT </w:instrText>
          </w:r>
          <w:r w:rsidRPr="007A1328">
            <w:rPr>
              <w:i/>
              <w:sz w:val="18"/>
            </w:rPr>
            <w:fldChar w:fldCharType="separate"/>
          </w:r>
          <w:r w:rsidR="001F0CEE">
            <w:rPr>
              <w:i/>
              <w:sz w:val="18"/>
            </w:rPr>
            <w:t>Military Rehabilitation and Compensation (Non</w:t>
          </w:r>
          <w:r w:rsidR="001F0CEE">
            <w:rPr>
              <w:i/>
              <w:sz w:val="18"/>
            </w:rPr>
            <w:noBreakHyphen/>
            <w:t>warlike Service) Determination 2016 (No. 1)</w:t>
          </w:r>
          <w:r w:rsidRPr="007A1328">
            <w:rPr>
              <w:i/>
              <w:sz w:val="18"/>
            </w:rPr>
            <w:fldChar w:fldCharType="end"/>
          </w:r>
        </w:p>
      </w:tc>
      <w:tc>
        <w:tcPr>
          <w:tcW w:w="709" w:type="dxa"/>
          <w:tcBorders>
            <w:top w:val="nil"/>
            <w:left w:val="nil"/>
            <w:bottom w:val="nil"/>
            <w:right w:val="nil"/>
          </w:tcBorders>
        </w:tcPr>
        <w:p w:rsidR="002A6E39" w:rsidRDefault="002A6E39" w:rsidP="00226FAB">
          <w:pPr>
            <w:spacing w:line="0" w:lineRule="atLeast"/>
            <w:jc w:val="right"/>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1F0CEE">
            <w:rPr>
              <w:i/>
              <w:noProof/>
              <w:sz w:val="18"/>
            </w:rPr>
            <w:t>i</w:t>
          </w:r>
          <w:r w:rsidRPr="00ED79B6">
            <w:rPr>
              <w:i/>
              <w:sz w:val="18"/>
            </w:rPr>
            <w:fldChar w:fldCharType="end"/>
          </w:r>
        </w:p>
      </w:tc>
    </w:tr>
  </w:tbl>
  <w:p w:rsidR="002A6E39" w:rsidRPr="00ED79B6" w:rsidRDefault="0063645F" w:rsidP="0063645F">
    <w:pPr>
      <w:rPr>
        <w:i/>
        <w:sz w:val="18"/>
      </w:rPr>
    </w:pPr>
    <w:r w:rsidRPr="0063645F">
      <w:rPr>
        <w:rFonts w:cs="Times New Roman"/>
        <w:i/>
        <w:sz w:val="18"/>
      </w:rPr>
      <w:t>OPC61833 - D</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39" w:rsidRPr="0063645F" w:rsidRDefault="002A6E39" w:rsidP="002A6E39">
    <w:pPr>
      <w:pBdr>
        <w:top w:val="single" w:sz="6" w:space="1" w:color="auto"/>
      </w:pBdr>
      <w:spacing w:before="120" w:line="0" w:lineRule="atLeast"/>
      <w:rPr>
        <w:rFonts w:cs="Times New Roman"/>
        <w:i/>
        <w:sz w:val="18"/>
        <w:szCs w:val="16"/>
      </w:rPr>
    </w:pPr>
  </w:p>
  <w:tbl>
    <w:tblPr>
      <w:tblStyle w:val="TableGrid"/>
      <w:tblW w:w="0" w:type="auto"/>
      <w:tblLayout w:type="fixed"/>
      <w:tblLook w:val="04A0" w:firstRow="1" w:lastRow="0" w:firstColumn="1" w:lastColumn="0" w:noHBand="0" w:noVBand="1"/>
    </w:tblPr>
    <w:tblGrid>
      <w:gridCol w:w="709"/>
      <w:gridCol w:w="6379"/>
      <w:gridCol w:w="1384"/>
    </w:tblGrid>
    <w:tr w:rsidR="002A6E39" w:rsidRPr="0063645F" w:rsidTr="00A92246">
      <w:tc>
        <w:tcPr>
          <w:tcW w:w="709" w:type="dxa"/>
          <w:tcBorders>
            <w:top w:val="nil"/>
            <w:left w:val="nil"/>
            <w:bottom w:val="nil"/>
            <w:right w:val="nil"/>
          </w:tcBorders>
        </w:tcPr>
        <w:p w:rsidR="002A6E39" w:rsidRPr="0063645F" w:rsidRDefault="002A6E39" w:rsidP="00226FAB">
          <w:pPr>
            <w:spacing w:line="0" w:lineRule="atLeast"/>
            <w:rPr>
              <w:rFonts w:cs="Times New Roman"/>
              <w:i/>
              <w:sz w:val="18"/>
            </w:rPr>
          </w:pPr>
          <w:r w:rsidRPr="0063645F">
            <w:rPr>
              <w:rFonts w:cs="Times New Roman"/>
              <w:i/>
              <w:sz w:val="18"/>
            </w:rPr>
            <w:fldChar w:fldCharType="begin"/>
          </w:r>
          <w:r w:rsidRPr="0063645F">
            <w:rPr>
              <w:rFonts w:cs="Times New Roman"/>
              <w:i/>
              <w:sz w:val="18"/>
            </w:rPr>
            <w:instrText xml:space="preserve"> PAGE </w:instrText>
          </w:r>
          <w:r w:rsidRPr="0063645F">
            <w:rPr>
              <w:rFonts w:cs="Times New Roman"/>
              <w:i/>
              <w:sz w:val="18"/>
            </w:rPr>
            <w:fldChar w:fldCharType="separate"/>
          </w:r>
          <w:r w:rsidR="001F0CEE">
            <w:rPr>
              <w:rFonts w:cs="Times New Roman"/>
              <w:i/>
              <w:noProof/>
              <w:sz w:val="18"/>
            </w:rPr>
            <w:t>7</w:t>
          </w:r>
          <w:r w:rsidRPr="0063645F">
            <w:rPr>
              <w:rFonts w:cs="Times New Roman"/>
              <w:i/>
              <w:sz w:val="18"/>
            </w:rPr>
            <w:fldChar w:fldCharType="end"/>
          </w:r>
        </w:p>
      </w:tc>
      <w:tc>
        <w:tcPr>
          <w:tcW w:w="6379" w:type="dxa"/>
          <w:tcBorders>
            <w:top w:val="nil"/>
            <w:left w:val="nil"/>
            <w:bottom w:val="nil"/>
            <w:right w:val="nil"/>
          </w:tcBorders>
        </w:tcPr>
        <w:p w:rsidR="002A6E39" w:rsidRPr="0063645F" w:rsidRDefault="002A6E39" w:rsidP="00226FAB">
          <w:pPr>
            <w:spacing w:line="0" w:lineRule="atLeast"/>
            <w:jc w:val="center"/>
            <w:rPr>
              <w:rFonts w:cs="Times New Roman"/>
              <w:i/>
              <w:sz w:val="18"/>
            </w:rPr>
          </w:pPr>
          <w:r w:rsidRPr="0063645F">
            <w:rPr>
              <w:rFonts w:cs="Times New Roman"/>
              <w:i/>
              <w:sz w:val="18"/>
            </w:rPr>
            <w:fldChar w:fldCharType="begin"/>
          </w:r>
          <w:r w:rsidRPr="0063645F">
            <w:rPr>
              <w:rFonts w:cs="Times New Roman"/>
              <w:i/>
              <w:sz w:val="18"/>
            </w:rPr>
            <w:instrText xml:space="preserve"> DOCPROPERTY ShortT </w:instrText>
          </w:r>
          <w:r w:rsidRPr="0063645F">
            <w:rPr>
              <w:rFonts w:cs="Times New Roman"/>
              <w:i/>
              <w:sz w:val="18"/>
            </w:rPr>
            <w:fldChar w:fldCharType="separate"/>
          </w:r>
          <w:r w:rsidR="001F0CEE">
            <w:rPr>
              <w:rFonts w:cs="Times New Roman"/>
              <w:i/>
              <w:sz w:val="18"/>
            </w:rPr>
            <w:t>Military Rehabilitation and Compensation (Non</w:t>
          </w:r>
          <w:r w:rsidR="001F0CEE">
            <w:rPr>
              <w:rFonts w:cs="Times New Roman"/>
              <w:i/>
              <w:sz w:val="18"/>
            </w:rPr>
            <w:noBreakHyphen/>
            <w:t>warlike Service) Determination 2016 (No. 1)</w:t>
          </w:r>
          <w:r w:rsidRPr="0063645F">
            <w:rPr>
              <w:rFonts w:cs="Times New Roman"/>
              <w:i/>
              <w:sz w:val="18"/>
            </w:rPr>
            <w:fldChar w:fldCharType="end"/>
          </w:r>
        </w:p>
      </w:tc>
      <w:tc>
        <w:tcPr>
          <w:tcW w:w="1384" w:type="dxa"/>
          <w:tcBorders>
            <w:top w:val="nil"/>
            <w:left w:val="nil"/>
            <w:bottom w:val="nil"/>
            <w:right w:val="nil"/>
          </w:tcBorders>
        </w:tcPr>
        <w:p w:rsidR="002A6E39" w:rsidRPr="0063645F" w:rsidRDefault="002A6E39" w:rsidP="00226FAB">
          <w:pPr>
            <w:spacing w:line="0" w:lineRule="atLeast"/>
            <w:jc w:val="right"/>
            <w:rPr>
              <w:rFonts w:cs="Times New Roman"/>
              <w:i/>
              <w:sz w:val="18"/>
            </w:rPr>
          </w:pPr>
        </w:p>
      </w:tc>
    </w:tr>
  </w:tbl>
  <w:p w:rsidR="002A6E39" w:rsidRPr="0063645F" w:rsidRDefault="0063645F" w:rsidP="0063645F">
    <w:pPr>
      <w:rPr>
        <w:rFonts w:cs="Times New Roman"/>
        <w:i/>
        <w:sz w:val="18"/>
      </w:rPr>
    </w:pPr>
    <w:r w:rsidRPr="0063645F">
      <w:rPr>
        <w:rFonts w:cs="Times New Roman"/>
        <w:i/>
        <w:sz w:val="18"/>
      </w:rPr>
      <w:t>OPC61833 - 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39" w:rsidRPr="00E33C1C" w:rsidRDefault="002A6E39" w:rsidP="002A6E39">
    <w:pPr>
      <w:pBdr>
        <w:top w:val="single" w:sz="6" w:space="1" w:color="auto"/>
      </w:pBdr>
      <w:spacing w:before="120" w:line="0" w:lineRule="atLeast"/>
      <w:rPr>
        <w:sz w:val="16"/>
        <w:szCs w:val="16"/>
      </w:rPr>
    </w:pPr>
  </w:p>
  <w:tbl>
    <w:tblPr>
      <w:tblStyle w:val="TableGrid"/>
      <w:tblW w:w="8472" w:type="dxa"/>
      <w:tblLayout w:type="fixed"/>
      <w:tblLook w:val="04A0" w:firstRow="1" w:lastRow="0" w:firstColumn="1" w:lastColumn="0" w:noHBand="0" w:noVBand="1"/>
    </w:tblPr>
    <w:tblGrid>
      <w:gridCol w:w="1383"/>
      <w:gridCol w:w="6380"/>
      <w:gridCol w:w="709"/>
    </w:tblGrid>
    <w:tr w:rsidR="002A6E39" w:rsidTr="00226FAB">
      <w:tc>
        <w:tcPr>
          <w:tcW w:w="1383" w:type="dxa"/>
          <w:tcBorders>
            <w:top w:val="nil"/>
            <w:left w:val="nil"/>
            <w:bottom w:val="nil"/>
            <w:right w:val="nil"/>
          </w:tcBorders>
        </w:tcPr>
        <w:p w:rsidR="002A6E39" w:rsidRDefault="002A6E39" w:rsidP="00226FAB">
          <w:pPr>
            <w:spacing w:line="0" w:lineRule="atLeast"/>
            <w:rPr>
              <w:sz w:val="18"/>
            </w:rPr>
          </w:pPr>
        </w:p>
      </w:tc>
      <w:tc>
        <w:tcPr>
          <w:tcW w:w="6380" w:type="dxa"/>
          <w:tcBorders>
            <w:top w:val="nil"/>
            <w:left w:val="nil"/>
            <w:bottom w:val="nil"/>
            <w:right w:val="nil"/>
          </w:tcBorders>
        </w:tcPr>
        <w:p w:rsidR="002A6E39" w:rsidRDefault="002A6E39" w:rsidP="00226FAB">
          <w:pPr>
            <w:spacing w:line="0" w:lineRule="atLeast"/>
            <w:jc w:val="center"/>
            <w:rPr>
              <w:sz w:val="18"/>
            </w:rPr>
          </w:pPr>
          <w:r w:rsidRPr="007A1328">
            <w:rPr>
              <w:i/>
              <w:sz w:val="18"/>
            </w:rPr>
            <w:fldChar w:fldCharType="begin"/>
          </w:r>
          <w:r>
            <w:rPr>
              <w:i/>
              <w:sz w:val="18"/>
            </w:rPr>
            <w:instrText xml:space="preserve"> DOCPROPERTY ShortT </w:instrText>
          </w:r>
          <w:r w:rsidRPr="007A1328">
            <w:rPr>
              <w:i/>
              <w:sz w:val="18"/>
            </w:rPr>
            <w:fldChar w:fldCharType="separate"/>
          </w:r>
          <w:r w:rsidR="001F0CEE">
            <w:rPr>
              <w:i/>
              <w:sz w:val="18"/>
            </w:rPr>
            <w:t>Military Rehabilitation and Compensation (Non</w:t>
          </w:r>
          <w:r w:rsidR="001F0CEE">
            <w:rPr>
              <w:i/>
              <w:sz w:val="18"/>
            </w:rPr>
            <w:noBreakHyphen/>
            <w:t>warlike Service) Determination 2016 (No. 1)</w:t>
          </w:r>
          <w:r w:rsidRPr="007A1328">
            <w:rPr>
              <w:i/>
              <w:sz w:val="18"/>
            </w:rPr>
            <w:fldChar w:fldCharType="end"/>
          </w:r>
        </w:p>
      </w:tc>
      <w:tc>
        <w:tcPr>
          <w:tcW w:w="709" w:type="dxa"/>
          <w:tcBorders>
            <w:top w:val="nil"/>
            <w:left w:val="nil"/>
            <w:bottom w:val="nil"/>
            <w:right w:val="nil"/>
          </w:tcBorders>
        </w:tcPr>
        <w:p w:rsidR="002A6E39" w:rsidRDefault="002A6E39" w:rsidP="00226FAB">
          <w:pPr>
            <w:spacing w:line="0" w:lineRule="atLeast"/>
            <w:jc w:val="right"/>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1F0CEE">
            <w:rPr>
              <w:i/>
              <w:noProof/>
              <w:sz w:val="18"/>
            </w:rPr>
            <w:t>1</w:t>
          </w:r>
          <w:r w:rsidRPr="00ED79B6">
            <w:rPr>
              <w:i/>
              <w:sz w:val="18"/>
            </w:rPr>
            <w:fldChar w:fldCharType="end"/>
          </w:r>
        </w:p>
      </w:tc>
    </w:tr>
  </w:tbl>
  <w:p w:rsidR="002A6E39" w:rsidRPr="00ED79B6" w:rsidRDefault="0063645F" w:rsidP="0063645F">
    <w:pPr>
      <w:rPr>
        <w:i/>
        <w:sz w:val="18"/>
      </w:rPr>
    </w:pPr>
    <w:r w:rsidRPr="0063645F">
      <w:rPr>
        <w:rFonts w:cs="Times New Roman"/>
        <w:i/>
        <w:sz w:val="18"/>
      </w:rPr>
      <w:t>OPC61833 - D</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39" w:rsidRPr="00ED79B6" w:rsidRDefault="002A6E39" w:rsidP="002A6E39">
    <w:pPr>
      <w:pStyle w:val="Footer"/>
      <w:tabs>
        <w:tab w:val="clear" w:pos="4153"/>
        <w:tab w:val="clear" w:pos="8306"/>
        <w:tab w:val="center" w:pos="4150"/>
        <w:tab w:val="right" w:pos="8307"/>
      </w:tabs>
      <w:spacing w:before="12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39" w:rsidRPr="0063645F" w:rsidRDefault="002A6E39" w:rsidP="002A6E39">
    <w:pPr>
      <w:pBdr>
        <w:top w:val="single" w:sz="6" w:space="1" w:color="auto"/>
      </w:pBdr>
      <w:spacing w:before="120" w:line="0" w:lineRule="atLeast"/>
      <w:rPr>
        <w:rFonts w:cs="Times New Roman"/>
        <w:i/>
        <w:sz w:val="18"/>
        <w:szCs w:val="16"/>
      </w:rPr>
    </w:pPr>
  </w:p>
  <w:tbl>
    <w:tblPr>
      <w:tblStyle w:val="TableGrid"/>
      <w:tblW w:w="0" w:type="auto"/>
      <w:tblLayout w:type="fixed"/>
      <w:tblLook w:val="04A0" w:firstRow="1" w:lastRow="0" w:firstColumn="1" w:lastColumn="0" w:noHBand="0" w:noVBand="1"/>
    </w:tblPr>
    <w:tblGrid>
      <w:gridCol w:w="709"/>
      <w:gridCol w:w="6379"/>
      <w:gridCol w:w="1384"/>
    </w:tblGrid>
    <w:tr w:rsidR="002A6E39" w:rsidRPr="0063645F" w:rsidTr="00A92246">
      <w:tc>
        <w:tcPr>
          <w:tcW w:w="709" w:type="dxa"/>
          <w:tcBorders>
            <w:top w:val="nil"/>
            <w:left w:val="nil"/>
            <w:bottom w:val="nil"/>
            <w:right w:val="nil"/>
          </w:tcBorders>
        </w:tcPr>
        <w:p w:rsidR="002A6E39" w:rsidRPr="0063645F" w:rsidRDefault="002A6E39" w:rsidP="00226FAB">
          <w:pPr>
            <w:spacing w:line="0" w:lineRule="atLeast"/>
            <w:rPr>
              <w:rFonts w:cs="Times New Roman"/>
              <w:i/>
              <w:sz w:val="18"/>
            </w:rPr>
          </w:pPr>
          <w:r w:rsidRPr="0063645F">
            <w:rPr>
              <w:rFonts w:cs="Times New Roman"/>
              <w:i/>
              <w:sz w:val="18"/>
            </w:rPr>
            <w:fldChar w:fldCharType="begin"/>
          </w:r>
          <w:r w:rsidRPr="0063645F">
            <w:rPr>
              <w:rFonts w:cs="Times New Roman"/>
              <w:i/>
              <w:sz w:val="18"/>
            </w:rPr>
            <w:instrText xml:space="preserve"> PAGE </w:instrText>
          </w:r>
          <w:r w:rsidRPr="0063645F">
            <w:rPr>
              <w:rFonts w:cs="Times New Roman"/>
              <w:i/>
              <w:sz w:val="18"/>
            </w:rPr>
            <w:fldChar w:fldCharType="separate"/>
          </w:r>
          <w:r w:rsidR="001F0CEE">
            <w:rPr>
              <w:rFonts w:cs="Times New Roman"/>
              <w:i/>
              <w:noProof/>
              <w:sz w:val="18"/>
            </w:rPr>
            <w:t>6</w:t>
          </w:r>
          <w:r w:rsidRPr="0063645F">
            <w:rPr>
              <w:rFonts w:cs="Times New Roman"/>
              <w:i/>
              <w:sz w:val="18"/>
            </w:rPr>
            <w:fldChar w:fldCharType="end"/>
          </w:r>
        </w:p>
      </w:tc>
      <w:tc>
        <w:tcPr>
          <w:tcW w:w="6379" w:type="dxa"/>
          <w:tcBorders>
            <w:top w:val="nil"/>
            <w:left w:val="nil"/>
            <w:bottom w:val="nil"/>
            <w:right w:val="nil"/>
          </w:tcBorders>
        </w:tcPr>
        <w:p w:rsidR="002A6E39" w:rsidRPr="0063645F" w:rsidRDefault="002A6E39" w:rsidP="00226FAB">
          <w:pPr>
            <w:spacing w:line="0" w:lineRule="atLeast"/>
            <w:jc w:val="center"/>
            <w:rPr>
              <w:rFonts w:cs="Times New Roman"/>
              <w:i/>
              <w:sz w:val="18"/>
            </w:rPr>
          </w:pPr>
          <w:r w:rsidRPr="0063645F">
            <w:rPr>
              <w:rFonts w:cs="Times New Roman"/>
              <w:i/>
              <w:sz w:val="18"/>
            </w:rPr>
            <w:fldChar w:fldCharType="begin"/>
          </w:r>
          <w:r w:rsidRPr="0063645F">
            <w:rPr>
              <w:rFonts w:cs="Times New Roman"/>
              <w:i/>
              <w:sz w:val="18"/>
            </w:rPr>
            <w:instrText xml:space="preserve"> DOCPROPERTY ShortT </w:instrText>
          </w:r>
          <w:r w:rsidRPr="0063645F">
            <w:rPr>
              <w:rFonts w:cs="Times New Roman"/>
              <w:i/>
              <w:sz w:val="18"/>
            </w:rPr>
            <w:fldChar w:fldCharType="separate"/>
          </w:r>
          <w:r w:rsidR="001F0CEE">
            <w:rPr>
              <w:rFonts w:cs="Times New Roman"/>
              <w:i/>
              <w:sz w:val="18"/>
            </w:rPr>
            <w:t>Military Rehabilitation and Compensation (Non</w:t>
          </w:r>
          <w:r w:rsidR="001F0CEE">
            <w:rPr>
              <w:rFonts w:cs="Times New Roman"/>
              <w:i/>
              <w:sz w:val="18"/>
            </w:rPr>
            <w:noBreakHyphen/>
            <w:t>warlike Service) Determination 2016 (No. 1)</w:t>
          </w:r>
          <w:r w:rsidRPr="0063645F">
            <w:rPr>
              <w:rFonts w:cs="Times New Roman"/>
              <w:i/>
              <w:sz w:val="18"/>
            </w:rPr>
            <w:fldChar w:fldCharType="end"/>
          </w:r>
        </w:p>
      </w:tc>
      <w:tc>
        <w:tcPr>
          <w:tcW w:w="1384" w:type="dxa"/>
          <w:tcBorders>
            <w:top w:val="nil"/>
            <w:left w:val="nil"/>
            <w:bottom w:val="nil"/>
            <w:right w:val="nil"/>
          </w:tcBorders>
        </w:tcPr>
        <w:p w:rsidR="002A6E39" w:rsidRPr="0063645F" w:rsidRDefault="002A6E39" w:rsidP="00226FAB">
          <w:pPr>
            <w:spacing w:line="0" w:lineRule="atLeast"/>
            <w:jc w:val="right"/>
            <w:rPr>
              <w:rFonts w:cs="Times New Roman"/>
              <w:i/>
              <w:sz w:val="18"/>
            </w:rPr>
          </w:pPr>
        </w:p>
      </w:tc>
    </w:tr>
  </w:tbl>
  <w:p w:rsidR="002A6E39" w:rsidRPr="0063645F" w:rsidRDefault="0063645F" w:rsidP="0063645F">
    <w:pPr>
      <w:rPr>
        <w:rFonts w:cs="Times New Roman"/>
        <w:i/>
        <w:sz w:val="18"/>
      </w:rPr>
    </w:pPr>
    <w:r w:rsidRPr="0063645F">
      <w:rPr>
        <w:rFonts w:cs="Times New Roman"/>
        <w:i/>
        <w:sz w:val="18"/>
      </w:rPr>
      <w:t>OPC61833 -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033" w:rsidRDefault="002B3033" w:rsidP="0048364F">
      <w:pPr>
        <w:spacing w:line="240" w:lineRule="auto"/>
      </w:pPr>
      <w:r>
        <w:separator/>
      </w:r>
    </w:p>
  </w:footnote>
  <w:footnote w:type="continuationSeparator" w:id="0">
    <w:p w:rsidR="002B3033" w:rsidRDefault="002B3033" w:rsidP="0048364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DC1" w:rsidRPr="005F1388" w:rsidRDefault="00A05DC1" w:rsidP="00A05DC1">
    <w:pPr>
      <w:pStyle w:val="Header"/>
      <w:tabs>
        <w:tab w:val="clear" w:pos="4150"/>
        <w:tab w:val="clear" w:pos="8307"/>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C17" w:rsidRPr="00D1021D" w:rsidRDefault="00045C17">
    <w:pPr>
      <w:jc w:val="right"/>
      <w:rPr>
        <w:sz w:val="20"/>
      </w:rPr>
    </w:pPr>
    <w:r w:rsidRPr="00D1021D">
      <w:rPr>
        <w:sz w:val="20"/>
      </w:rPr>
      <w:fldChar w:fldCharType="begin"/>
    </w:r>
    <w:r w:rsidRPr="00D1021D">
      <w:rPr>
        <w:sz w:val="20"/>
      </w:rPr>
      <w:instrText xml:space="preserve"> STYLEREF CharChapText </w:instrText>
    </w:r>
    <w:r w:rsidR="001F0CEE">
      <w:rPr>
        <w:sz w:val="20"/>
      </w:rPr>
      <w:fldChar w:fldCharType="separate"/>
    </w:r>
    <w:r w:rsidR="001F0CEE">
      <w:rPr>
        <w:noProof/>
        <w:sz w:val="20"/>
      </w:rPr>
      <w:t>Non-warlike service</w:t>
    </w:r>
    <w:r w:rsidRPr="00D1021D">
      <w:rPr>
        <w:sz w:val="20"/>
      </w:rPr>
      <w:fldChar w:fldCharType="end"/>
    </w:r>
    <w:r w:rsidRPr="00D1021D">
      <w:rPr>
        <w:sz w:val="20"/>
      </w:rPr>
      <w:t xml:space="preserve">  </w:t>
    </w:r>
    <w:r w:rsidRPr="00D1021D">
      <w:rPr>
        <w:b/>
        <w:sz w:val="20"/>
      </w:rPr>
      <w:fldChar w:fldCharType="begin"/>
    </w:r>
    <w:r w:rsidRPr="00D1021D">
      <w:rPr>
        <w:b/>
        <w:sz w:val="20"/>
      </w:rPr>
      <w:instrText xml:space="preserve"> STYLEREF CharChapNo </w:instrText>
    </w:r>
    <w:r w:rsidR="001F0CEE">
      <w:rPr>
        <w:b/>
        <w:sz w:val="20"/>
      </w:rPr>
      <w:fldChar w:fldCharType="separate"/>
    </w:r>
    <w:r w:rsidR="001F0CEE">
      <w:rPr>
        <w:b/>
        <w:noProof/>
        <w:sz w:val="20"/>
      </w:rPr>
      <w:t>Schedule 1</w:t>
    </w:r>
    <w:r w:rsidRPr="00D1021D">
      <w:rPr>
        <w:b/>
        <w:sz w:val="20"/>
      </w:rPr>
      <w:fldChar w:fldCharType="end"/>
    </w:r>
  </w:p>
  <w:p w:rsidR="00045C17" w:rsidRPr="00D1021D" w:rsidRDefault="00045C17">
    <w:pPr>
      <w:jc w:val="right"/>
      <w:rPr>
        <w:b/>
        <w:sz w:val="20"/>
      </w:rPr>
    </w:pPr>
    <w:r w:rsidRPr="00D1021D">
      <w:rPr>
        <w:sz w:val="20"/>
      </w:rPr>
      <w:fldChar w:fldCharType="begin"/>
    </w:r>
    <w:r w:rsidRPr="00D1021D">
      <w:rPr>
        <w:sz w:val="20"/>
      </w:rPr>
      <w:instrText xml:space="preserve"> STYLEREF CharPartText </w:instrText>
    </w:r>
    <w:r w:rsidRPr="00D1021D">
      <w:rPr>
        <w:sz w:val="20"/>
      </w:rPr>
      <w:fldChar w:fldCharType="end"/>
    </w:r>
    <w:r w:rsidRPr="00D1021D">
      <w:rPr>
        <w:sz w:val="20"/>
      </w:rPr>
      <w:t xml:space="preserve">  </w:t>
    </w:r>
    <w:r w:rsidRPr="00D1021D">
      <w:rPr>
        <w:b/>
        <w:sz w:val="20"/>
      </w:rPr>
      <w:fldChar w:fldCharType="begin"/>
    </w:r>
    <w:r w:rsidRPr="00D1021D">
      <w:rPr>
        <w:b/>
        <w:sz w:val="20"/>
      </w:rPr>
      <w:instrText xml:space="preserve"> STYLEREF CharPartNo </w:instrText>
    </w:r>
    <w:r w:rsidRPr="00D1021D">
      <w:rPr>
        <w:b/>
        <w:sz w:val="20"/>
      </w:rPr>
      <w:fldChar w:fldCharType="end"/>
    </w:r>
  </w:p>
  <w:p w:rsidR="00045C17" w:rsidRPr="00D1021D" w:rsidRDefault="00045C17">
    <w:pPr>
      <w:jc w:val="right"/>
      <w:rPr>
        <w:sz w:val="20"/>
      </w:rPr>
    </w:pPr>
    <w:r w:rsidRPr="00D1021D">
      <w:rPr>
        <w:sz w:val="20"/>
      </w:rPr>
      <w:fldChar w:fldCharType="begin"/>
    </w:r>
    <w:r w:rsidRPr="00D1021D">
      <w:rPr>
        <w:sz w:val="20"/>
      </w:rPr>
      <w:instrText xml:space="preserve"> STYLEREF CharDivText </w:instrText>
    </w:r>
    <w:r w:rsidRPr="00D1021D">
      <w:rPr>
        <w:sz w:val="20"/>
      </w:rPr>
      <w:fldChar w:fldCharType="end"/>
    </w:r>
    <w:r w:rsidRPr="00D1021D">
      <w:rPr>
        <w:sz w:val="20"/>
      </w:rPr>
      <w:t xml:space="preserve">  </w:t>
    </w:r>
    <w:r w:rsidRPr="00D1021D">
      <w:rPr>
        <w:b/>
        <w:sz w:val="20"/>
      </w:rPr>
      <w:fldChar w:fldCharType="begin"/>
    </w:r>
    <w:r w:rsidRPr="00D1021D">
      <w:rPr>
        <w:b/>
        <w:sz w:val="20"/>
      </w:rPr>
      <w:instrText xml:space="preserve"> STYLEREF CharDivNo </w:instrText>
    </w:r>
    <w:r w:rsidRPr="00D1021D">
      <w:rPr>
        <w:b/>
        <w:sz w:val="20"/>
      </w:rPr>
      <w:fldChar w:fldCharType="end"/>
    </w:r>
  </w:p>
  <w:p w:rsidR="00045C17" w:rsidRPr="00D1021D" w:rsidRDefault="00045C17">
    <w:pPr>
      <w:jc w:val="right"/>
      <w:rPr>
        <w:b/>
      </w:rPr>
    </w:pPr>
  </w:p>
  <w:p w:rsidR="00045C17" w:rsidRPr="00D1021D" w:rsidRDefault="00045C17" w:rsidP="00045C17">
    <w:pPr>
      <w:pBdr>
        <w:bottom w:val="single" w:sz="6" w:space="1" w:color="auto"/>
      </w:pBdr>
      <w:spacing w:after="120"/>
      <w:jc w:val="right"/>
    </w:pPr>
    <w:r w:rsidRPr="00D1021D">
      <w:t xml:space="preserve">Clause </w:t>
    </w:r>
    <w:r w:rsidR="001F0CEE">
      <w:fldChar w:fldCharType="begin"/>
    </w:r>
    <w:r w:rsidR="001F0CEE">
      <w:instrText xml:space="preserve"> STYLEREF CharSectno </w:instrText>
    </w:r>
    <w:r w:rsidR="001F0CEE">
      <w:fldChar w:fldCharType="separate"/>
    </w:r>
    <w:r w:rsidR="001F0CEE">
      <w:rPr>
        <w:noProof/>
      </w:rPr>
      <w:t>1</w:t>
    </w:r>
    <w:r w:rsidR="001F0CEE">
      <w:rPr>
        <w:noProof/>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C17" w:rsidRDefault="00045C17"/>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C17" w:rsidRDefault="00045C17">
    <w:pPr>
      <w:rPr>
        <w:sz w:val="20"/>
      </w:rPr>
    </w:pPr>
    <w:r>
      <w:rPr>
        <w:b/>
        <w:sz w:val="20"/>
      </w:rPr>
      <w:fldChar w:fldCharType="begin"/>
    </w:r>
    <w:r>
      <w:rPr>
        <w:b/>
        <w:sz w:val="20"/>
      </w:rPr>
      <w:instrText xml:space="preserve"> STYLEREF CharAmSchNo </w:instrText>
    </w:r>
    <w:r>
      <w:rPr>
        <w:b/>
        <w:sz w:val="20"/>
      </w:rPr>
      <w:fldChar w:fldCharType="separate"/>
    </w:r>
    <w:r w:rsidR="001F0CEE">
      <w:rPr>
        <w:b/>
        <w:noProof/>
        <w:sz w:val="20"/>
      </w:rPr>
      <w:t>Schedule 2</w:t>
    </w:r>
    <w:r>
      <w:rPr>
        <w:b/>
        <w:sz w:val="20"/>
      </w:rPr>
      <w:fldChar w:fldCharType="end"/>
    </w:r>
    <w:r>
      <w:rPr>
        <w:sz w:val="20"/>
      </w:rPr>
      <w:t xml:space="preserve">  </w:t>
    </w:r>
    <w:r>
      <w:rPr>
        <w:sz w:val="20"/>
      </w:rPr>
      <w:fldChar w:fldCharType="begin"/>
    </w:r>
    <w:r>
      <w:rPr>
        <w:sz w:val="20"/>
      </w:rPr>
      <w:instrText xml:space="preserve"> STYLEREF CharAmSchText </w:instrText>
    </w:r>
    <w:r>
      <w:rPr>
        <w:sz w:val="20"/>
      </w:rPr>
      <w:fldChar w:fldCharType="separate"/>
    </w:r>
    <w:r w:rsidR="001F0CEE">
      <w:rPr>
        <w:noProof/>
        <w:sz w:val="20"/>
      </w:rPr>
      <w:t>Repeals</w:t>
    </w:r>
    <w:r>
      <w:rPr>
        <w:sz w:val="20"/>
      </w:rPr>
      <w:fldChar w:fldCharType="end"/>
    </w:r>
  </w:p>
  <w:p w:rsidR="00045C17" w:rsidRDefault="00045C17">
    <w:pPr>
      <w:rPr>
        <w:b/>
        <w:sz w:val="20"/>
      </w:rPr>
    </w:pPr>
    <w:r>
      <w:rPr>
        <w:b/>
        <w:sz w:val="20"/>
      </w:rPr>
      <w:fldChar w:fldCharType="begin"/>
    </w:r>
    <w:r>
      <w:rPr>
        <w:b/>
        <w:sz w:val="20"/>
      </w:rPr>
      <w:instrText xml:space="preserve"> STYLEREF CharAmPartNo </w:instrText>
    </w:r>
    <w:r>
      <w:rPr>
        <w:b/>
        <w:sz w:val="20"/>
      </w:rPr>
      <w:fldChar w:fldCharType="end"/>
    </w:r>
    <w:r>
      <w:rPr>
        <w:sz w:val="20"/>
      </w:rPr>
      <w:t xml:space="preserve">  </w:t>
    </w:r>
    <w:r>
      <w:rPr>
        <w:sz w:val="20"/>
      </w:rPr>
      <w:fldChar w:fldCharType="begin"/>
    </w:r>
    <w:r>
      <w:rPr>
        <w:sz w:val="20"/>
      </w:rPr>
      <w:instrText xml:space="preserve"> STYLEREF CharAmPartText </w:instrText>
    </w:r>
    <w:r>
      <w:rPr>
        <w:sz w:val="20"/>
      </w:rPr>
      <w:fldChar w:fldCharType="end"/>
    </w:r>
  </w:p>
  <w:p w:rsidR="00045C17" w:rsidRDefault="00045C17" w:rsidP="00045C17">
    <w:pPr>
      <w:pBdr>
        <w:bottom w:val="single" w:sz="6" w:space="1" w:color="auto"/>
      </w:pBdr>
      <w:spacing w:after="12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C17" w:rsidRDefault="00045C17">
    <w:pPr>
      <w:jc w:val="right"/>
      <w:rPr>
        <w:sz w:val="20"/>
      </w:rPr>
    </w:pPr>
    <w:r>
      <w:rPr>
        <w:sz w:val="20"/>
      </w:rPr>
      <w:fldChar w:fldCharType="begin"/>
    </w:r>
    <w:r>
      <w:rPr>
        <w:sz w:val="20"/>
      </w:rPr>
      <w:instrText xml:space="preserve"> STYLEREF CharAmSchText </w:instrText>
    </w:r>
    <w:r>
      <w:rPr>
        <w:sz w:val="20"/>
      </w:rPr>
      <w:fldChar w:fldCharType="separate"/>
    </w:r>
    <w:r w:rsidR="001F0CEE">
      <w:rPr>
        <w:noProof/>
        <w:sz w:val="20"/>
      </w:rPr>
      <w:t>Repeals</w:t>
    </w:r>
    <w:r>
      <w:rPr>
        <w:sz w:val="20"/>
      </w:rPr>
      <w:fldChar w:fldCharType="end"/>
    </w:r>
    <w:r>
      <w:rPr>
        <w:sz w:val="20"/>
      </w:rPr>
      <w:t xml:space="preserve">  </w:t>
    </w:r>
    <w:r>
      <w:rPr>
        <w:b/>
        <w:sz w:val="20"/>
      </w:rPr>
      <w:fldChar w:fldCharType="begin"/>
    </w:r>
    <w:r>
      <w:rPr>
        <w:b/>
        <w:sz w:val="20"/>
      </w:rPr>
      <w:instrText xml:space="preserve"> STYLEREF CharAmSchNo </w:instrText>
    </w:r>
    <w:r>
      <w:rPr>
        <w:b/>
        <w:sz w:val="20"/>
      </w:rPr>
      <w:fldChar w:fldCharType="separate"/>
    </w:r>
    <w:r w:rsidR="001F0CEE">
      <w:rPr>
        <w:b/>
        <w:noProof/>
        <w:sz w:val="20"/>
      </w:rPr>
      <w:t>Schedule 2</w:t>
    </w:r>
    <w:r>
      <w:rPr>
        <w:b/>
        <w:sz w:val="20"/>
      </w:rPr>
      <w:fldChar w:fldCharType="end"/>
    </w:r>
  </w:p>
  <w:p w:rsidR="00045C17" w:rsidRDefault="00045C17">
    <w:pPr>
      <w:jc w:val="right"/>
      <w:rPr>
        <w:b/>
        <w:sz w:val="20"/>
      </w:rPr>
    </w:pPr>
    <w:r>
      <w:rPr>
        <w:sz w:val="20"/>
      </w:rPr>
      <w:fldChar w:fldCharType="begin"/>
    </w:r>
    <w:r>
      <w:rPr>
        <w:sz w:val="20"/>
      </w:rPr>
      <w:instrText xml:space="preserve"> STYLEREF CharAmPartText </w:instrText>
    </w:r>
    <w:r>
      <w:rPr>
        <w:sz w:val="20"/>
      </w:rPr>
      <w:fldChar w:fldCharType="end"/>
    </w:r>
    <w:r>
      <w:rPr>
        <w:sz w:val="20"/>
      </w:rPr>
      <w:t xml:space="preserve">  </w:t>
    </w:r>
    <w:r>
      <w:rPr>
        <w:b/>
        <w:sz w:val="20"/>
      </w:rPr>
      <w:fldChar w:fldCharType="begin"/>
    </w:r>
    <w:r>
      <w:rPr>
        <w:b/>
        <w:sz w:val="20"/>
      </w:rPr>
      <w:instrText xml:space="preserve"> STYLEREF CharAmPartNo </w:instrText>
    </w:r>
    <w:r>
      <w:rPr>
        <w:b/>
        <w:sz w:val="20"/>
      </w:rPr>
      <w:fldChar w:fldCharType="end"/>
    </w:r>
  </w:p>
  <w:p w:rsidR="00045C17" w:rsidRDefault="00045C17" w:rsidP="00045C17">
    <w:pPr>
      <w:pBdr>
        <w:bottom w:val="single" w:sz="6" w:space="1" w:color="auto"/>
      </w:pBdr>
      <w:spacing w:after="120"/>
      <w:jc w:val="right"/>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C17" w:rsidRDefault="00045C17"/>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033" w:rsidRPr="00A961C4" w:rsidRDefault="002B3033" w:rsidP="0048364F">
    <w:pPr>
      <w:rPr>
        <w:b/>
        <w:sz w:val="20"/>
      </w:rPr>
    </w:pPr>
    <w:r>
      <w:rPr>
        <w:b/>
        <w:sz w:val="20"/>
      </w:rPr>
      <w:fldChar w:fldCharType="begin"/>
    </w:r>
    <w:r>
      <w:rPr>
        <w:b/>
        <w:sz w:val="20"/>
      </w:rPr>
      <w:instrText xml:space="preserve"> STYLEREF CharAmSchNo </w:instrText>
    </w:r>
    <w:r>
      <w:rPr>
        <w:b/>
        <w:sz w:val="20"/>
      </w:rPr>
      <w:fldChar w:fldCharType="separate"/>
    </w:r>
    <w:r w:rsidR="001F0CEE">
      <w:rPr>
        <w:b/>
        <w:noProof/>
        <w:sz w:val="20"/>
      </w:rPr>
      <w:t>Schedule 2</w:t>
    </w:r>
    <w:r>
      <w:rPr>
        <w:b/>
        <w:sz w:val="20"/>
      </w:rPr>
      <w:fldChar w:fldCharType="end"/>
    </w:r>
    <w:r w:rsidRPr="00A961C4">
      <w:rPr>
        <w:sz w:val="20"/>
      </w:rPr>
      <w:t xml:space="preserve">  </w:t>
    </w:r>
    <w:r>
      <w:rPr>
        <w:sz w:val="20"/>
      </w:rPr>
      <w:fldChar w:fldCharType="begin"/>
    </w:r>
    <w:r>
      <w:rPr>
        <w:sz w:val="20"/>
      </w:rPr>
      <w:instrText xml:space="preserve"> STYLEREF CharAmSchText </w:instrText>
    </w:r>
    <w:r>
      <w:rPr>
        <w:sz w:val="20"/>
      </w:rPr>
      <w:fldChar w:fldCharType="separate"/>
    </w:r>
    <w:r w:rsidR="001F0CEE">
      <w:rPr>
        <w:noProof/>
        <w:sz w:val="20"/>
      </w:rPr>
      <w:t>Repeals</w:t>
    </w:r>
    <w:r>
      <w:rPr>
        <w:sz w:val="20"/>
      </w:rPr>
      <w:fldChar w:fldCharType="end"/>
    </w:r>
  </w:p>
  <w:p w:rsidR="002B3033" w:rsidRPr="00A961C4" w:rsidRDefault="002B3033" w:rsidP="0048364F">
    <w:pPr>
      <w:rPr>
        <w:b/>
        <w:sz w:val="20"/>
      </w:rPr>
    </w:pPr>
    <w:r>
      <w:rPr>
        <w:b/>
        <w:sz w:val="20"/>
      </w:rPr>
      <w:fldChar w:fldCharType="begin"/>
    </w:r>
    <w:r>
      <w:rPr>
        <w:b/>
        <w:sz w:val="20"/>
      </w:rPr>
      <w:instrText xml:space="preserve"> STYLEREF CharAmPartNo </w:instrText>
    </w:r>
    <w:r>
      <w:rPr>
        <w:b/>
        <w:sz w:val="20"/>
      </w:rPr>
      <w:fldChar w:fldCharType="end"/>
    </w:r>
    <w:r w:rsidRPr="00A961C4">
      <w:rPr>
        <w:sz w:val="20"/>
      </w:rPr>
      <w:t xml:space="preserve">  </w:t>
    </w:r>
    <w:r>
      <w:rPr>
        <w:sz w:val="20"/>
      </w:rPr>
      <w:fldChar w:fldCharType="begin"/>
    </w:r>
    <w:r>
      <w:rPr>
        <w:sz w:val="20"/>
      </w:rPr>
      <w:instrText xml:space="preserve"> STYLEREF CharAmPartText </w:instrText>
    </w:r>
    <w:r>
      <w:rPr>
        <w:sz w:val="20"/>
      </w:rPr>
      <w:fldChar w:fldCharType="end"/>
    </w:r>
  </w:p>
  <w:p w:rsidR="002B3033" w:rsidRPr="00A961C4" w:rsidRDefault="002B3033" w:rsidP="00045C17">
    <w:pPr>
      <w:pBdr>
        <w:bottom w:val="single" w:sz="6" w:space="1" w:color="auto"/>
      </w:pBdr>
      <w:spacing w:after="120"/>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033" w:rsidRPr="00A961C4" w:rsidRDefault="002B3033" w:rsidP="0048364F">
    <w:pPr>
      <w:jc w:val="right"/>
      <w:rPr>
        <w:sz w:val="20"/>
      </w:rPr>
    </w:pPr>
    <w:r w:rsidRPr="00A961C4">
      <w:rPr>
        <w:sz w:val="20"/>
      </w:rPr>
      <w:fldChar w:fldCharType="begin"/>
    </w:r>
    <w:r w:rsidRPr="00A961C4">
      <w:rPr>
        <w:sz w:val="20"/>
      </w:rPr>
      <w:instrText xml:space="preserve"> STYLEREF CharAmSchText </w:instrText>
    </w:r>
    <w:r w:rsidRPr="00A961C4">
      <w:rPr>
        <w:sz w:val="20"/>
      </w:rPr>
      <w:fldChar w:fldCharType="separate"/>
    </w:r>
    <w:r w:rsidR="001F0CEE">
      <w:rPr>
        <w:noProof/>
        <w:sz w:val="20"/>
      </w:rPr>
      <w:t>Repeals</w:t>
    </w:r>
    <w:r w:rsidRPr="00A961C4">
      <w:rPr>
        <w:sz w:val="20"/>
      </w:rPr>
      <w:fldChar w:fldCharType="end"/>
    </w:r>
    <w:r w:rsidRPr="00A961C4">
      <w:rPr>
        <w:sz w:val="20"/>
      </w:rPr>
      <w:t xml:space="preserve"> </w:t>
    </w:r>
    <w:r w:rsidRPr="00A961C4">
      <w:rPr>
        <w:b/>
        <w:sz w:val="20"/>
      </w:rPr>
      <w:t xml:space="preserve"> </w:t>
    </w:r>
    <w:r>
      <w:rPr>
        <w:b/>
        <w:sz w:val="20"/>
      </w:rPr>
      <w:fldChar w:fldCharType="begin"/>
    </w:r>
    <w:r>
      <w:rPr>
        <w:b/>
        <w:sz w:val="20"/>
      </w:rPr>
      <w:instrText xml:space="preserve"> STYLEREF CharAmSchNo </w:instrText>
    </w:r>
    <w:r>
      <w:rPr>
        <w:b/>
        <w:sz w:val="20"/>
      </w:rPr>
      <w:fldChar w:fldCharType="separate"/>
    </w:r>
    <w:r w:rsidR="001F0CEE">
      <w:rPr>
        <w:b/>
        <w:noProof/>
        <w:sz w:val="20"/>
      </w:rPr>
      <w:t>Schedule 2</w:t>
    </w:r>
    <w:r>
      <w:rPr>
        <w:b/>
        <w:sz w:val="20"/>
      </w:rPr>
      <w:fldChar w:fldCharType="end"/>
    </w:r>
  </w:p>
  <w:p w:rsidR="002B3033" w:rsidRPr="00A961C4" w:rsidRDefault="002B3033" w:rsidP="0048364F">
    <w:pPr>
      <w:jc w:val="right"/>
      <w:rPr>
        <w:b/>
        <w:sz w:val="20"/>
      </w:rPr>
    </w:pPr>
    <w:r w:rsidRPr="00A961C4">
      <w:rPr>
        <w:sz w:val="20"/>
      </w:rPr>
      <w:fldChar w:fldCharType="begin"/>
    </w:r>
    <w:r w:rsidRPr="00A961C4">
      <w:rPr>
        <w:sz w:val="20"/>
      </w:rPr>
      <w:instrText xml:space="preserve"> STYLEREF CharAmPartText </w:instrText>
    </w:r>
    <w:r w:rsidRPr="00A961C4">
      <w:rPr>
        <w:sz w:val="20"/>
      </w:rPr>
      <w:fldChar w:fldCharType="end"/>
    </w:r>
    <w:r w:rsidRPr="00A961C4">
      <w:rPr>
        <w:sz w:val="20"/>
      </w:rPr>
      <w:t xml:space="preserve"> </w:t>
    </w:r>
    <w:r w:rsidRPr="00A961C4">
      <w:rPr>
        <w:b/>
        <w:sz w:val="20"/>
      </w:rPr>
      <w:t xml:space="preserve"> </w:t>
    </w:r>
    <w:r w:rsidRPr="00A961C4">
      <w:rPr>
        <w:b/>
        <w:sz w:val="20"/>
      </w:rPr>
      <w:fldChar w:fldCharType="begin"/>
    </w:r>
    <w:r w:rsidRPr="00A961C4">
      <w:rPr>
        <w:b/>
        <w:sz w:val="20"/>
      </w:rPr>
      <w:instrText xml:space="preserve"> STYLEREF CharAmPartNo </w:instrText>
    </w:r>
    <w:r w:rsidRPr="00A961C4">
      <w:rPr>
        <w:b/>
        <w:sz w:val="20"/>
      </w:rPr>
      <w:fldChar w:fldCharType="end"/>
    </w:r>
  </w:p>
  <w:p w:rsidR="002B3033" w:rsidRPr="00A961C4" w:rsidRDefault="002B3033" w:rsidP="00045C17">
    <w:pPr>
      <w:pBdr>
        <w:bottom w:val="single" w:sz="6" w:space="1" w:color="auto"/>
      </w:pBdr>
      <w:spacing w:after="120"/>
      <w:jc w:val="right"/>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033" w:rsidRPr="00A961C4" w:rsidRDefault="002B3033" w:rsidP="0048364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DC1" w:rsidRPr="005F1388" w:rsidRDefault="00A05DC1" w:rsidP="00A05DC1">
    <w:pPr>
      <w:pStyle w:val="Header"/>
      <w:tabs>
        <w:tab w:val="clear" w:pos="4150"/>
        <w:tab w:val="clear" w:pos="8307"/>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DC1" w:rsidRPr="005F1388" w:rsidRDefault="00A05DC1" w:rsidP="00A05DC1">
    <w:pPr>
      <w:pStyle w:val="Header"/>
      <w:tabs>
        <w:tab w:val="clear" w:pos="4150"/>
        <w:tab w:val="clear" w:pos="8307"/>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DC1" w:rsidRPr="00ED79B6" w:rsidRDefault="00A05DC1" w:rsidP="00A05DC1">
    <w:pPr>
      <w:pBdr>
        <w:bottom w:val="single" w:sz="6" w:space="1" w:color="auto"/>
      </w:pBdr>
      <w:spacing w:before="1000" w:line="240" w:lineRule="au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DC1" w:rsidRPr="00ED79B6" w:rsidRDefault="00A05DC1" w:rsidP="00A05DC1">
    <w:pPr>
      <w:pBdr>
        <w:bottom w:val="single" w:sz="6" w:space="1" w:color="auto"/>
      </w:pBdr>
      <w:spacing w:before="1000" w:line="240" w:lineRule="aut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DC1" w:rsidRPr="007A1328" w:rsidRDefault="00A05DC1" w:rsidP="00A05DC1"/>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DC1" w:rsidRDefault="00A05DC1" w:rsidP="00A05DC1">
    <w:pPr>
      <w:rPr>
        <w:sz w:val="20"/>
      </w:rPr>
    </w:pPr>
    <w:r w:rsidRPr="007A1328">
      <w:rPr>
        <w:b/>
        <w:sz w:val="20"/>
      </w:rPr>
      <w:fldChar w:fldCharType="begin"/>
    </w:r>
    <w:r w:rsidRPr="007A1328">
      <w:rPr>
        <w:b/>
        <w:sz w:val="20"/>
      </w:rPr>
      <w:instrText xml:space="preserve"> STYLEREF CharChapNo </w:instrText>
    </w:r>
    <w:r w:rsidRPr="007A1328">
      <w:rPr>
        <w:b/>
        <w:sz w:val="20"/>
      </w:rPr>
      <w:fldChar w:fldCharType="end"/>
    </w:r>
    <w:r w:rsidRPr="007A1328">
      <w:rPr>
        <w:b/>
        <w:sz w:val="20"/>
      </w:rPr>
      <w:t xml:space="preserve"> </w:t>
    </w:r>
    <w:r>
      <w:rPr>
        <w:sz w:val="20"/>
      </w:rPr>
      <w:t xml:space="preserve"> </w:t>
    </w:r>
    <w:r>
      <w:rPr>
        <w:sz w:val="20"/>
      </w:rPr>
      <w:fldChar w:fldCharType="begin"/>
    </w:r>
    <w:r>
      <w:rPr>
        <w:sz w:val="20"/>
      </w:rPr>
      <w:instrText xml:space="preserve"> STYLEREF CharChapText </w:instrText>
    </w:r>
    <w:r>
      <w:rPr>
        <w:sz w:val="20"/>
      </w:rPr>
      <w:fldChar w:fldCharType="end"/>
    </w:r>
  </w:p>
  <w:p w:rsidR="00A05DC1" w:rsidRDefault="00A05DC1" w:rsidP="00A05DC1">
    <w:pPr>
      <w:rPr>
        <w:sz w:val="20"/>
      </w:rPr>
    </w:pPr>
    <w:r w:rsidRPr="007A1328">
      <w:rPr>
        <w:b/>
        <w:sz w:val="20"/>
      </w:rPr>
      <w:fldChar w:fldCharType="begin"/>
    </w:r>
    <w:r w:rsidRPr="007A1328">
      <w:rPr>
        <w:b/>
        <w:sz w:val="20"/>
      </w:rPr>
      <w:instrText xml:space="preserve"> STYLEREF CharPartNo </w:instrText>
    </w:r>
    <w:r w:rsidRPr="007A1328">
      <w:rPr>
        <w:b/>
        <w:sz w:val="20"/>
      </w:rPr>
      <w:fldChar w:fldCharType="end"/>
    </w:r>
    <w:r w:rsidRPr="007A1328">
      <w:rPr>
        <w:b/>
        <w:sz w:val="20"/>
      </w:rPr>
      <w:t xml:space="preserve"> </w:t>
    </w:r>
    <w:r w:rsidRPr="007A1328">
      <w:rPr>
        <w:sz w:val="20"/>
      </w:rPr>
      <w:t xml:space="preserve"> </w:t>
    </w:r>
    <w:r>
      <w:rPr>
        <w:sz w:val="20"/>
      </w:rPr>
      <w:fldChar w:fldCharType="begin"/>
    </w:r>
    <w:r>
      <w:rPr>
        <w:sz w:val="20"/>
      </w:rPr>
      <w:instrText xml:space="preserve"> STYLEREF CharPartText </w:instrText>
    </w:r>
    <w:r>
      <w:rPr>
        <w:sz w:val="20"/>
      </w:rPr>
      <w:fldChar w:fldCharType="end"/>
    </w:r>
  </w:p>
  <w:p w:rsidR="00A05DC1" w:rsidRPr="007A1328" w:rsidRDefault="00A05DC1" w:rsidP="00A05DC1">
    <w:pPr>
      <w:rPr>
        <w:sz w:val="20"/>
      </w:rPr>
    </w:pPr>
    <w:r>
      <w:rPr>
        <w:b/>
        <w:sz w:val="20"/>
      </w:rPr>
      <w:fldChar w:fldCharType="begin"/>
    </w:r>
    <w:r>
      <w:rPr>
        <w:b/>
        <w:sz w:val="20"/>
      </w:rPr>
      <w:instrText xml:space="preserve"> STYLEREF CharDivNo </w:instrText>
    </w:r>
    <w:r>
      <w:rPr>
        <w:b/>
        <w:sz w:val="20"/>
      </w:rPr>
      <w:fldChar w:fldCharType="end"/>
    </w:r>
    <w:r>
      <w:rPr>
        <w:b/>
        <w:sz w:val="20"/>
      </w:rPr>
      <w:t xml:space="preserve"> </w:t>
    </w:r>
    <w:r>
      <w:rPr>
        <w:sz w:val="20"/>
      </w:rPr>
      <w:t xml:space="preserve"> </w:t>
    </w:r>
    <w:r>
      <w:rPr>
        <w:sz w:val="20"/>
      </w:rPr>
      <w:fldChar w:fldCharType="begin"/>
    </w:r>
    <w:r>
      <w:rPr>
        <w:sz w:val="20"/>
      </w:rPr>
      <w:instrText xml:space="preserve"> STYLEREF CharDivText </w:instrText>
    </w:r>
    <w:r>
      <w:rPr>
        <w:sz w:val="20"/>
      </w:rPr>
      <w:fldChar w:fldCharType="end"/>
    </w:r>
  </w:p>
  <w:p w:rsidR="00A05DC1" w:rsidRPr="007A1328" w:rsidRDefault="00A05DC1" w:rsidP="00A05DC1">
    <w:pPr>
      <w:rPr>
        <w:b/>
        <w:sz w:val="24"/>
      </w:rPr>
    </w:pPr>
  </w:p>
  <w:p w:rsidR="00A05DC1" w:rsidRPr="007A1328" w:rsidRDefault="00A05DC1" w:rsidP="00A05DC1">
    <w:pPr>
      <w:pBdr>
        <w:bottom w:val="single" w:sz="6" w:space="1" w:color="auto"/>
      </w:pBdr>
      <w:spacing w:after="120"/>
      <w:rPr>
        <w:sz w:val="24"/>
      </w:rPr>
    </w:pPr>
    <w:r>
      <w:rPr>
        <w:sz w:val="24"/>
      </w:rPr>
      <w:fldChar w:fldCharType="begin"/>
    </w:r>
    <w:r>
      <w:rPr>
        <w:sz w:val="24"/>
      </w:rPr>
      <w:instrText xml:space="preserve"> DOCPROPERTY  Header </w:instrText>
    </w:r>
    <w:r>
      <w:rPr>
        <w:sz w:val="24"/>
      </w:rPr>
      <w:fldChar w:fldCharType="separate"/>
    </w:r>
    <w:r w:rsidR="001F0CEE">
      <w:rPr>
        <w:sz w:val="24"/>
      </w:rPr>
      <w:t>Section</w:t>
    </w:r>
    <w:r>
      <w:rPr>
        <w:sz w:val="24"/>
      </w:rPr>
      <w:fldChar w:fldCharType="end"/>
    </w:r>
    <w:r>
      <w:rPr>
        <w:sz w:val="24"/>
      </w:rPr>
      <w:t xml:space="preserve"> </w:t>
    </w:r>
    <w:r w:rsidRPr="007A1328">
      <w:rPr>
        <w:sz w:val="24"/>
      </w:rPr>
      <w:fldChar w:fldCharType="begin"/>
    </w:r>
    <w:r w:rsidRPr="007A1328">
      <w:rPr>
        <w:sz w:val="24"/>
      </w:rPr>
      <w:instrText xml:space="preserve"> STYLEREF CharSectno </w:instrText>
    </w:r>
    <w:r w:rsidRPr="007A1328">
      <w:rPr>
        <w:sz w:val="24"/>
      </w:rPr>
      <w:fldChar w:fldCharType="separate"/>
    </w:r>
    <w:r w:rsidR="001F0CEE">
      <w:rPr>
        <w:noProof/>
        <w:sz w:val="24"/>
      </w:rPr>
      <w:t>1</w:t>
    </w:r>
    <w:r w:rsidRPr="007A1328">
      <w:rPr>
        <w:sz w:val="24"/>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DC1" w:rsidRPr="007A1328" w:rsidRDefault="00A05DC1" w:rsidP="00A05DC1">
    <w:pPr>
      <w:jc w:val="right"/>
      <w:rPr>
        <w:sz w:val="20"/>
      </w:rPr>
    </w:pPr>
    <w:r w:rsidRPr="007A1328">
      <w:rPr>
        <w:sz w:val="20"/>
      </w:rPr>
      <w:fldChar w:fldCharType="begin"/>
    </w:r>
    <w:r w:rsidRPr="007A1328">
      <w:rPr>
        <w:sz w:val="20"/>
      </w:rPr>
      <w:instrText xml:space="preserve"> STYLEREF CharChapText </w:instrText>
    </w:r>
    <w:r w:rsidRPr="007A1328">
      <w:rPr>
        <w:sz w:val="20"/>
      </w:rPr>
      <w:fldChar w:fldCharType="end"/>
    </w:r>
    <w:r w:rsidRPr="007A1328">
      <w:rPr>
        <w:sz w:val="20"/>
      </w:rPr>
      <w:t xml:space="preserve"> </w:t>
    </w:r>
    <w:r w:rsidRPr="007A1328">
      <w:rPr>
        <w:b/>
        <w:sz w:val="20"/>
      </w:rPr>
      <w:t xml:space="preserve"> </w:t>
    </w:r>
    <w:r>
      <w:rPr>
        <w:b/>
        <w:sz w:val="20"/>
      </w:rPr>
      <w:fldChar w:fldCharType="begin"/>
    </w:r>
    <w:r>
      <w:rPr>
        <w:b/>
        <w:sz w:val="20"/>
      </w:rPr>
      <w:instrText xml:space="preserve"> STYLEREF CharChapNo </w:instrText>
    </w:r>
    <w:r>
      <w:rPr>
        <w:b/>
        <w:sz w:val="20"/>
      </w:rPr>
      <w:fldChar w:fldCharType="end"/>
    </w:r>
  </w:p>
  <w:p w:rsidR="00A05DC1" w:rsidRPr="007A1328" w:rsidRDefault="00A05DC1" w:rsidP="00A05DC1">
    <w:pPr>
      <w:jc w:val="right"/>
      <w:rPr>
        <w:sz w:val="20"/>
      </w:rPr>
    </w:pPr>
    <w:r w:rsidRPr="007A1328">
      <w:rPr>
        <w:sz w:val="20"/>
      </w:rPr>
      <w:fldChar w:fldCharType="begin"/>
    </w:r>
    <w:r w:rsidRPr="007A1328">
      <w:rPr>
        <w:sz w:val="20"/>
      </w:rPr>
      <w:instrText xml:space="preserve"> STYLEREF CharPartText </w:instrText>
    </w:r>
    <w:r w:rsidRPr="007A1328">
      <w:rPr>
        <w:sz w:val="20"/>
      </w:rPr>
      <w:fldChar w:fldCharType="end"/>
    </w:r>
    <w:r w:rsidRPr="007A1328">
      <w:rPr>
        <w:sz w:val="20"/>
      </w:rPr>
      <w:t xml:space="preserve"> </w:t>
    </w:r>
    <w:r>
      <w:rPr>
        <w:sz w:val="20"/>
      </w:rPr>
      <w:t xml:space="preserve"> </w:t>
    </w:r>
    <w:r>
      <w:rPr>
        <w:b/>
        <w:sz w:val="20"/>
      </w:rPr>
      <w:fldChar w:fldCharType="begin"/>
    </w:r>
    <w:r>
      <w:rPr>
        <w:b/>
        <w:sz w:val="20"/>
      </w:rPr>
      <w:instrText xml:space="preserve"> STYLEREF CharPartNo </w:instrText>
    </w:r>
    <w:r>
      <w:rPr>
        <w:b/>
        <w:sz w:val="20"/>
      </w:rPr>
      <w:fldChar w:fldCharType="end"/>
    </w:r>
  </w:p>
  <w:p w:rsidR="00A05DC1" w:rsidRPr="007A1328" w:rsidRDefault="00A05DC1" w:rsidP="00A05DC1">
    <w:pPr>
      <w:jc w:val="right"/>
      <w:rPr>
        <w:sz w:val="20"/>
      </w:rPr>
    </w:pPr>
    <w:r w:rsidRPr="007A1328">
      <w:rPr>
        <w:sz w:val="20"/>
      </w:rPr>
      <w:fldChar w:fldCharType="begin"/>
    </w:r>
    <w:r w:rsidRPr="007A1328">
      <w:rPr>
        <w:sz w:val="20"/>
      </w:rPr>
      <w:instrText xml:space="preserve"> STYLEREF CharDivText </w:instrText>
    </w:r>
    <w:r w:rsidRPr="007A1328">
      <w:rPr>
        <w:sz w:val="20"/>
      </w:rPr>
      <w:fldChar w:fldCharType="end"/>
    </w:r>
    <w:r w:rsidRPr="007A1328">
      <w:rPr>
        <w:sz w:val="20"/>
      </w:rPr>
      <w:t xml:space="preserve"> </w:t>
    </w:r>
    <w:r>
      <w:rPr>
        <w:b/>
        <w:sz w:val="20"/>
      </w:rPr>
      <w:t xml:space="preserve"> </w:t>
    </w:r>
    <w:r>
      <w:rPr>
        <w:b/>
        <w:sz w:val="20"/>
      </w:rPr>
      <w:fldChar w:fldCharType="begin"/>
    </w:r>
    <w:r>
      <w:rPr>
        <w:b/>
        <w:sz w:val="20"/>
      </w:rPr>
      <w:instrText xml:space="preserve"> STYLEREF CharDivNo </w:instrText>
    </w:r>
    <w:r>
      <w:rPr>
        <w:b/>
        <w:sz w:val="20"/>
      </w:rPr>
      <w:fldChar w:fldCharType="end"/>
    </w:r>
  </w:p>
  <w:p w:rsidR="00A05DC1" w:rsidRPr="007A1328" w:rsidRDefault="00A05DC1" w:rsidP="00A05DC1">
    <w:pPr>
      <w:jc w:val="right"/>
      <w:rPr>
        <w:b/>
        <w:sz w:val="24"/>
      </w:rPr>
    </w:pPr>
  </w:p>
  <w:p w:rsidR="00A05DC1" w:rsidRPr="007A1328" w:rsidRDefault="00A05DC1" w:rsidP="00A05DC1">
    <w:pPr>
      <w:pBdr>
        <w:bottom w:val="single" w:sz="6" w:space="1" w:color="auto"/>
      </w:pBdr>
      <w:spacing w:after="120"/>
      <w:jc w:val="right"/>
      <w:rPr>
        <w:sz w:val="24"/>
      </w:rPr>
    </w:pPr>
    <w:r>
      <w:rPr>
        <w:sz w:val="24"/>
      </w:rPr>
      <w:fldChar w:fldCharType="begin"/>
    </w:r>
    <w:r>
      <w:rPr>
        <w:sz w:val="24"/>
      </w:rPr>
      <w:instrText xml:space="preserve"> DOCPROPERTY  Header </w:instrText>
    </w:r>
    <w:r>
      <w:rPr>
        <w:sz w:val="24"/>
      </w:rPr>
      <w:fldChar w:fldCharType="separate"/>
    </w:r>
    <w:r w:rsidR="001F0CEE">
      <w:rPr>
        <w:sz w:val="24"/>
      </w:rPr>
      <w:t>Section</w:t>
    </w:r>
    <w:r>
      <w:rPr>
        <w:sz w:val="24"/>
      </w:rPr>
      <w:fldChar w:fldCharType="end"/>
    </w:r>
    <w:r w:rsidRPr="007A1328">
      <w:rPr>
        <w:sz w:val="24"/>
      </w:rPr>
      <w:t xml:space="preserve"> </w:t>
    </w:r>
    <w:r w:rsidRPr="007A1328">
      <w:rPr>
        <w:sz w:val="24"/>
      </w:rPr>
      <w:fldChar w:fldCharType="begin"/>
    </w:r>
    <w:r w:rsidRPr="007A1328">
      <w:rPr>
        <w:sz w:val="24"/>
      </w:rPr>
      <w:instrText xml:space="preserve"> STYLEREF CharSectno </w:instrText>
    </w:r>
    <w:r w:rsidRPr="007A1328">
      <w:rPr>
        <w:sz w:val="24"/>
      </w:rPr>
      <w:fldChar w:fldCharType="separate"/>
    </w:r>
    <w:r w:rsidR="001F0CEE">
      <w:rPr>
        <w:noProof/>
        <w:sz w:val="24"/>
      </w:rPr>
      <w:t>1</w:t>
    </w:r>
    <w:r w:rsidRPr="007A1328">
      <w:rPr>
        <w:sz w:val="24"/>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C17" w:rsidRPr="00D1021D" w:rsidRDefault="00045C17">
    <w:pPr>
      <w:rPr>
        <w:sz w:val="20"/>
      </w:rPr>
    </w:pPr>
    <w:r w:rsidRPr="00D1021D">
      <w:rPr>
        <w:b/>
        <w:sz w:val="20"/>
      </w:rPr>
      <w:fldChar w:fldCharType="begin"/>
    </w:r>
    <w:r w:rsidRPr="00D1021D">
      <w:rPr>
        <w:b/>
        <w:sz w:val="20"/>
      </w:rPr>
      <w:instrText xml:space="preserve"> STYLEREF CharChapNo </w:instrText>
    </w:r>
    <w:r w:rsidR="001F0CEE">
      <w:rPr>
        <w:b/>
        <w:sz w:val="20"/>
      </w:rPr>
      <w:fldChar w:fldCharType="separate"/>
    </w:r>
    <w:r w:rsidR="001F0CEE">
      <w:rPr>
        <w:b/>
        <w:noProof/>
        <w:sz w:val="20"/>
      </w:rPr>
      <w:t>Schedule 1</w:t>
    </w:r>
    <w:r w:rsidRPr="00D1021D">
      <w:rPr>
        <w:b/>
        <w:sz w:val="20"/>
      </w:rPr>
      <w:fldChar w:fldCharType="end"/>
    </w:r>
    <w:r w:rsidRPr="00D1021D">
      <w:rPr>
        <w:b/>
        <w:sz w:val="20"/>
      </w:rPr>
      <w:t xml:space="preserve">  </w:t>
    </w:r>
    <w:r w:rsidRPr="00D1021D">
      <w:rPr>
        <w:sz w:val="20"/>
      </w:rPr>
      <w:fldChar w:fldCharType="begin"/>
    </w:r>
    <w:r w:rsidRPr="00D1021D">
      <w:rPr>
        <w:sz w:val="20"/>
      </w:rPr>
      <w:instrText xml:space="preserve"> STYLEREF CharChapText </w:instrText>
    </w:r>
    <w:r w:rsidR="001F0CEE">
      <w:rPr>
        <w:sz w:val="20"/>
      </w:rPr>
      <w:fldChar w:fldCharType="separate"/>
    </w:r>
    <w:r w:rsidR="001F0CEE">
      <w:rPr>
        <w:noProof/>
        <w:sz w:val="20"/>
      </w:rPr>
      <w:t>Non-warlike service</w:t>
    </w:r>
    <w:r w:rsidRPr="00D1021D">
      <w:rPr>
        <w:sz w:val="20"/>
      </w:rPr>
      <w:fldChar w:fldCharType="end"/>
    </w:r>
  </w:p>
  <w:p w:rsidR="00045C17" w:rsidRPr="00D1021D" w:rsidRDefault="00045C17">
    <w:pPr>
      <w:rPr>
        <w:b/>
        <w:sz w:val="20"/>
      </w:rPr>
    </w:pPr>
    <w:r w:rsidRPr="00D1021D">
      <w:rPr>
        <w:b/>
        <w:sz w:val="20"/>
      </w:rPr>
      <w:fldChar w:fldCharType="begin"/>
    </w:r>
    <w:r w:rsidRPr="00D1021D">
      <w:rPr>
        <w:b/>
        <w:sz w:val="20"/>
      </w:rPr>
      <w:instrText xml:space="preserve"> STYLEREF CharPartNo </w:instrText>
    </w:r>
    <w:r w:rsidRPr="00D1021D">
      <w:rPr>
        <w:b/>
        <w:sz w:val="20"/>
      </w:rPr>
      <w:fldChar w:fldCharType="end"/>
    </w:r>
    <w:r w:rsidRPr="00D1021D">
      <w:rPr>
        <w:b/>
        <w:sz w:val="20"/>
      </w:rPr>
      <w:t xml:space="preserve">  </w:t>
    </w:r>
    <w:r w:rsidRPr="00D1021D">
      <w:rPr>
        <w:sz w:val="20"/>
      </w:rPr>
      <w:fldChar w:fldCharType="begin"/>
    </w:r>
    <w:r w:rsidRPr="00D1021D">
      <w:rPr>
        <w:sz w:val="20"/>
      </w:rPr>
      <w:instrText xml:space="preserve"> STYLEREF CharPartText </w:instrText>
    </w:r>
    <w:r w:rsidRPr="00D1021D">
      <w:rPr>
        <w:sz w:val="20"/>
      </w:rPr>
      <w:fldChar w:fldCharType="end"/>
    </w:r>
  </w:p>
  <w:p w:rsidR="00045C17" w:rsidRPr="00D1021D" w:rsidRDefault="00045C17">
    <w:pPr>
      <w:rPr>
        <w:sz w:val="20"/>
      </w:rPr>
    </w:pPr>
    <w:r w:rsidRPr="00D1021D">
      <w:rPr>
        <w:b/>
        <w:sz w:val="20"/>
      </w:rPr>
      <w:fldChar w:fldCharType="begin"/>
    </w:r>
    <w:r w:rsidRPr="00D1021D">
      <w:rPr>
        <w:b/>
        <w:sz w:val="20"/>
      </w:rPr>
      <w:instrText xml:space="preserve"> STYLEREF CharDivNo </w:instrText>
    </w:r>
    <w:r w:rsidRPr="00D1021D">
      <w:rPr>
        <w:b/>
        <w:sz w:val="20"/>
      </w:rPr>
      <w:fldChar w:fldCharType="end"/>
    </w:r>
    <w:r w:rsidRPr="00D1021D">
      <w:rPr>
        <w:b/>
        <w:sz w:val="20"/>
      </w:rPr>
      <w:t xml:space="preserve">  </w:t>
    </w:r>
    <w:r w:rsidRPr="00D1021D">
      <w:rPr>
        <w:sz w:val="20"/>
      </w:rPr>
      <w:fldChar w:fldCharType="begin"/>
    </w:r>
    <w:r w:rsidRPr="00D1021D">
      <w:rPr>
        <w:sz w:val="20"/>
      </w:rPr>
      <w:instrText xml:space="preserve"> STYLEREF CharDivText </w:instrText>
    </w:r>
    <w:r w:rsidRPr="00D1021D">
      <w:rPr>
        <w:sz w:val="20"/>
      </w:rPr>
      <w:fldChar w:fldCharType="end"/>
    </w:r>
  </w:p>
  <w:p w:rsidR="00045C17" w:rsidRPr="00D1021D" w:rsidRDefault="00045C17">
    <w:pPr>
      <w:rPr>
        <w:b/>
      </w:rPr>
    </w:pPr>
  </w:p>
  <w:p w:rsidR="00045C17" w:rsidRPr="00D1021D" w:rsidRDefault="00045C17" w:rsidP="00045C17">
    <w:pPr>
      <w:pBdr>
        <w:bottom w:val="single" w:sz="6" w:space="1" w:color="auto"/>
      </w:pBdr>
      <w:spacing w:after="120"/>
    </w:pPr>
    <w:r w:rsidRPr="00D1021D">
      <w:t xml:space="preserve">Clause </w:t>
    </w:r>
    <w:r w:rsidR="001F0CEE">
      <w:fldChar w:fldCharType="begin"/>
    </w:r>
    <w:r w:rsidR="001F0CEE">
      <w:instrText xml:space="preserve"> STYLEREF CharSectno </w:instrText>
    </w:r>
    <w:r w:rsidR="001F0CEE">
      <w:fldChar w:fldCharType="separate"/>
    </w:r>
    <w:r w:rsidR="001F0CEE">
      <w:rPr>
        <w:noProof/>
      </w:rPr>
      <w:t>1</w:t>
    </w:r>
    <w:r w:rsidR="001F0CEE">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38F81E"/>
    <w:lvl w:ilvl="0">
      <w:start w:val="1"/>
      <w:numFmt w:val="decimal"/>
      <w:lvlText w:val="%1."/>
      <w:lvlJc w:val="left"/>
      <w:pPr>
        <w:tabs>
          <w:tab w:val="num" w:pos="1492"/>
        </w:tabs>
        <w:ind w:left="1492" w:hanging="360"/>
      </w:pPr>
    </w:lvl>
  </w:abstractNum>
  <w:abstractNum w:abstractNumId="1">
    <w:nsid w:val="FFFFFF7D"/>
    <w:multiLevelType w:val="singleLevel"/>
    <w:tmpl w:val="F0046984"/>
    <w:lvl w:ilvl="0">
      <w:start w:val="1"/>
      <w:numFmt w:val="decimal"/>
      <w:lvlText w:val="%1."/>
      <w:lvlJc w:val="left"/>
      <w:pPr>
        <w:tabs>
          <w:tab w:val="num" w:pos="1209"/>
        </w:tabs>
        <w:ind w:left="1209" w:hanging="360"/>
      </w:pPr>
    </w:lvl>
  </w:abstractNum>
  <w:abstractNum w:abstractNumId="2">
    <w:nsid w:val="FFFFFF7E"/>
    <w:multiLevelType w:val="singleLevel"/>
    <w:tmpl w:val="49AA5088"/>
    <w:lvl w:ilvl="0">
      <w:start w:val="1"/>
      <w:numFmt w:val="decimal"/>
      <w:lvlText w:val="%1."/>
      <w:lvlJc w:val="left"/>
      <w:pPr>
        <w:tabs>
          <w:tab w:val="num" w:pos="926"/>
        </w:tabs>
        <w:ind w:left="926" w:hanging="360"/>
      </w:pPr>
    </w:lvl>
  </w:abstractNum>
  <w:abstractNum w:abstractNumId="3">
    <w:nsid w:val="FFFFFF7F"/>
    <w:multiLevelType w:val="singleLevel"/>
    <w:tmpl w:val="DC9E1E86"/>
    <w:lvl w:ilvl="0">
      <w:start w:val="1"/>
      <w:numFmt w:val="decimal"/>
      <w:lvlText w:val="%1."/>
      <w:lvlJc w:val="left"/>
      <w:pPr>
        <w:tabs>
          <w:tab w:val="num" w:pos="643"/>
        </w:tabs>
        <w:ind w:left="643" w:hanging="360"/>
      </w:pPr>
    </w:lvl>
  </w:abstractNum>
  <w:abstractNum w:abstractNumId="4">
    <w:nsid w:val="FFFFFF80"/>
    <w:multiLevelType w:val="singleLevel"/>
    <w:tmpl w:val="8312E5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E0208D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B52AE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EE4E58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D549580"/>
    <w:lvl w:ilvl="0">
      <w:start w:val="1"/>
      <w:numFmt w:val="decimal"/>
      <w:lvlText w:val="%1."/>
      <w:lvlJc w:val="left"/>
      <w:pPr>
        <w:tabs>
          <w:tab w:val="num" w:pos="360"/>
        </w:tabs>
        <w:ind w:left="360" w:hanging="360"/>
      </w:pPr>
    </w:lvl>
  </w:abstractNum>
  <w:abstractNum w:abstractNumId="9">
    <w:nsid w:val="FFFFFF89"/>
    <w:multiLevelType w:val="singleLevel"/>
    <w:tmpl w:val="B37AD62E"/>
    <w:lvl w:ilvl="0">
      <w:start w:val="1"/>
      <w:numFmt w:val="bullet"/>
      <w:lvlText w:val=""/>
      <w:lvlJc w:val="left"/>
      <w:pPr>
        <w:tabs>
          <w:tab w:val="num" w:pos="360"/>
        </w:tabs>
        <w:ind w:left="360" w:hanging="360"/>
      </w:pPr>
      <w:rPr>
        <w:rFonts w:ascii="Symbol" w:hAnsi="Symbol" w:hint="default"/>
      </w:rPr>
    </w:lvl>
  </w:abstractNum>
  <w:abstractNum w:abstractNumId="10">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TrueTypeFonts/>
  <w:saveSubsetFonts/>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drawingGridHorizontalSpacing w:val="110"/>
  <w:displayHorizontalDrawingGridEvery w:val="2"/>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452"/>
    <w:rsid w:val="00000263"/>
    <w:rsid w:val="00001949"/>
    <w:rsid w:val="000113BC"/>
    <w:rsid w:val="000136AF"/>
    <w:rsid w:val="0004044E"/>
    <w:rsid w:val="00045C17"/>
    <w:rsid w:val="0005120E"/>
    <w:rsid w:val="00054577"/>
    <w:rsid w:val="000614BF"/>
    <w:rsid w:val="0007169C"/>
    <w:rsid w:val="00077593"/>
    <w:rsid w:val="00083F48"/>
    <w:rsid w:val="000A7DF9"/>
    <w:rsid w:val="000D05EF"/>
    <w:rsid w:val="000D5485"/>
    <w:rsid w:val="000D6A48"/>
    <w:rsid w:val="000F21C1"/>
    <w:rsid w:val="00105D72"/>
    <w:rsid w:val="0010745C"/>
    <w:rsid w:val="00117277"/>
    <w:rsid w:val="0014176C"/>
    <w:rsid w:val="0014387F"/>
    <w:rsid w:val="0015364A"/>
    <w:rsid w:val="00160BD7"/>
    <w:rsid w:val="00161671"/>
    <w:rsid w:val="00164054"/>
    <w:rsid w:val="001643C9"/>
    <w:rsid w:val="00165568"/>
    <w:rsid w:val="00166082"/>
    <w:rsid w:val="00166C2F"/>
    <w:rsid w:val="001716C9"/>
    <w:rsid w:val="00184261"/>
    <w:rsid w:val="00193461"/>
    <w:rsid w:val="001939E1"/>
    <w:rsid w:val="00195382"/>
    <w:rsid w:val="001A3B9F"/>
    <w:rsid w:val="001A65C0"/>
    <w:rsid w:val="001B6456"/>
    <w:rsid w:val="001B7A5D"/>
    <w:rsid w:val="001C69C4"/>
    <w:rsid w:val="001E0A8D"/>
    <w:rsid w:val="001E3590"/>
    <w:rsid w:val="001E7407"/>
    <w:rsid w:val="001F0CEE"/>
    <w:rsid w:val="00201D27"/>
    <w:rsid w:val="0020300C"/>
    <w:rsid w:val="00220A0C"/>
    <w:rsid w:val="00223E4A"/>
    <w:rsid w:val="002302EA"/>
    <w:rsid w:val="0023329F"/>
    <w:rsid w:val="00240749"/>
    <w:rsid w:val="002468D7"/>
    <w:rsid w:val="00285CDD"/>
    <w:rsid w:val="00291167"/>
    <w:rsid w:val="00297ECB"/>
    <w:rsid w:val="002A42E3"/>
    <w:rsid w:val="002A6E39"/>
    <w:rsid w:val="002B3033"/>
    <w:rsid w:val="002C152A"/>
    <w:rsid w:val="002D043A"/>
    <w:rsid w:val="002F7B5E"/>
    <w:rsid w:val="0031713F"/>
    <w:rsid w:val="00332E0D"/>
    <w:rsid w:val="003415D3"/>
    <w:rsid w:val="00346335"/>
    <w:rsid w:val="003471C1"/>
    <w:rsid w:val="00352B0F"/>
    <w:rsid w:val="003561B0"/>
    <w:rsid w:val="00367960"/>
    <w:rsid w:val="00367C16"/>
    <w:rsid w:val="003A15AC"/>
    <w:rsid w:val="003A56EB"/>
    <w:rsid w:val="003B0627"/>
    <w:rsid w:val="003C5F2B"/>
    <w:rsid w:val="003D0BFE"/>
    <w:rsid w:val="003D5700"/>
    <w:rsid w:val="003F0F5A"/>
    <w:rsid w:val="00400A30"/>
    <w:rsid w:val="004022CA"/>
    <w:rsid w:val="004116CD"/>
    <w:rsid w:val="00414ADE"/>
    <w:rsid w:val="00424CA9"/>
    <w:rsid w:val="004257BB"/>
    <w:rsid w:val="004261D9"/>
    <w:rsid w:val="00436FE7"/>
    <w:rsid w:val="0044291A"/>
    <w:rsid w:val="0044438B"/>
    <w:rsid w:val="00460499"/>
    <w:rsid w:val="00470FC9"/>
    <w:rsid w:val="00474835"/>
    <w:rsid w:val="004819C7"/>
    <w:rsid w:val="0048364F"/>
    <w:rsid w:val="00490F2E"/>
    <w:rsid w:val="00496DB3"/>
    <w:rsid w:val="00496F97"/>
    <w:rsid w:val="004A53EA"/>
    <w:rsid w:val="004C74CA"/>
    <w:rsid w:val="004F1FAC"/>
    <w:rsid w:val="004F676E"/>
    <w:rsid w:val="00516B8D"/>
    <w:rsid w:val="00520275"/>
    <w:rsid w:val="0052686F"/>
    <w:rsid w:val="0052756C"/>
    <w:rsid w:val="00530230"/>
    <w:rsid w:val="00530CC9"/>
    <w:rsid w:val="00537FBC"/>
    <w:rsid w:val="005411A8"/>
    <w:rsid w:val="00541D73"/>
    <w:rsid w:val="00543469"/>
    <w:rsid w:val="00546FA3"/>
    <w:rsid w:val="00554243"/>
    <w:rsid w:val="00557C7A"/>
    <w:rsid w:val="00562A58"/>
    <w:rsid w:val="00581211"/>
    <w:rsid w:val="00584811"/>
    <w:rsid w:val="00593AA6"/>
    <w:rsid w:val="00594161"/>
    <w:rsid w:val="00594749"/>
    <w:rsid w:val="005A482B"/>
    <w:rsid w:val="005B4067"/>
    <w:rsid w:val="005C3F41"/>
    <w:rsid w:val="005D168D"/>
    <w:rsid w:val="005D5EA1"/>
    <w:rsid w:val="005E61D3"/>
    <w:rsid w:val="005F7738"/>
    <w:rsid w:val="00600219"/>
    <w:rsid w:val="00613EAD"/>
    <w:rsid w:val="006158AC"/>
    <w:rsid w:val="00626D4A"/>
    <w:rsid w:val="0063645F"/>
    <w:rsid w:val="00640402"/>
    <w:rsid w:val="00640F78"/>
    <w:rsid w:val="00646E7B"/>
    <w:rsid w:val="00655D6A"/>
    <w:rsid w:val="00656DE9"/>
    <w:rsid w:val="00677CC2"/>
    <w:rsid w:val="00677F9B"/>
    <w:rsid w:val="00685F42"/>
    <w:rsid w:val="006866A1"/>
    <w:rsid w:val="0069207B"/>
    <w:rsid w:val="006A4309"/>
    <w:rsid w:val="006B7006"/>
    <w:rsid w:val="006C7F8C"/>
    <w:rsid w:val="006D0FBB"/>
    <w:rsid w:val="006D7AB9"/>
    <w:rsid w:val="00700B2C"/>
    <w:rsid w:val="00713084"/>
    <w:rsid w:val="00720FC2"/>
    <w:rsid w:val="00731E00"/>
    <w:rsid w:val="00732E9D"/>
    <w:rsid w:val="0073491A"/>
    <w:rsid w:val="007440B7"/>
    <w:rsid w:val="00747993"/>
    <w:rsid w:val="00755452"/>
    <w:rsid w:val="007634AD"/>
    <w:rsid w:val="007715C9"/>
    <w:rsid w:val="00772386"/>
    <w:rsid w:val="00774EDD"/>
    <w:rsid w:val="007757EC"/>
    <w:rsid w:val="007A2983"/>
    <w:rsid w:val="007A35E6"/>
    <w:rsid w:val="007A6863"/>
    <w:rsid w:val="007D3AA5"/>
    <w:rsid w:val="007D45C1"/>
    <w:rsid w:val="007E7D4A"/>
    <w:rsid w:val="007F48ED"/>
    <w:rsid w:val="007F7947"/>
    <w:rsid w:val="008112FF"/>
    <w:rsid w:val="00812F45"/>
    <w:rsid w:val="00814DD8"/>
    <w:rsid w:val="0084172C"/>
    <w:rsid w:val="00856A31"/>
    <w:rsid w:val="00866D1D"/>
    <w:rsid w:val="008739BB"/>
    <w:rsid w:val="008754D0"/>
    <w:rsid w:val="00877D48"/>
    <w:rsid w:val="0088345B"/>
    <w:rsid w:val="008A16A5"/>
    <w:rsid w:val="008A3E34"/>
    <w:rsid w:val="008C2B5D"/>
    <w:rsid w:val="008D0EE0"/>
    <w:rsid w:val="008D5B99"/>
    <w:rsid w:val="008D7A27"/>
    <w:rsid w:val="008E4702"/>
    <w:rsid w:val="008E5D6A"/>
    <w:rsid w:val="008E69AA"/>
    <w:rsid w:val="008F4F1C"/>
    <w:rsid w:val="009045CD"/>
    <w:rsid w:val="00922764"/>
    <w:rsid w:val="00932377"/>
    <w:rsid w:val="00943102"/>
    <w:rsid w:val="0094523D"/>
    <w:rsid w:val="00947E6A"/>
    <w:rsid w:val="00970CC2"/>
    <w:rsid w:val="00976A63"/>
    <w:rsid w:val="00983419"/>
    <w:rsid w:val="009C3431"/>
    <w:rsid w:val="009C5989"/>
    <w:rsid w:val="009D08DA"/>
    <w:rsid w:val="009F5C9E"/>
    <w:rsid w:val="00A05DC1"/>
    <w:rsid w:val="00A06860"/>
    <w:rsid w:val="00A136F5"/>
    <w:rsid w:val="00A16FAD"/>
    <w:rsid w:val="00A231E2"/>
    <w:rsid w:val="00A2550D"/>
    <w:rsid w:val="00A4169B"/>
    <w:rsid w:val="00A50D55"/>
    <w:rsid w:val="00A5165B"/>
    <w:rsid w:val="00A52FDA"/>
    <w:rsid w:val="00A63D26"/>
    <w:rsid w:val="00A64912"/>
    <w:rsid w:val="00A70A74"/>
    <w:rsid w:val="00A92246"/>
    <w:rsid w:val="00AA0343"/>
    <w:rsid w:val="00AA2A5C"/>
    <w:rsid w:val="00AA68F5"/>
    <w:rsid w:val="00AB78E9"/>
    <w:rsid w:val="00AD3467"/>
    <w:rsid w:val="00AD5641"/>
    <w:rsid w:val="00AE0F9B"/>
    <w:rsid w:val="00AF55FF"/>
    <w:rsid w:val="00B032D8"/>
    <w:rsid w:val="00B12FC7"/>
    <w:rsid w:val="00B33B3C"/>
    <w:rsid w:val="00B40D74"/>
    <w:rsid w:val="00B52663"/>
    <w:rsid w:val="00B56DCB"/>
    <w:rsid w:val="00B770D2"/>
    <w:rsid w:val="00BA47A3"/>
    <w:rsid w:val="00BA5026"/>
    <w:rsid w:val="00BB6E79"/>
    <w:rsid w:val="00BE3B31"/>
    <w:rsid w:val="00BE719A"/>
    <w:rsid w:val="00BE720A"/>
    <w:rsid w:val="00BF6650"/>
    <w:rsid w:val="00C067E5"/>
    <w:rsid w:val="00C164CA"/>
    <w:rsid w:val="00C42BF8"/>
    <w:rsid w:val="00C460AE"/>
    <w:rsid w:val="00C50043"/>
    <w:rsid w:val="00C50A0F"/>
    <w:rsid w:val="00C7573B"/>
    <w:rsid w:val="00C76CF3"/>
    <w:rsid w:val="00CA7844"/>
    <w:rsid w:val="00CB58EF"/>
    <w:rsid w:val="00CE7D64"/>
    <w:rsid w:val="00CF0BB2"/>
    <w:rsid w:val="00D13441"/>
    <w:rsid w:val="00D243A3"/>
    <w:rsid w:val="00D3200B"/>
    <w:rsid w:val="00D33440"/>
    <w:rsid w:val="00D52EFE"/>
    <w:rsid w:val="00D56A0D"/>
    <w:rsid w:val="00D63EF6"/>
    <w:rsid w:val="00D658C7"/>
    <w:rsid w:val="00D66518"/>
    <w:rsid w:val="00D70DFB"/>
    <w:rsid w:val="00D71A80"/>
    <w:rsid w:val="00D71EEA"/>
    <w:rsid w:val="00D735CD"/>
    <w:rsid w:val="00D766DF"/>
    <w:rsid w:val="00D95891"/>
    <w:rsid w:val="00DB5CB4"/>
    <w:rsid w:val="00DE149E"/>
    <w:rsid w:val="00E05704"/>
    <w:rsid w:val="00E12F1A"/>
    <w:rsid w:val="00E21CFB"/>
    <w:rsid w:val="00E22935"/>
    <w:rsid w:val="00E468C2"/>
    <w:rsid w:val="00E54292"/>
    <w:rsid w:val="00E574FB"/>
    <w:rsid w:val="00E60191"/>
    <w:rsid w:val="00E74DC7"/>
    <w:rsid w:val="00E87699"/>
    <w:rsid w:val="00E92E27"/>
    <w:rsid w:val="00E9586B"/>
    <w:rsid w:val="00E95DE2"/>
    <w:rsid w:val="00E97334"/>
    <w:rsid w:val="00EA7B8B"/>
    <w:rsid w:val="00ED2C92"/>
    <w:rsid w:val="00ED4928"/>
    <w:rsid w:val="00EE6190"/>
    <w:rsid w:val="00EF2E3A"/>
    <w:rsid w:val="00EF3F4B"/>
    <w:rsid w:val="00EF6402"/>
    <w:rsid w:val="00F047E2"/>
    <w:rsid w:val="00F04D57"/>
    <w:rsid w:val="00F078DC"/>
    <w:rsid w:val="00F13E86"/>
    <w:rsid w:val="00F32FCB"/>
    <w:rsid w:val="00F50446"/>
    <w:rsid w:val="00F6709F"/>
    <w:rsid w:val="00F677A9"/>
    <w:rsid w:val="00F732EA"/>
    <w:rsid w:val="00F84CF5"/>
    <w:rsid w:val="00F8612E"/>
    <w:rsid w:val="00FA420B"/>
    <w:rsid w:val="00FC4B0F"/>
    <w:rsid w:val="00FE0781"/>
    <w:rsid w:val="00FF39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lang w:val="en-AU"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92246"/>
    <w:pPr>
      <w:spacing w:line="260" w:lineRule="atLeast"/>
    </w:pPr>
    <w:rPr>
      <w:sz w:val="22"/>
    </w:rPr>
  </w:style>
  <w:style w:type="paragraph" w:styleId="Heading1">
    <w:name w:val="heading 1"/>
    <w:basedOn w:val="Normal"/>
    <w:next w:val="Normal"/>
    <w:link w:val="Heading1Char"/>
    <w:qFormat/>
    <w:rsid w:val="0075545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5545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545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545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545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75545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545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5452"/>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755452"/>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PCCharBase">
    <w:name w:val="OPCCharBase"/>
    <w:uiPriority w:val="1"/>
    <w:qFormat/>
    <w:rsid w:val="00A92246"/>
  </w:style>
  <w:style w:type="paragraph" w:customStyle="1" w:styleId="OPCParaBase">
    <w:name w:val="OPCParaBase"/>
    <w:qFormat/>
    <w:rsid w:val="00A92246"/>
    <w:pPr>
      <w:spacing w:line="260" w:lineRule="atLeast"/>
    </w:pPr>
    <w:rPr>
      <w:rFonts w:eastAsia="Times New Roman" w:cs="Times New Roman"/>
      <w:sz w:val="22"/>
      <w:lang w:eastAsia="en-AU"/>
    </w:rPr>
  </w:style>
  <w:style w:type="paragraph" w:customStyle="1" w:styleId="ShortT">
    <w:name w:val="ShortT"/>
    <w:basedOn w:val="OPCParaBase"/>
    <w:next w:val="Normal"/>
    <w:qFormat/>
    <w:rsid w:val="00A92246"/>
    <w:pPr>
      <w:spacing w:line="240" w:lineRule="auto"/>
    </w:pPr>
    <w:rPr>
      <w:b/>
      <w:sz w:val="40"/>
    </w:rPr>
  </w:style>
  <w:style w:type="paragraph" w:customStyle="1" w:styleId="ActHead1">
    <w:name w:val="ActHead 1"/>
    <w:aliases w:val="c"/>
    <w:basedOn w:val="OPCParaBase"/>
    <w:next w:val="Normal"/>
    <w:qFormat/>
    <w:rsid w:val="00A92246"/>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A92246"/>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A92246"/>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A92246"/>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qFormat/>
    <w:rsid w:val="00A92246"/>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A92246"/>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A92246"/>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A92246"/>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A92246"/>
    <w:pPr>
      <w:keepNext/>
      <w:keepLines/>
      <w:spacing w:before="280" w:line="240" w:lineRule="auto"/>
      <w:ind w:left="1134" w:hanging="1134"/>
      <w:outlineLvl w:val="8"/>
    </w:pPr>
    <w:rPr>
      <w:b/>
      <w:i/>
      <w:kern w:val="28"/>
      <w:sz w:val="28"/>
    </w:rPr>
  </w:style>
  <w:style w:type="paragraph" w:customStyle="1" w:styleId="Actno">
    <w:name w:val="Actno"/>
    <w:basedOn w:val="ShortT"/>
    <w:next w:val="Normal"/>
    <w:qFormat/>
    <w:rsid w:val="00A92246"/>
  </w:style>
  <w:style w:type="paragraph" w:customStyle="1" w:styleId="Blocks">
    <w:name w:val="Blocks"/>
    <w:aliases w:val="bb"/>
    <w:basedOn w:val="OPCParaBase"/>
    <w:qFormat/>
    <w:rsid w:val="00A92246"/>
    <w:pPr>
      <w:spacing w:line="240" w:lineRule="auto"/>
    </w:pPr>
    <w:rPr>
      <w:sz w:val="24"/>
    </w:rPr>
  </w:style>
  <w:style w:type="paragraph" w:customStyle="1" w:styleId="BoxText">
    <w:name w:val="BoxText"/>
    <w:aliases w:val="bt"/>
    <w:basedOn w:val="OPCParaBase"/>
    <w:qFormat/>
    <w:rsid w:val="00A92246"/>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A92246"/>
    <w:rPr>
      <w:b/>
    </w:rPr>
  </w:style>
  <w:style w:type="paragraph" w:customStyle="1" w:styleId="BoxHeadItalic">
    <w:name w:val="BoxHeadItalic"/>
    <w:aliases w:val="bhi"/>
    <w:basedOn w:val="BoxText"/>
    <w:next w:val="BoxStep"/>
    <w:qFormat/>
    <w:rsid w:val="00A92246"/>
    <w:rPr>
      <w:i/>
    </w:rPr>
  </w:style>
  <w:style w:type="paragraph" w:customStyle="1" w:styleId="BoxList">
    <w:name w:val="BoxList"/>
    <w:aliases w:val="bl"/>
    <w:basedOn w:val="BoxText"/>
    <w:qFormat/>
    <w:rsid w:val="00A92246"/>
    <w:pPr>
      <w:ind w:left="1559" w:hanging="425"/>
    </w:pPr>
  </w:style>
  <w:style w:type="paragraph" w:customStyle="1" w:styleId="BoxNote">
    <w:name w:val="BoxNote"/>
    <w:aliases w:val="bn"/>
    <w:basedOn w:val="BoxText"/>
    <w:qFormat/>
    <w:rsid w:val="00A92246"/>
    <w:pPr>
      <w:tabs>
        <w:tab w:val="left" w:pos="1985"/>
      </w:tabs>
      <w:spacing w:before="122" w:line="198" w:lineRule="exact"/>
      <w:ind w:left="2948" w:hanging="1814"/>
    </w:pPr>
    <w:rPr>
      <w:sz w:val="18"/>
    </w:rPr>
  </w:style>
  <w:style w:type="paragraph" w:customStyle="1" w:styleId="BoxPara">
    <w:name w:val="BoxPara"/>
    <w:aliases w:val="bp"/>
    <w:basedOn w:val="BoxText"/>
    <w:qFormat/>
    <w:rsid w:val="00A92246"/>
    <w:pPr>
      <w:tabs>
        <w:tab w:val="right" w:pos="2268"/>
      </w:tabs>
      <w:ind w:left="2552" w:hanging="1418"/>
    </w:pPr>
  </w:style>
  <w:style w:type="paragraph" w:customStyle="1" w:styleId="BoxStep">
    <w:name w:val="BoxStep"/>
    <w:aliases w:val="bs"/>
    <w:basedOn w:val="BoxText"/>
    <w:qFormat/>
    <w:rsid w:val="00A92246"/>
    <w:pPr>
      <w:ind w:left="1985" w:hanging="851"/>
    </w:pPr>
  </w:style>
  <w:style w:type="character" w:customStyle="1" w:styleId="CharAmPartNo">
    <w:name w:val="CharAmPartNo"/>
    <w:basedOn w:val="OPCCharBase"/>
    <w:uiPriority w:val="1"/>
    <w:qFormat/>
    <w:rsid w:val="00A92246"/>
  </w:style>
  <w:style w:type="character" w:customStyle="1" w:styleId="CharAmPartText">
    <w:name w:val="CharAmPartText"/>
    <w:basedOn w:val="OPCCharBase"/>
    <w:uiPriority w:val="1"/>
    <w:qFormat/>
    <w:rsid w:val="00A92246"/>
  </w:style>
  <w:style w:type="character" w:customStyle="1" w:styleId="CharAmSchNo">
    <w:name w:val="CharAmSchNo"/>
    <w:basedOn w:val="OPCCharBase"/>
    <w:uiPriority w:val="1"/>
    <w:qFormat/>
    <w:rsid w:val="00A92246"/>
  </w:style>
  <w:style w:type="character" w:customStyle="1" w:styleId="CharAmSchText">
    <w:name w:val="CharAmSchText"/>
    <w:basedOn w:val="OPCCharBase"/>
    <w:uiPriority w:val="1"/>
    <w:qFormat/>
    <w:rsid w:val="00A92246"/>
  </w:style>
  <w:style w:type="character" w:customStyle="1" w:styleId="CharBoldItalic">
    <w:name w:val="CharBoldItalic"/>
    <w:basedOn w:val="OPCCharBase"/>
    <w:uiPriority w:val="1"/>
    <w:qFormat/>
    <w:rsid w:val="00A92246"/>
    <w:rPr>
      <w:b/>
      <w:i/>
    </w:rPr>
  </w:style>
  <w:style w:type="character" w:customStyle="1" w:styleId="CharChapNo">
    <w:name w:val="CharChapNo"/>
    <w:basedOn w:val="OPCCharBase"/>
    <w:qFormat/>
    <w:rsid w:val="00A92246"/>
  </w:style>
  <w:style w:type="character" w:customStyle="1" w:styleId="CharChapText">
    <w:name w:val="CharChapText"/>
    <w:basedOn w:val="OPCCharBase"/>
    <w:qFormat/>
    <w:rsid w:val="00A92246"/>
  </w:style>
  <w:style w:type="character" w:customStyle="1" w:styleId="CharDivNo">
    <w:name w:val="CharDivNo"/>
    <w:basedOn w:val="OPCCharBase"/>
    <w:qFormat/>
    <w:rsid w:val="00A92246"/>
  </w:style>
  <w:style w:type="character" w:customStyle="1" w:styleId="CharDivText">
    <w:name w:val="CharDivText"/>
    <w:basedOn w:val="OPCCharBase"/>
    <w:qFormat/>
    <w:rsid w:val="00A92246"/>
  </w:style>
  <w:style w:type="character" w:customStyle="1" w:styleId="CharItalic">
    <w:name w:val="CharItalic"/>
    <w:basedOn w:val="OPCCharBase"/>
    <w:uiPriority w:val="1"/>
    <w:qFormat/>
    <w:rsid w:val="00A92246"/>
    <w:rPr>
      <w:i/>
    </w:rPr>
  </w:style>
  <w:style w:type="character" w:customStyle="1" w:styleId="CharPartNo">
    <w:name w:val="CharPartNo"/>
    <w:basedOn w:val="OPCCharBase"/>
    <w:qFormat/>
    <w:rsid w:val="00A92246"/>
  </w:style>
  <w:style w:type="character" w:customStyle="1" w:styleId="CharPartText">
    <w:name w:val="CharPartText"/>
    <w:basedOn w:val="OPCCharBase"/>
    <w:qFormat/>
    <w:rsid w:val="00A92246"/>
  </w:style>
  <w:style w:type="character" w:customStyle="1" w:styleId="CharSectno">
    <w:name w:val="CharSectno"/>
    <w:basedOn w:val="OPCCharBase"/>
    <w:qFormat/>
    <w:rsid w:val="00A92246"/>
  </w:style>
  <w:style w:type="character" w:customStyle="1" w:styleId="CharSubdNo">
    <w:name w:val="CharSubdNo"/>
    <w:basedOn w:val="OPCCharBase"/>
    <w:uiPriority w:val="1"/>
    <w:qFormat/>
    <w:rsid w:val="00A92246"/>
  </w:style>
  <w:style w:type="character" w:customStyle="1" w:styleId="CharSubdText">
    <w:name w:val="CharSubdText"/>
    <w:basedOn w:val="OPCCharBase"/>
    <w:uiPriority w:val="1"/>
    <w:qFormat/>
    <w:rsid w:val="00A92246"/>
  </w:style>
  <w:style w:type="paragraph" w:customStyle="1" w:styleId="CTA--">
    <w:name w:val="CTA --"/>
    <w:basedOn w:val="OPCParaBase"/>
    <w:next w:val="Normal"/>
    <w:rsid w:val="00A92246"/>
    <w:pPr>
      <w:spacing w:before="60" w:line="240" w:lineRule="atLeast"/>
      <w:ind w:left="142" w:hanging="142"/>
    </w:pPr>
    <w:rPr>
      <w:sz w:val="20"/>
    </w:rPr>
  </w:style>
  <w:style w:type="paragraph" w:customStyle="1" w:styleId="CTA-">
    <w:name w:val="CTA -"/>
    <w:basedOn w:val="OPCParaBase"/>
    <w:rsid w:val="00A92246"/>
    <w:pPr>
      <w:spacing w:before="60" w:line="240" w:lineRule="atLeast"/>
      <w:ind w:left="85" w:hanging="85"/>
    </w:pPr>
    <w:rPr>
      <w:sz w:val="20"/>
    </w:rPr>
  </w:style>
  <w:style w:type="paragraph" w:customStyle="1" w:styleId="CTA---">
    <w:name w:val="CTA ---"/>
    <w:basedOn w:val="OPCParaBase"/>
    <w:next w:val="Normal"/>
    <w:rsid w:val="00A92246"/>
    <w:pPr>
      <w:spacing w:before="60" w:line="240" w:lineRule="atLeast"/>
      <w:ind w:left="198" w:hanging="198"/>
    </w:pPr>
    <w:rPr>
      <w:sz w:val="20"/>
    </w:rPr>
  </w:style>
  <w:style w:type="paragraph" w:customStyle="1" w:styleId="CTA----">
    <w:name w:val="CTA ----"/>
    <w:basedOn w:val="OPCParaBase"/>
    <w:next w:val="Normal"/>
    <w:rsid w:val="00A92246"/>
    <w:pPr>
      <w:spacing w:before="60" w:line="240" w:lineRule="atLeast"/>
      <w:ind w:left="255" w:hanging="255"/>
    </w:pPr>
    <w:rPr>
      <w:sz w:val="20"/>
    </w:rPr>
  </w:style>
  <w:style w:type="paragraph" w:customStyle="1" w:styleId="CTA1a">
    <w:name w:val="CTA 1(a)"/>
    <w:basedOn w:val="OPCParaBase"/>
    <w:rsid w:val="00A92246"/>
    <w:pPr>
      <w:tabs>
        <w:tab w:val="right" w:pos="414"/>
      </w:tabs>
      <w:spacing w:before="40" w:line="240" w:lineRule="atLeast"/>
      <w:ind w:left="675" w:hanging="675"/>
    </w:pPr>
    <w:rPr>
      <w:sz w:val="20"/>
    </w:rPr>
  </w:style>
  <w:style w:type="paragraph" w:customStyle="1" w:styleId="CTA1ai">
    <w:name w:val="CTA 1(a)(i)"/>
    <w:basedOn w:val="OPCParaBase"/>
    <w:rsid w:val="00A92246"/>
    <w:pPr>
      <w:tabs>
        <w:tab w:val="right" w:pos="1004"/>
      </w:tabs>
      <w:spacing w:before="40" w:line="240" w:lineRule="atLeast"/>
      <w:ind w:left="1253" w:hanging="1253"/>
    </w:pPr>
    <w:rPr>
      <w:sz w:val="20"/>
    </w:rPr>
  </w:style>
  <w:style w:type="paragraph" w:customStyle="1" w:styleId="CTA2a">
    <w:name w:val="CTA 2(a)"/>
    <w:basedOn w:val="OPCParaBase"/>
    <w:rsid w:val="00A92246"/>
    <w:pPr>
      <w:tabs>
        <w:tab w:val="right" w:pos="482"/>
      </w:tabs>
      <w:spacing w:before="40" w:line="240" w:lineRule="atLeast"/>
      <w:ind w:left="748" w:hanging="748"/>
    </w:pPr>
    <w:rPr>
      <w:sz w:val="20"/>
    </w:rPr>
  </w:style>
  <w:style w:type="paragraph" w:customStyle="1" w:styleId="CTA2ai">
    <w:name w:val="CTA 2(a)(i)"/>
    <w:basedOn w:val="OPCParaBase"/>
    <w:rsid w:val="00A92246"/>
    <w:pPr>
      <w:tabs>
        <w:tab w:val="right" w:pos="1089"/>
      </w:tabs>
      <w:spacing w:before="40" w:line="240" w:lineRule="atLeast"/>
      <w:ind w:left="1327" w:hanging="1327"/>
    </w:pPr>
    <w:rPr>
      <w:sz w:val="20"/>
    </w:rPr>
  </w:style>
  <w:style w:type="paragraph" w:customStyle="1" w:styleId="CTA3a">
    <w:name w:val="CTA 3(a)"/>
    <w:basedOn w:val="OPCParaBase"/>
    <w:rsid w:val="00A92246"/>
    <w:pPr>
      <w:tabs>
        <w:tab w:val="right" w:pos="556"/>
      </w:tabs>
      <w:spacing w:before="40" w:line="240" w:lineRule="atLeast"/>
      <w:ind w:left="805" w:hanging="805"/>
    </w:pPr>
    <w:rPr>
      <w:sz w:val="20"/>
    </w:rPr>
  </w:style>
  <w:style w:type="paragraph" w:customStyle="1" w:styleId="CTA3ai">
    <w:name w:val="CTA 3(a)(i)"/>
    <w:basedOn w:val="OPCParaBase"/>
    <w:rsid w:val="00A92246"/>
    <w:pPr>
      <w:tabs>
        <w:tab w:val="right" w:pos="1140"/>
      </w:tabs>
      <w:spacing w:before="40" w:line="240" w:lineRule="atLeast"/>
      <w:ind w:left="1361" w:hanging="1361"/>
    </w:pPr>
    <w:rPr>
      <w:sz w:val="20"/>
    </w:rPr>
  </w:style>
  <w:style w:type="paragraph" w:customStyle="1" w:styleId="CTA4a">
    <w:name w:val="CTA 4(a)"/>
    <w:basedOn w:val="OPCParaBase"/>
    <w:rsid w:val="00A92246"/>
    <w:pPr>
      <w:tabs>
        <w:tab w:val="right" w:pos="624"/>
      </w:tabs>
      <w:spacing w:before="40" w:line="240" w:lineRule="atLeast"/>
      <w:ind w:left="873" w:hanging="873"/>
    </w:pPr>
    <w:rPr>
      <w:sz w:val="20"/>
    </w:rPr>
  </w:style>
  <w:style w:type="paragraph" w:customStyle="1" w:styleId="CTA4ai">
    <w:name w:val="CTA 4(a)(i)"/>
    <w:basedOn w:val="OPCParaBase"/>
    <w:rsid w:val="00A92246"/>
    <w:pPr>
      <w:tabs>
        <w:tab w:val="right" w:pos="1213"/>
      </w:tabs>
      <w:spacing w:before="40" w:line="240" w:lineRule="atLeast"/>
      <w:ind w:left="1452" w:hanging="1452"/>
    </w:pPr>
    <w:rPr>
      <w:sz w:val="20"/>
    </w:rPr>
  </w:style>
  <w:style w:type="paragraph" w:customStyle="1" w:styleId="CTACAPS">
    <w:name w:val="CTA CAPS"/>
    <w:basedOn w:val="OPCParaBase"/>
    <w:rsid w:val="00A92246"/>
    <w:pPr>
      <w:spacing w:before="60" w:line="240" w:lineRule="atLeast"/>
    </w:pPr>
    <w:rPr>
      <w:sz w:val="20"/>
    </w:rPr>
  </w:style>
  <w:style w:type="paragraph" w:customStyle="1" w:styleId="CTAright">
    <w:name w:val="CTA right"/>
    <w:basedOn w:val="OPCParaBase"/>
    <w:rsid w:val="00A92246"/>
    <w:pPr>
      <w:spacing w:before="60" w:line="240" w:lineRule="auto"/>
      <w:jc w:val="right"/>
    </w:pPr>
    <w:rPr>
      <w:sz w:val="20"/>
    </w:rPr>
  </w:style>
  <w:style w:type="paragraph" w:customStyle="1" w:styleId="subsection">
    <w:name w:val="subsection"/>
    <w:aliases w:val="ss"/>
    <w:basedOn w:val="OPCParaBase"/>
    <w:link w:val="subsectionChar"/>
    <w:rsid w:val="00A92246"/>
    <w:pPr>
      <w:tabs>
        <w:tab w:val="right" w:pos="1021"/>
      </w:tabs>
      <w:spacing w:before="180" w:line="240" w:lineRule="auto"/>
      <w:ind w:left="1134" w:hanging="1134"/>
    </w:pPr>
  </w:style>
  <w:style w:type="paragraph" w:customStyle="1" w:styleId="Definition">
    <w:name w:val="Definition"/>
    <w:aliases w:val="dd"/>
    <w:basedOn w:val="OPCParaBase"/>
    <w:rsid w:val="00A92246"/>
    <w:pPr>
      <w:spacing w:before="180" w:line="240" w:lineRule="auto"/>
      <w:ind w:left="1134"/>
    </w:pPr>
  </w:style>
  <w:style w:type="paragraph" w:customStyle="1" w:styleId="Formula">
    <w:name w:val="Formula"/>
    <w:basedOn w:val="OPCParaBase"/>
    <w:rsid w:val="00A92246"/>
    <w:pPr>
      <w:spacing w:line="240" w:lineRule="auto"/>
      <w:ind w:left="1134"/>
    </w:pPr>
    <w:rPr>
      <w:sz w:val="20"/>
    </w:rPr>
  </w:style>
  <w:style w:type="paragraph" w:styleId="Header">
    <w:name w:val="header"/>
    <w:basedOn w:val="OPCParaBase"/>
    <w:link w:val="HeaderChar"/>
    <w:unhideWhenUsed/>
    <w:rsid w:val="00A92246"/>
    <w:pPr>
      <w:keepNext/>
      <w:keepLines/>
      <w:tabs>
        <w:tab w:val="center" w:pos="4150"/>
        <w:tab w:val="right" w:pos="8307"/>
      </w:tabs>
      <w:spacing w:line="160" w:lineRule="exact"/>
    </w:pPr>
    <w:rPr>
      <w:sz w:val="16"/>
    </w:rPr>
  </w:style>
  <w:style w:type="character" w:customStyle="1" w:styleId="HeaderChar">
    <w:name w:val="Header Char"/>
    <w:basedOn w:val="DefaultParagraphFont"/>
    <w:link w:val="Header"/>
    <w:rsid w:val="00A92246"/>
    <w:rPr>
      <w:rFonts w:eastAsia="Times New Roman" w:cs="Times New Roman"/>
      <w:sz w:val="16"/>
      <w:lang w:eastAsia="en-AU"/>
    </w:rPr>
  </w:style>
  <w:style w:type="paragraph" w:customStyle="1" w:styleId="House">
    <w:name w:val="House"/>
    <w:basedOn w:val="OPCParaBase"/>
    <w:rsid w:val="00A92246"/>
    <w:pPr>
      <w:spacing w:line="240" w:lineRule="auto"/>
    </w:pPr>
    <w:rPr>
      <w:sz w:val="28"/>
    </w:rPr>
  </w:style>
  <w:style w:type="paragraph" w:customStyle="1" w:styleId="Item">
    <w:name w:val="Item"/>
    <w:aliases w:val="i"/>
    <w:basedOn w:val="OPCParaBase"/>
    <w:next w:val="ItemHead"/>
    <w:rsid w:val="00A92246"/>
    <w:pPr>
      <w:keepLines/>
      <w:spacing w:before="80" w:line="240" w:lineRule="auto"/>
      <w:ind w:left="709"/>
    </w:pPr>
  </w:style>
  <w:style w:type="paragraph" w:customStyle="1" w:styleId="ItemHead">
    <w:name w:val="ItemHead"/>
    <w:aliases w:val="ih"/>
    <w:basedOn w:val="OPCParaBase"/>
    <w:next w:val="Item"/>
    <w:rsid w:val="00A92246"/>
    <w:pPr>
      <w:keepNext/>
      <w:keepLines/>
      <w:spacing w:before="220" w:line="240" w:lineRule="auto"/>
      <w:ind w:left="709" w:hanging="709"/>
    </w:pPr>
    <w:rPr>
      <w:rFonts w:ascii="Arial" w:hAnsi="Arial"/>
      <w:b/>
      <w:kern w:val="28"/>
      <w:sz w:val="24"/>
    </w:rPr>
  </w:style>
  <w:style w:type="paragraph" w:customStyle="1" w:styleId="LongT">
    <w:name w:val="LongT"/>
    <w:basedOn w:val="OPCParaBase"/>
    <w:rsid w:val="00A92246"/>
    <w:pPr>
      <w:spacing w:line="240" w:lineRule="auto"/>
    </w:pPr>
    <w:rPr>
      <w:b/>
      <w:sz w:val="32"/>
    </w:rPr>
  </w:style>
  <w:style w:type="paragraph" w:customStyle="1" w:styleId="notedraft">
    <w:name w:val="note(draft)"/>
    <w:aliases w:val="nd"/>
    <w:basedOn w:val="OPCParaBase"/>
    <w:rsid w:val="00A92246"/>
    <w:pPr>
      <w:spacing w:before="240" w:line="240" w:lineRule="auto"/>
      <w:ind w:left="284" w:hanging="284"/>
    </w:pPr>
    <w:rPr>
      <w:i/>
      <w:sz w:val="24"/>
    </w:rPr>
  </w:style>
  <w:style w:type="paragraph" w:customStyle="1" w:styleId="notemargin">
    <w:name w:val="note(margin)"/>
    <w:aliases w:val="nm"/>
    <w:basedOn w:val="OPCParaBase"/>
    <w:rsid w:val="00A92246"/>
    <w:pPr>
      <w:tabs>
        <w:tab w:val="left" w:pos="709"/>
      </w:tabs>
      <w:spacing w:before="122" w:line="198" w:lineRule="exact"/>
      <w:ind w:left="709" w:hanging="709"/>
    </w:pPr>
    <w:rPr>
      <w:sz w:val="18"/>
    </w:rPr>
  </w:style>
  <w:style w:type="paragraph" w:customStyle="1" w:styleId="noteToPara">
    <w:name w:val="noteToPara"/>
    <w:aliases w:val="ntp"/>
    <w:basedOn w:val="OPCParaBase"/>
    <w:rsid w:val="00A92246"/>
    <w:pPr>
      <w:spacing w:before="122" w:line="198" w:lineRule="exact"/>
      <w:ind w:left="2353" w:hanging="709"/>
    </w:pPr>
    <w:rPr>
      <w:sz w:val="18"/>
    </w:rPr>
  </w:style>
  <w:style w:type="paragraph" w:customStyle="1" w:styleId="noteParlAmend">
    <w:name w:val="note(ParlAmend)"/>
    <w:aliases w:val="npp"/>
    <w:basedOn w:val="OPCParaBase"/>
    <w:next w:val="ParlAmend"/>
    <w:rsid w:val="00A92246"/>
    <w:pPr>
      <w:spacing w:line="240" w:lineRule="auto"/>
      <w:jc w:val="right"/>
    </w:pPr>
    <w:rPr>
      <w:rFonts w:ascii="Arial" w:hAnsi="Arial"/>
      <w:b/>
      <w:i/>
    </w:rPr>
  </w:style>
  <w:style w:type="paragraph" w:customStyle="1" w:styleId="Page1">
    <w:name w:val="Page1"/>
    <w:basedOn w:val="OPCParaBase"/>
    <w:rsid w:val="00A92246"/>
    <w:pPr>
      <w:spacing w:before="5600" w:line="240" w:lineRule="auto"/>
    </w:pPr>
    <w:rPr>
      <w:b/>
      <w:sz w:val="32"/>
    </w:rPr>
  </w:style>
  <w:style w:type="paragraph" w:customStyle="1" w:styleId="PageBreak">
    <w:name w:val="PageBreak"/>
    <w:aliases w:val="pb"/>
    <w:basedOn w:val="OPCParaBase"/>
    <w:rsid w:val="00A92246"/>
    <w:pPr>
      <w:spacing w:line="240" w:lineRule="auto"/>
    </w:pPr>
    <w:rPr>
      <w:sz w:val="20"/>
    </w:rPr>
  </w:style>
  <w:style w:type="paragraph" w:customStyle="1" w:styleId="paragraphsub">
    <w:name w:val="paragraph(sub)"/>
    <w:aliases w:val="aa"/>
    <w:basedOn w:val="OPCParaBase"/>
    <w:rsid w:val="00A92246"/>
    <w:pPr>
      <w:tabs>
        <w:tab w:val="right" w:pos="1985"/>
      </w:tabs>
      <w:spacing w:before="40" w:line="240" w:lineRule="auto"/>
      <w:ind w:left="2098" w:hanging="2098"/>
    </w:pPr>
  </w:style>
  <w:style w:type="paragraph" w:customStyle="1" w:styleId="paragraphsub-sub">
    <w:name w:val="paragraph(sub-sub)"/>
    <w:aliases w:val="aaa"/>
    <w:basedOn w:val="OPCParaBase"/>
    <w:rsid w:val="00A92246"/>
    <w:pPr>
      <w:tabs>
        <w:tab w:val="right" w:pos="2722"/>
      </w:tabs>
      <w:spacing w:before="40" w:line="240" w:lineRule="auto"/>
      <w:ind w:left="2835" w:hanging="2835"/>
    </w:pPr>
  </w:style>
  <w:style w:type="paragraph" w:customStyle="1" w:styleId="paragraph">
    <w:name w:val="paragraph"/>
    <w:aliases w:val="a"/>
    <w:basedOn w:val="OPCParaBase"/>
    <w:rsid w:val="00A92246"/>
    <w:pPr>
      <w:tabs>
        <w:tab w:val="right" w:pos="1531"/>
      </w:tabs>
      <w:spacing w:before="40" w:line="240" w:lineRule="auto"/>
      <w:ind w:left="1644" w:hanging="1644"/>
    </w:pPr>
  </w:style>
  <w:style w:type="paragraph" w:customStyle="1" w:styleId="ParlAmend">
    <w:name w:val="ParlAmend"/>
    <w:aliases w:val="pp"/>
    <w:basedOn w:val="OPCParaBase"/>
    <w:rsid w:val="00A92246"/>
    <w:pPr>
      <w:spacing w:before="240" w:line="240" w:lineRule="atLeast"/>
      <w:ind w:hanging="567"/>
    </w:pPr>
    <w:rPr>
      <w:sz w:val="24"/>
    </w:rPr>
  </w:style>
  <w:style w:type="paragraph" w:customStyle="1" w:styleId="Penalty">
    <w:name w:val="Penalty"/>
    <w:basedOn w:val="OPCParaBase"/>
    <w:rsid w:val="00A92246"/>
    <w:pPr>
      <w:tabs>
        <w:tab w:val="left" w:pos="2977"/>
      </w:tabs>
      <w:spacing w:before="180" w:line="240" w:lineRule="auto"/>
      <w:ind w:left="1985" w:hanging="851"/>
    </w:pPr>
  </w:style>
  <w:style w:type="paragraph" w:customStyle="1" w:styleId="Portfolio">
    <w:name w:val="Portfolio"/>
    <w:basedOn w:val="OPCParaBase"/>
    <w:rsid w:val="00A92246"/>
    <w:pPr>
      <w:spacing w:line="240" w:lineRule="auto"/>
    </w:pPr>
    <w:rPr>
      <w:i/>
      <w:sz w:val="20"/>
    </w:rPr>
  </w:style>
  <w:style w:type="paragraph" w:customStyle="1" w:styleId="Preamble">
    <w:name w:val="Preamble"/>
    <w:basedOn w:val="OPCParaBase"/>
    <w:next w:val="Normal"/>
    <w:rsid w:val="00A92246"/>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A92246"/>
    <w:pPr>
      <w:spacing w:line="240" w:lineRule="auto"/>
    </w:pPr>
    <w:rPr>
      <w:i/>
      <w:sz w:val="20"/>
    </w:rPr>
  </w:style>
  <w:style w:type="paragraph" w:customStyle="1" w:styleId="Session">
    <w:name w:val="Session"/>
    <w:basedOn w:val="OPCParaBase"/>
    <w:rsid w:val="00A92246"/>
    <w:pPr>
      <w:spacing w:line="240" w:lineRule="auto"/>
    </w:pPr>
    <w:rPr>
      <w:sz w:val="28"/>
    </w:rPr>
  </w:style>
  <w:style w:type="paragraph" w:customStyle="1" w:styleId="Sponsor">
    <w:name w:val="Sponsor"/>
    <w:basedOn w:val="OPCParaBase"/>
    <w:rsid w:val="00A92246"/>
    <w:pPr>
      <w:spacing w:line="240" w:lineRule="auto"/>
    </w:pPr>
    <w:rPr>
      <w:i/>
    </w:rPr>
  </w:style>
  <w:style w:type="paragraph" w:customStyle="1" w:styleId="Subitem">
    <w:name w:val="Subitem"/>
    <w:aliases w:val="iss"/>
    <w:basedOn w:val="OPCParaBase"/>
    <w:rsid w:val="00A92246"/>
    <w:pPr>
      <w:spacing w:before="180" w:line="240" w:lineRule="auto"/>
      <w:ind w:left="709" w:hanging="709"/>
    </w:pPr>
  </w:style>
  <w:style w:type="paragraph" w:customStyle="1" w:styleId="SubitemHead">
    <w:name w:val="SubitemHead"/>
    <w:aliases w:val="issh"/>
    <w:basedOn w:val="OPCParaBase"/>
    <w:rsid w:val="00A92246"/>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A92246"/>
    <w:pPr>
      <w:spacing w:before="40" w:line="240" w:lineRule="auto"/>
      <w:ind w:left="1134"/>
    </w:pPr>
  </w:style>
  <w:style w:type="paragraph" w:customStyle="1" w:styleId="SubsectionHead">
    <w:name w:val="SubsectionHead"/>
    <w:aliases w:val="ssh"/>
    <w:basedOn w:val="OPCParaBase"/>
    <w:next w:val="subsection"/>
    <w:rsid w:val="00A92246"/>
    <w:pPr>
      <w:keepNext/>
      <w:keepLines/>
      <w:spacing w:before="240" w:line="240" w:lineRule="auto"/>
      <w:ind w:left="1134"/>
    </w:pPr>
    <w:rPr>
      <w:i/>
    </w:rPr>
  </w:style>
  <w:style w:type="paragraph" w:customStyle="1" w:styleId="Tablea">
    <w:name w:val="Table(a)"/>
    <w:aliases w:val="ta"/>
    <w:basedOn w:val="OPCParaBase"/>
    <w:rsid w:val="00A92246"/>
    <w:pPr>
      <w:spacing w:before="60" w:line="240" w:lineRule="auto"/>
      <w:ind w:left="284" w:hanging="284"/>
    </w:pPr>
    <w:rPr>
      <w:sz w:val="20"/>
    </w:rPr>
  </w:style>
  <w:style w:type="paragraph" w:customStyle="1" w:styleId="TableAA">
    <w:name w:val="Table(AA)"/>
    <w:aliases w:val="taaa"/>
    <w:basedOn w:val="OPCParaBase"/>
    <w:rsid w:val="00A92246"/>
    <w:pPr>
      <w:tabs>
        <w:tab w:val="left" w:pos="-6543"/>
        <w:tab w:val="left" w:pos="-6260"/>
      </w:tabs>
      <w:spacing w:line="240" w:lineRule="exact"/>
      <w:ind w:left="1055" w:hanging="284"/>
    </w:pPr>
    <w:rPr>
      <w:sz w:val="20"/>
    </w:rPr>
  </w:style>
  <w:style w:type="paragraph" w:customStyle="1" w:styleId="Tablei">
    <w:name w:val="Table(i)"/>
    <w:aliases w:val="taa"/>
    <w:basedOn w:val="OPCParaBase"/>
    <w:rsid w:val="00A92246"/>
    <w:pPr>
      <w:tabs>
        <w:tab w:val="left" w:pos="-6543"/>
        <w:tab w:val="left" w:pos="-6260"/>
        <w:tab w:val="right" w:pos="970"/>
      </w:tabs>
      <w:spacing w:line="240" w:lineRule="exact"/>
      <w:ind w:left="828" w:hanging="284"/>
    </w:pPr>
    <w:rPr>
      <w:sz w:val="20"/>
    </w:rPr>
  </w:style>
  <w:style w:type="paragraph" w:customStyle="1" w:styleId="Tabletext">
    <w:name w:val="Tabletext"/>
    <w:aliases w:val="tt"/>
    <w:basedOn w:val="OPCParaBase"/>
    <w:rsid w:val="00A92246"/>
    <w:pPr>
      <w:spacing w:before="60" w:line="240" w:lineRule="atLeast"/>
    </w:pPr>
    <w:rPr>
      <w:sz w:val="20"/>
    </w:rPr>
  </w:style>
  <w:style w:type="paragraph" w:customStyle="1" w:styleId="TLPBoxTextnote">
    <w:name w:val="TLPBoxText(note"/>
    <w:aliases w:val="right)"/>
    <w:basedOn w:val="OPCParaBase"/>
    <w:rsid w:val="00A92246"/>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A92246"/>
    <w:pPr>
      <w:numPr>
        <w:numId w:val="11"/>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A92246"/>
    <w:pPr>
      <w:spacing w:before="122" w:line="198" w:lineRule="exact"/>
      <w:ind w:left="1985" w:hanging="851"/>
      <w:jc w:val="right"/>
    </w:pPr>
    <w:rPr>
      <w:sz w:val="18"/>
    </w:rPr>
  </w:style>
  <w:style w:type="paragraph" w:customStyle="1" w:styleId="TLPTableBullet">
    <w:name w:val="TLPTableBullet"/>
    <w:aliases w:val="ttb"/>
    <w:basedOn w:val="OPCParaBase"/>
    <w:rsid w:val="00A92246"/>
    <w:pPr>
      <w:spacing w:line="240" w:lineRule="exact"/>
      <w:ind w:left="284" w:hanging="284"/>
    </w:pPr>
    <w:rPr>
      <w:sz w:val="20"/>
    </w:rPr>
  </w:style>
  <w:style w:type="paragraph" w:styleId="TOC1">
    <w:name w:val="toc 1"/>
    <w:basedOn w:val="OPCParaBase"/>
    <w:next w:val="Normal"/>
    <w:uiPriority w:val="39"/>
    <w:unhideWhenUsed/>
    <w:rsid w:val="00A92246"/>
    <w:pPr>
      <w:keepNext/>
      <w:keepLines/>
      <w:tabs>
        <w:tab w:val="right" w:pos="8278"/>
      </w:tabs>
      <w:spacing w:before="120" w:line="240" w:lineRule="auto"/>
      <w:ind w:left="1474" w:right="567" w:hanging="1474"/>
    </w:pPr>
    <w:rPr>
      <w:b/>
      <w:kern w:val="28"/>
      <w:sz w:val="28"/>
    </w:rPr>
  </w:style>
  <w:style w:type="paragraph" w:styleId="TOC2">
    <w:name w:val="toc 2"/>
    <w:basedOn w:val="OPCParaBase"/>
    <w:next w:val="Normal"/>
    <w:uiPriority w:val="39"/>
    <w:unhideWhenUsed/>
    <w:rsid w:val="00A92246"/>
    <w:pPr>
      <w:keepNext/>
      <w:keepLines/>
      <w:tabs>
        <w:tab w:val="right" w:pos="8278"/>
      </w:tabs>
      <w:spacing w:before="120" w:line="240" w:lineRule="auto"/>
      <w:ind w:left="879" w:right="567" w:hanging="879"/>
    </w:pPr>
    <w:rPr>
      <w:b/>
      <w:kern w:val="28"/>
      <w:sz w:val="24"/>
    </w:rPr>
  </w:style>
  <w:style w:type="paragraph" w:styleId="TOC3">
    <w:name w:val="toc 3"/>
    <w:basedOn w:val="OPCParaBase"/>
    <w:next w:val="Normal"/>
    <w:uiPriority w:val="39"/>
    <w:semiHidden/>
    <w:unhideWhenUsed/>
    <w:rsid w:val="00A92246"/>
    <w:pPr>
      <w:keepNext/>
      <w:keepLines/>
      <w:tabs>
        <w:tab w:val="right" w:pos="8278"/>
      </w:tabs>
      <w:spacing w:before="80" w:line="240" w:lineRule="auto"/>
      <w:ind w:left="1604" w:right="567" w:hanging="1179"/>
    </w:pPr>
    <w:rPr>
      <w:b/>
      <w:kern w:val="28"/>
    </w:rPr>
  </w:style>
  <w:style w:type="paragraph" w:styleId="TOC4">
    <w:name w:val="toc 4"/>
    <w:basedOn w:val="OPCParaBase"/>
    <w:next w:val="Normal"/>
    <w:uiPriority w:val="39"/>
    <w:semiHidden/>
    <w:unhideWhenUsed/>
    <w:rsid w:val="00A92246"/>
    <w:pPr>
      <w:keepLines/>
      <w:tabs>
        <w:tab w:val="right" w:pos="8278"/>
      </w:tabs>
      <w:spacing w:before="80" w:line="240" w:lineRule="auto"/>
      <w:ind w:left="2183" w:right="567" w:hanging="1332"/>
    </w:pPr>
    <w:rPr>
      <w:b/>
      <w:kern w:val="28"/>
      <w:sz w:val="20"/>
    </w:rPr>
  </w:style>
  <w:style w:type="paragraph" w:styleId="TOC5">
    <w:name w:val="toc 5"/>
    <w:basedOn w:val="OPCParaBase"/>
    <w:next w:val="Normal"/>
    <w:uiPriority w:val="39"/>
    <w:unhideWhenUsed/>
    <w:rsid w:val="00A92246"/>
    <w:pPr>
      <w:keepLines/>
      <w:tabs>
        <w:tab w:val="right" w:leader="dot" w:pos="8278"/>
      </w:tabs>
      <w:spacing w:before="40" w:line="240" w:lineRule="auto"/>
      <w:ind w:left="2098" w:right="567" w:hanging="680"/>
    </w:pPr>
    <w:rPr>
      <w:kern w:val="28"/>
      <w:sz w:val="18"/>
    </w:rPr>
  </w:style>
  <w:style w:type="paragraph" w:styleId="TOC6">
    <w:name w:val="toc 6"/>
    <w:basedOn w:val="OPCParaBase"/>
    <w:next w:val="Normal"/>
    <w:uiPriority w:val="39"/>
    <w:unhideWhenUsed/>
    <w:rsid w:val="00A92246"/>
    <w:pPr>
      <w:keepLines/>
      <w:tabs>
        <w:tab w:val="right" w:pos="8278"/>
      </w:tabs>
      <w:spacing w:before="120" w:line="240" w:lineRule="auto"/>
      <w:ind w:left="1344" w:right="567" w:hanging="1344"/>
    </w:pPr>
    <w:rPr>
      <w:b/>
      <w:kern w:val="28"/>
      <w:sz w:val="24"/>
    </w:rPr>
  </w:style>
  <w:style w:type="paragraph" w:styleId="TOC7">
    <w:name w:val="toc 7"/>
    <w:basedOn w:val="OPCParaBase"/>
    <w:next w:val="Normal"/>
    <w:uiPriority w:val="39"/>
    <w:semiHidden/>
    <w:unhideWhenUsed/>
    <w:rsid w:val="00A92246"/>
    <w:pPr>
      <w:keepLines/>
      <w:tabs>
        <w:tab w:val="right" w:pos="8278"/>
      </w:tabs>
      <w:spacing w:before="120" w:line="240" w:lineRule="auto"/>
      <w:ind w:left="1253" w:right="567" w:hanging="828"/>
    </w:pPr>
    <w:rPr>
      <w:kern w:val="28"/>
      <w:sz w:val="24"/>
    </w:rPr>
  </w:style>
  <w:style w:type="paragraph" w:styleId="TOC8">
    <w:name w:val="toc 8"/>
    <w:basedOn w:val="OPCParaBase"/>
    <w:next w:val="Normal"/>
    <w:uiPriority w:val="39"/>
    <w:semiHidden/>
    <w:unhideWhenUsed/>
    <w:rsid w:val="00A92246"/>
    <w:pPr>
      <w:keepLines/>
      <w:tabs>
        <w:tab w:val="right" w:pos="8278"/>
      </w:tabs>
      <w:spacing w:before="80" w:line="240" w:lineRule="auto"/>
      <w:ind w:left="1900" w:right="567" w:hanging="1049"/>
    </w:pPr>
    <w:rPr>
      <w:kern w:val="28"/>
      <w:sz w:val="20"/>
    </w:rPr>
  </w:style>
  <w:style w:type="paragraph" w:styleId="TOC9">
    <w:name w:val="toc 9"/>
    <w:basedOn w:val="OPCParaBase"/>
    <w:next w:val="Normal"/>
    <w:uiPriority w:val="39"/>
    <w:unhideWhenUsed/>
    <w:rsid w:val="00A92246"/>
    <w:pPr>
      <w:keepLines/>
      <w:tabs>
        <w:tab w:val="right" w:pos="8278"/>
      </w:tabs>
      <w:spacing w:before="80" w:line="240" w:lineRule="auto"/>
      <w:ind w:left="851" w:right="567"/>
    </w:pPr>
    <w:rPr>
      <w:i/>
      <w:kern w:val="28"/>
      <w:sz w:val="20"/>
    </w:rPr>
  </w:style>
  <w:style w:type="paragraph" w:customStyle="1" w:styleId="TofSectsGroupHeading">
    <w:name w:val="TofSects(GroupHeading)"/>
    <w:basedOn w:val="OPCParaBase"/>
    <w:next w:val="TofSectsSection"/>
    <w:rsid w:val="00A92246"/>
    <w:pPr>
      <w:keepLines/>
      <w:spacing w:before="240" w:after="120" w:line="240" w:lineRule="auto"/>
      <w:ind w:left="794"/>
    </w:pPr>
    <w:rPr>
      <w:b/>
      <w:kern w:val="28"/>
      <w:sz w:val="20"/>
    </w:rPr>
  </w:style>
  <w:style w:type="paragraph" w:customStyle="1" w:styleId="TofSectsHeading">
    <w:name w:val="TofSects(Heading)"/>
    <w:basedOn w:val="OPCParaBase"/>
    <w:rsid w:val="00A92246"/>
    <w:pPr>
      <w:spacing w:before="240" w:after="120" w:line="240" w:lineRule="auto"/>
    </w:pPr>
    <w:rPr>
      <w:b/>
      <w:sz w:val="24"/>
    </w:rPr>
  </w:style>
  <w:style w:type="paragraph" w:customStyle="1" w:styleId="TofSectsSection">
    <w:name w:val="TofSects(Section)"/>
    <w:basedOn w:val="OPCParaBase"/>
    <w:rsid w:val="00A92246"/>
    <w:pPr>
      <w:keepLines/>
      <w:spacing w:before="40" w:line="240" w:lineRule="auto"/>
      <w:ind w:left="1588" w:hanging="794"/>
    </w:pPr>
    <w:rPr>
      <w:kern w:val="28"/>
      <w:sz w:val="18"/>
    </w:rPr>
  </w:style>
  <w:style w:type="paragraph" w:customStyle="1" w:styleId="TofSectsSubdiv">
    <w:name w:val="TofSects(Subdiv)"/>
    <w:basedOn w:val="OPCParaBase"/>
    <w:rsid w:val="00A92246"/>
    <w:pPr>
      <w:keepLines/>
      <w:spacing w:before="80" w:line="240" w:lineRule="auto"/>
      <w:ind w:left="1588" w:hanging="794"/>
    </w:pPr>
    <w:rPr>
      <w:kern w:val="28"/>
    </w:rPr>
  </w:style>
  <w:style w:type="paragraph" w:customStyle="1" w:styleId="WRStyle">
    <w:name w:val="WR Style"/>
    <w:aliases w:val="WR"/>
    <w:basedOn w:val="OPCParaBase"/>
    <w:rsid w:val="00A92246"/>
    <w:pPr>
      <w:spacing w:before="240" w:line="240" w:lineRule="auto"/>
      <w:ind w:left="284" w:hanging="284"/>
    </w:pPr>
    <w:rPr>
      <w:b/>
      <w:i/>
      <w:kern w:val="28"/>
      <w:sz w:val="24"/>
    </w:rPr>
  </w:style>
  <w:style w:type="paragraph" w:customStyle="1" w:styleId="notepara">
    <w:name w:val="note(para)"/>
    <w:aliases w:val="na"/>
    <w:basedOn w:val="OPCParaBase"/>
    <w:rsid w:val="00A92246"/>
    <w:pPr>
      <w:spacing w:before="40" w:line="198" w:lineRule="exact"/>
      <w:ind w:left="2354" w:hanging="369"/>
    </w:pPr>
    <w:rPr>
      <w:sz w:val="18"/>
    </w:rPr>
  </w:style>
  <w:style w:type="paragraph" w:styleId="Footer">
    <w:name w:val="footer"/>
    <w:link w:val="FooterChar"/>
    <w:rsid w:val="00A92246"/>
    <w:pPr>
      <w:tabs>
        <w:tab w:val="center" w:pos="4153"/>
        <w:tab w:val="right" w:pos="8306"/>
      </w:tabs>
    </w:pPr>
    <w:rPr>
      <w:rFonts w:eastAsia="Times New Roman" w:cs="Times New Roman"/>
      <w:sz w:val="22"/>
      <w:szCs w:val="24"/>
      <w:lang w:eastAsia="en-AU"/>
    </w:rPr>
  </w:style>
  <w:style w:type="character" w:customStyle="1" w:styleId="FooterChar">
    <w:name w:val="Footer Char"/>
    <w:basedOn w:val="DefaultParagraphFont"/>
    <w:link w:val="Footer"/>
    <w:rsid w:val="00A92246"/>
    <w:rPr>
      <w:rFonts w:eastAsia="Times New Roman" w:cs="Times New Roman"/>
      <w:sz w:val="22"/>
      <w:szCs w:val="24"/>
      <w:lang w:eastAsia="en-AU"/>
    </w:rPr>
  </w:style>
  <w:style w:type="character" w:styleId="LineNumber">
    <w:name w:val="line number"/>
    <w:basedOn w:val="OPCCharBase"/>
    <w:uiPriority w:val="99"/>
    <w:semiHidden/>
    <w:unhideWhenUsed/>
    <w:rsid w:val="00A92246"/>
    <w:rPr>
      <w:sz w:val="16"/>
    </w:rPr>
  </w:style>
  <w:style w:type="table" w:customStyle="1" w:styleId="CFlag">
    <w:name w:val="CFlag"/>
    <w:basedOn w:val="TableNormal"/>
    <w:uiPriority w:val="99"/>
    <w:rsid w:val="00A92246"/>
    <w:rPr>
      <w:rFonts w:eastAsia="Times New Roman" w:cs="Times New Roman"/>
      <w:lang w:eastAsia="en-AU"/>
    </w:rPr>
    <w:tblPr/>
  </w:style>
  <w:style w:type="paragraph" w:styleId="BalloonText">
    <w:name w:val="Balloon Text"/>
    <w:basedOn w:val="Normal"/>
    <w:link w:val="BalloonTextChar"/>
    <w:uiPriority w:val="99"/>
    <w:semiHidden/>
    <w:unhideWhenUsed/>
    <w:rsid w:val="00A9224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246"/>
    <w:rPr>
      <w:rFonts w:ascii="Tahoma" w:hAnsi="Tahoma" w:cs="Tahoma"/>
      <w:sz w:val="16"/>
      <w:szCs w:val="16"/>
    </w:rPr>
  </w:style>
  <w:style w:type="table" w:styleId="TableGrid">
    <w:name w:val="Table Grid"/>
    <w:basedOn w:val="TableNormal"/>
    <w:uiPriority w:val="59"/>
    <w:rsid w:val="00A92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No">
    <w:name w:val="InstNo"/>
    <w:basedOn w:val="OPCParaBase"/>
    <w:next w:val="Normal"/>
    <w:rsid w:val="00A92246"/>
    <w:rPr>
      <w:b/>
      <w:sz w:val="28"/>
      <w:szCs w:val="32"/>
    </w:rPr>
  </w:style>
  <w:style w:type="paragraph" w:customStyle="1" w:styleId="LegislationMadeUnder">
    <w:name w:val="LegislationMadeUnder"/>
    <w:basedOn w:val="OPCParaBase"/>
    <w:next w:val="Normal"/>
    <w:rsid w:val="00A92246"/>
    <w:rPr>
      <w:i/>
      <w:sz w:val="32"/>
      <w:szCs w:val="32"/>
    </w:rPr>
  </w:style>
  <w:style w:type="paragraph" w:customStyle="1" w:styleId="SignCoverPageEnd">
    <w:name w:val="SignCoverPageEnd"/>
    <w:basedOn w:val="OPCParaBase"/>
    <w:next w:val="Normal"/>
    <w:rsid w:val="00A92246"/>
    <w:pPr>
      <w:keepNext/>
      <w:pBdr>
        <w:bottom w:val="single" w:sz="4" w:space="12" w:color="auto"/>
      </w:pBdr>
      <w:tabs>
        <w:tab w:val="left" w:pos="3402"/>
      </w:tabs>
      <w:spacing w:line="300" w:lineRule="atLeast"/>
      <w:ind w:right="397"/>
    </w:pPr>
  </w:style>
  <w:style w:type="paragraph" w:customStyle="1" w:styleId="SignCoverPageStart">
    <w:name w:val="SignCoverPageStart"/>
    <w:basedOn w:val="OPCParaBase"/>
    <w:next w:val="Normal"/>
    <w:rsid w:val="00A92246"/>
    <w:pPr>
      <w:pBdr>
        <w:top w:val="single" w:sz="4" w:space="1" w:color="auto"/>
      </w:pBdr>
      <w:spacing w:before="360"/>
      <w:ind w:right="397"/>
      <w:jc w:val="both"/>
    </w:pPr>
  </w:style>
  <w:style w:type="paragraph" w:customStyle="1" w:styleId="NotesHeading1">
    <w:name w:val="NotesHeading 1"/>
    <w:basedOn w:val="OPCParaBase"/>
    <w:next w:val="Normal"/>
    <w:rsid w:val="00A92246"/>
    <w:pPr>
      <w:outlineLvl w:val="0"/>
    </w:pPr>
    <w:rPr>
      <w:b/>
      <w:sz w:val="28"/>
      <w:szCs w:val="28"/>
    </w:rPr>
  </w:style>
  <w:style w:type="paragraph" w:customStyle="1" w:styleId="NotesHeading2">
    <w:name w:val="NotesHeading 2"/>
    <w:basedOn w:val="OPCParaBase"/>
    <w:next w:val="Normal"/>
    <w:rsid w:val="00A92246"/>
    <w:rPr>
      <w:b/>
      <w:sz w:val="28"/>
      <w:szCs w:val="28"/>
    </w:rPr>
  </w:style>
  <w:style w:type="paragraph" w:customStyle="1" w:styleId="ENotesText">
    <w:name w:val="ENotesText"/>
    <w:aliases w:val="Ent"/>
    <w:basedOn w:val="OPCParaBase"/>
    <w:next w:val="Normal"/>
    <w:rsid w:val="00A92246"/>
    <w:pPr>
      <w:spacing w:before="120"/>
    </w:pPr>
  </w:style>
  <w:style w:type="paragraph" w:customStyle="1" w:styleId="CompiledActNo">
    <w:name w:val="CompiledActNo"/>
    <w:basedOn w:val="OPCParaBase"/>
    <w:next w:val="Normal"/>
    <w:rsid w:val="00A92246"/>
    <w:rPr>
      <w:b/>
      <w:sz w:val="24"/>
      <w:szCs w:val="24"/>
    </w:rPr>
  </w:style>
  <w:style w:type="paragraph" w:customStyle="1" w:styleId="CompiledMadeUnder">
    <w:name w:val="CompiledMadeUnder"/>
    <w:basedOn w:val="OPCParaBase"/>
    <w:next w:val="Normal"/>
    <w:rsid w:val="00A92246"/>
    <w:rPr>
      <w:i/>
      <w:sz w:val="24"/>
      <w:szCs w:val="24"/>
    </w:rPr>
  </w:style>
  <w:style w:type="paragraph" w:customStyle="1" w:styleId="Paragraphsub-sub-sub">
    <w:name w:val="Paragraph(sub-sub-sub)"/>
    <w:aliases w:val="aaaa"/>
    <w:basedOn w:val="OPCParaBase"/>
    <w:rsid w:val="00A92246"/>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A92246"/>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A92246"/>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A92246"/>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A92246"/>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A92246"/>
    <w:pPr>
      <w:spacing w:before="60" w:line="240" w:lineRule="auto"/>
    </w:pPr>
    <w:rPr>
      <w:rFonts w:cs="Arial"/>
      <w:sz w:val="20"/>
      <w:szCs w:val="22"/>
    </w:rPr>
  </w:style>
  <w:style w:type="paragraph" w:customStyle="1" w:styleId="NoteToSubpara">
    <w:name w:val="NoteToSubpara"/>
    <w:aliases w:val="nts"/>
    <w:basedOn w:val="OPCParaBase"/>
    <w:rsid w:val="00A92246"/>
    <w:pPr>
      <w:spacing w:before="40" w:line="198" w:lineRule="exact"/>
      <w:ind w:left="2835" w:hanging="709"/>
    </w:pPr>
    <w:rPr>
      <w:sz w:val="18"/>
    </w:rPr>
  </w:style>
  <w:style w:type="paragraph" w:customStyle="1" w:styleId="ENoteTableHeading">
    <w:name w:val="ENoteTableHeading"/>
    <w:aliases w:val="enth"/>
    <w:basedOn w:val="OPCParaBase"/>
    <w:rsid w:val="00A92246"/>
    <w:pPr>
      <w:keepNext/>
      <w:spacing w:before="60" w:line="240" w:lineRule="atLeast"/>
    </w:pPr>
    <w:rPr>
      <w:rFonts w:ascii="Arial" w:hAnsi="Arial"/>
      <w:b/>
      <w:sz w:val="16"/>
    </w:rPr>
  </w:style>
  <w:style w:type="paragraph" w:customStyle="1" w:styleId="ENoteTTi">
    <w:name w:val="ENoteTTi"/>
    <w:aliases w:val="entti"/>
    <w:basedOn w:val="OPCParaBase"/>
    <w:rsid w:val="00A92246"/>
    <w:pPr>
      <w:keepNext/>
      <w:spacing w:before="60" w:line="240" w:lineRule="atLeast"/>
      <w:ind w:left="170"/>
    </w:pPr>
    <w:rPr>
      <w:sz w:val="16"/>
    </w:rPr>
  </w:style>
  <w:style w:type="paragraph" w:customStyle="1" w:styleId="ENotesHeading1">
    <w:name w:val="ENotesHeading 1"/>
    <w:aliases w:val="Enh1"/>
    <w:basedOn w:val="OPCParaBase"/>
    <w:next w:val="Normal"/>
    <w:rsid w:val="00A92246"/>
    <w:pPr>
      <w:spacing w:before="120"/>
      <w:outlineLvl w:val="1"/>
    </w:pPr>
    <w:rPr>
      <w:b/>
      <w:sz w:val="28"/>
      <w:szCs w:val="28"/>
    </w:rPr>
  </w:style>
  <w:style w:type="paragraph" w:customStyle="1" w:styleId="ENotesHeading2">
    <w:name w:val="ENotesHeading 2"/>
    <w:aliases w:val="Enh2"/>
    <w:basedOn w:val="OPCParaBase"/>
    <w:next w:val="Normal"/>
    <w:rsid w:val="00A92246"/>
    <w:pPr>
      <w:spacing w:before="120" w:after="120"/>
      <w:outlineLvl w:val="2"/>
    </w:pPr>
    <w:rPr>
      <w:b/>
      <w:sz w:val="24"/>
      <w:szCs w:val="28"/>
    </w:rPr>
  </w:style>
  <w:style w:type="paragraph" w:customStyle="1" w:styleId="ENoteTTIndentHeading">
    <w:name w:val="ENoteTTIndentHeading"/>
    <w:aliases w:val="enTTHi"/>
    <w:basedOn w:val="OPCParaBase"/>
    <w:rsid w:val="00A92246"/>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A92246"/>
    <w:pPr>
      <w:spacing w:before="60" w:line="240" w:lineRule="atLeast"/>
    </w:pPr>
    <w:rPr>
      <w:sz w:val="16"/>
    </w:rPr>
  </w:style>
  <w:style w:type="paragraph" w:customStyle="1" w:styleId="MadeunderText">
    <w:name w:val="MadeunderText"/>
    <w:basedOn w:val="OPCParaBase"/>
    <w:next w:val="CompiledMadeUnder"/>
    <w:rsid w:val="00A92246"/>
    <w:pPr>
      <w:spacing w:before="240"/>
    </w:pPr>
    <w:rPr>
      <w:sz w:val="24"/>
      <w:szCs w:val="24"/>
    </w:rPr>
  </w:style>
  <w:style w:type="paragraph" w:customStyle="1" w:styleId="ENotesHeading3">
    <w:name w:val="ENotesHeading 3"/>
    <w:aliases w:val="Enh3"/>
    <w:basedOn w:val="OPCParaBase"/>
    <w:next w:val="Normal"/>
    <w:rsid w:val="00A92246"/>
    <w:pPr>
      <w:keepNext/>
      <w:spacing w:before="120" w:line="240" w:lineRule="auto"/>
      <w:outlineLvl w:val="4"/>
    </w:pPr>
    <w:rPr>
      <w:b/>
      <w:szCs w:val="24"/>
    </w:rPr>
  </w:style>
  <w:style w:type="character" w:customStyle="1" w:styleId="CharSubPartTextCASA">
    <w:name w:val="CharSubPartText(CASA)"/>
    <w:basedOn w:val="OPCCharBase"/>
    <w:uiPriority w:val="1"/>
    <w:rsid w:val="00A92246"/>
  </w:style>
  <w:style w:type="character" w:customStyle="1" w:styleId="CharSubPartNoCASA">
    <w:name w:val="CharSubPartNo(CASA)"/>
    <w:basedOn w:val="OPCCharBase"/>
    <w:uiPriority w:val="1"/>
    <w:rsid w:val="00A92246"/>
  </w:style>
  <w:style w:type="paragraph" w:customStyle="1" w:styleId="ENoteTTIndentHeadingSub">
    <w:name w:val="ENoteTTIndentHeadingSub"/>
    <w:aliases w:val="enTTHis"/>
    <w:basedOn w:val="OPCParaBase"/>
    <w:rsid w:val="00A92246"/>
    <w:pPr>
      <w:keepNext/>
      <w:spacing w:before="60" w:line="240" w:lineRule="atLeast"/>
      <w:ind w:left="340"/>
    </w:pPr>
    <w:rPr>
      <w:b/>
      <w:sz w:val="16"/>
    </w:rPr>
  </w:style>
  <w:style w:type="paragraph" w:customStyle="1" w:styleId="ENoteTTiSub">
    <w:name w:val="ENoteTTiSub"/>
    <w:aliases w:val="enttis"/>
    <w:basedOn w:val="OPCParaBase"/>
    <w:rsid w:val="00A92246"/>
    <w:pPr>
      <w:keepNext/>
      <w:spacing w:before="60" w:line="240" w:lineRule="atLeast"/>
      <w:ind w:left="340"/>
    </w:pPr>
    <w:rPr>
      <w:sz w:val="16"/>
    </w:rPr>
  </w:style>
  <w:style w:type="paragraph" w:customStyle="1" w:styleId="SubDivisionMigration">
    <w:name w:val="SubDivisionMigration"/>
    <w:aliases w:val="sdm"/>
    <w:basedOn w:val="OPCParaBase"/>
    <w:rsid w:val="00A92246"/>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A92246"/>
    <w:pPr>
      <w:keepNext/>
      <w:keepLines/>
      <w:spacing w:before="240" w:line="240" w:lineRule="auto"/>
      <w:ind w:left="1134" w:hanging="1134"/>
    </w:pPr>
    <w:rPr>
      <w:b/>
      <w:sz w:val="28"/>
    </w:rPr>
  </w:style>
  <w:style w:type="paragraph" w:customStyle="1" w:styleId="notetext">
    <w:name w:val="note(text)"/>
    <w:aliases w:val="n"/>
    <w:basedOn w:val="OPCParaBase"/>
    <w:link w:val="notetextChar"/>
    <w:rsid w:val="00A92246"/>
    <w:pPr>
      <w:spacing w:before="122" w:line="240" w:lineRule="auto"/>
      <w:ind w:left="1985" w:hanging="851"/>
    </w:pPr>
    <w:rPr>
      <w:sz w:val="18"/>
    </w:rPr>
  </w:style>
  <w:style w:type="paragraph" w:customStyle="1" w:styleId="FreeForm">
    <w:name w:val="FreeForm"/>
    <w:rsid w:val="006D0FBB"/>
    <w:rPr>
      <w:rFonts w:ascii="Arial" w:hAnsi="Arial"/>
      <w:sz w:val="22"/>
    </w:rPr>
  </w:style>
  <w:style w:type="paragraph" w:customStyle="1" w:styleId="SOText">
    <w:name w:val="SO Text"/>
    <w:aliases w:val="sot"/>
    <w:link w:val="SOTextChar"/>
    <w:rsid w:val="00A92246"/>
    <w:pPr>
      <w:pBdr>
        <w:top w:val="single" w:sz="6" w:space="5" w:color="auto"/>
        <w:left w:val="single" w:sz="6" w:space="5" w:color="auto"/>
        <w:bottom w:val="single" w:sz="6" w:space="5" w:color="auto"/>
        <w:right w:val="single" w:sz="6" w:space="5" w:color="auto"/>
      </w:pBdr>
      <w:spacing w:before="240"/>
      <w:ind w:left="1134"/>
    </w:pPr>
    <w:rPr>
      <w:sz w:val="22"/>
    </w:rPr>
  </w:style>
  <w:style w:type="character" w:customStyle="1" w:styleId="SOTextChar">
    <w:name w:val="SO Text Char"/>
    <w:aliases w:val="sot Char"/>
    <w:basedOn w:val="DefaultParagraphFont"/>
    <w:link w:val="SOText"/>
    <w:rsid w:val="00A92246"/>
    <w:rPr>
      <w:sz w:val="22"/>
    </w:rPr>
  </w:style>
  <w:style w:type="paragraph" w:customStyle="1" w:styleId="SOTextNote">
    <w:name w:val="SO TextNote"/>
    <w:aliases w:val="sont"/>
    <w:basedOn w:val="SOText"/>
    <w:qFormat/>
    <w:rsid w:val="00A92246"/>
    <w:pPr>
      <w:spacing w:before="122" w:line="198" w:lineRule="exact"/>
      <w:ind w:left="1843" w:hanging="709"/>
    </w:pPr>
    <w:rPr>
      <w:sz w:val="18"/>
    </w:rPr>
  </w:style>
  <w:style w:type="paragraph" w:customStyle="1" w:styleId="SOPara">
    <w:name w:val="SO Para"/>
    <w:aliases w:val="soa"/>
    <w:basedOn w:val="SOText"/>
    <w:link w:val="SOParaChar"/>
    <w:qFormat/>
    <w:rsid w:val="00A92246"/>
    <w:pPr>
      <w:tabs>
        <w:tab w:val="right" w:pos="1786"/>
      </w:tabs>
      <w:spacing w:before="40"/>
      <w:ind w:left="2070" w:hanging="936"/>
    </w:pPr>
  </w:style>
  <w:style w:type="character" w:customStyle="1" w:styleId="SOParaChar">
    <w:name w:val="SO Para Char"/>
    <w:aliases w:val="soa Char"/>
    <w:basedOn w:val="DefaultParagraphFont"/>
    <w:link w:val="SOPara"/>
    <w:rsid w:val="00A92246"/>
    <w:rPr>
      <w:sz w:val="22"/>
    </w:rPr>
  </w:style>
  <w:style w:type="paragraph" w:customStyle="1" w:styleId="FileName">
    <w:name w:val="FileName"/>
    <w:basedOn w:val="Normal"/>
    <w:rsid w:val="00A92246"/>
  </w:style>
  <w:style w:type="paragraph" w:customStyle="1" w:styleId="TableHeading">
    <w:name w:val="TableHeading"/>
    <w:aliases w:val="th"/>
    <w:basedOn w:val="OPCParaBase"/>
    <w:next w:val="Tabletext"/>
    <w:rsid w:val="00A92246"/>
    <w:pPr>
      <w:keepNext/>
      <w:spacing w:before="60" w:line="240" w:lineRule="atLeast"/>
    </w:pPr>
    <w:rPr>
      <w:b/>
      <w:sz w:val="20"/>
    </w:rPr>
  </w:style>
  <w:style w:type="paragraph" w:customStyle="1" w:styleId="SOHeadBold">
    <w:name w:val="SO HeadBold"/>
    <w:aliases w:val="sohb"/>
    <w:basedOn w:val="SOText"/>
    <w:next w:val="SOText"/>
    <w:link w:val="SOHeadBoldChar"/>
    <w:qFormat/>
    <w:rsid w:val="00A92246"/>
    <w:rPr>
      <w:b/>
    </w:rPr>
  </w:style>
  <w:style w:type="character" w:customStyle="1" w:styleId="SOHeadBoldChar">
    <w:name w:val="SO HeadBold Char"/>
    <w:aliases w:val="sohb Char"/>
    <w:basedOn w:val="DefaultParagraphFont"/>
    <w:link w:val="SOHeadBold"/>
    <w:rsid w:val="00A92246"/>
    <w:rPr>
      <w:b/>
      <w:sz w:val="22"/>
    </w:rPr>
  </w:style>
  <w:style w:type="paragraph" w:customStyle="1" w:styleId="SOHeadItalic">
    <w:name w:val="SO HeadItalic"/>
    <w:aliases w:val="sohi"/>
    <w:basedOn w:val="SOText"/>
    <w:next w:val="SOText"/>
    <w:link w:val="SOHeadItalicChar"/>
    <w:qFormat/>
    <w:rsid w:val="00A92246"/>
    <w:rPr>
      <w:i/>
    </w:rPr>
  </w:style>
  <w:style w:type="character" w:customStyle="1" w:styleId="SOHeadItalicChar">
    <w:name w:val="SO HeadItalic Char"/>
    <w:aliases w:val="sohi Char"/>
    <w:basedOn w:val="DefaultParagraphFont"/>
    <w:link w:val="SOHeadItalic"/>
    <w:rsid w:val="00A92246"/>
    <w:rPr>
      <w:i/>
      <w:sz w:val="22"/>
    </w:rPr>
  </w:style>
  <w:style w:type="paragraph" w:customStyle="1" w:styleId="SOBullet">
    <w:name w:val="SO Bullet"/>
    <w:aliases w:val="sotb"/>
    <w:basedOn w:val="SOText"/>
    <w:link w:val="SOBulletChar"/>
    <w:qFormat/>
    <w:rsid w:val="00A92246"/>
    <w:pPr>
      <w:ind w:left="1559" w:hanging="425"/>
    </w:pPr>
  </w:style>
  <w:style w:type="character" w:customStyle="1" w:styleId="SOBulletChar">
    <w:name w:val="SO Bullet Char"/>
    <w:aliases w:val="sotb Char"/>
    <w:basedOn w:val="DefaultParagraphFont"/>
    <w:link w:val="SOBullet"/>
    <w:rsid w:val="00A92246"/>
    <w:rPr>
      <w:sz w:val="22"/>
    </w:rPr>
  </w:style>
  <w:style w:type="paragraph" w:customStyle="1" w:styleId="SOBulletNote">
    <w:name w:val="SO BulletNote"/>
    <w:aliases w:val="sonb"/>
    <w:basedOn w:val="SOTextNote"/>
    <w:link w:val="SOBulletNoteChar"/>
    <w:qFormat/>
    <w:rsid w:val="00A92246"/>
    <w:pPr>
      <w:tabs>
        <w:tab w:val="left" w:pos="1560"/>
      </w:tabs>
      <w:ind w:left="2268" w:hanging="1134"/>
    </w:pPr>
  </w:style>
  <w:style w:type="character" w:customStyle="1" w:styleId="SOBulletNoteChar">
    <w:name w:val="SO BulletNote Char"/>
    <w:aliases w:val="sonb Char"/>
    <w:basedOn w:val="DefaultParagraphFont"/>
    <w:link w:val="SOBulletNote"/>
    <w:rsid w:val="00A92246"/>
    <w:rPr>
      <w:sz w:val="18"/>
    </w:rPr>
  </w:style>
  <w:style w:type="paragraph" w:customStyle="1" w:styleId="SOText2">
    <w:name w:val="SO Text2"/>
    <w:aliases w:val="sot2"/>
    <w:basedOn w:val="Normal"/>
    <w:next w:val="SOText"/>
    <w:link w:val="SOText2Char"/>
    <w:rsid w:val="00A92246"/>
    <w:pPr>
      <w:pBdr>
        <w:top w:val="single" w:sz="6" w:space="5" w:color="auto"/>
        <w:left w:val="single" w:sz="6" w:space="5" w:color="auto"/>
        <w:bottom w:val="single" w:sz="6" w:space="5" w:color="auto"/>
        <w:right w:val="single" w:sz="6" w:space="5" w:color="auto"/>
      </w:pBdr>
      <w:spacing w:before="40" w:line="240" w:lineRule="auto"/>
      <w:ind w:left="1134"/>
    </w:pPr>
  </w:style>
  <w:style w:type="character" w:customStyle="1" w:styleId="SOText2Char">
    <w:name w:val="SO Text2 Char"/>
    <w:aliases w:val="sot2 Char"/>
    <w:basedOn w:val="DefaultParagraphFont"/>
    <w:link w:val="SOText2"/>
    <w:rsid w:val="00A92246"/>
    <w:rPr>
      <w:sz w:val="22"/>
    </w:rPr>
  </w:style>
  <w:style w:type="paragraph" w:customStyle="1" w:styleId="SubPartCASA">
    <w:name w:val="SubPart(CASA)"/>
    <w:aliases w:val="csp"/>
    <w:basedOn w:val="OPCParaBase"/>
    <w:next w:val="ActHead3"/>
    <w:rsid w:val="00A92246"/>
    <w:pPr>
      <w:keepNext/>
      <w:keepLines/>
      <w:spacing w:before="280"/>
      <w:ind w:left="1134" w:hanging="1134"/>
      <w:outlineLvl w:val="1"/>
    </w:pPr>
    <w:rPr>
      <w:b/>
      <w:kern w:val="28"/>
      <w:sz w:val="32"/>
    </w:rPr>
  </w:style>
  <w:style w:type="character" w:customStyle="1" w:styleId="subsectionChar">
    <w:name w:val="subsection Char"/>
    <w:aliases w:val="ss Char"/>
    <w:basedOn w:val="DefaultParagraphFont"/>
    <w:link w:val="subsection"/>
    <w:locked/>
    <w:rsid w:val="00755452"/>
    <w:rPr>
      <w:rFonts w:eastAsia="Times New Roman" w:cs="Times New Roman"/>
      <w:sz w:val="22"/>
      <w:lang w:eastAsia="en-AU"/>
    </w:rPr>
  </w:style>
  <w:style w:type="character" w:customStyle="1" w:styleId="notetextChar">
    <w:name w:val="note(text) Char"/>
    <w:aliases w:val="n Char"/>
    <w:basedOn w:val="DefaultParagraphFont"/>
    <w:link w:val="notetext"/>
    <w:rsid w:val="00755452"/>
    <w:rPr>
      <w:rFonts w:eastAsia="Times New Roman" w:cs="Times New Roman"/>
      <w:sz w:val="18"/>
      <w:lang w:eastAsia="en-AU"/>
    </w:rPr>
  </w:style>
  <w:style w:type="character" w:customStyle="1" w:styleId="Heading1Char">
    <w:name w:val="Heading 1 Char"/>
    <w:basedOn w:val="DefaultParagraphFont"/>
    <w:link w:val="Heading1"/>
    <w:rsid w:val="007554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554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5452"/>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sid w:val="00755452"/>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755452"/>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rsid w:val="00755452"/>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755452"/>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75545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55452"/>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lang w:val="en-AU"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92246"/>
    <w:pPr>
      <w:spacing w:line="260" w:lineRule="atLeast"/>
    </w:pPr>
    <w:rPr>
      <w:sz w:val="22"/>
    </w:rPr>
  </w:style>
  <w:style w:type="paragraph" w:styleId="Heading1">
    <w:name w:val="heading 1"/>
    <w:basedOn w:val="Normal"/>
    <w:next w:val="Normal"/>
    <w:link w:val="Heading1Char"/>
    <w:qFormat/>
    <w:rsid w:val="0075545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5545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545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545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545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75545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545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5452"/>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755452"/>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PCCharBase">
    <w:name w:val="OPCCharBase"/>
    <w:uiPriority w:val="1"/>
    <w:qFormat/>
    <w:rsid w:val="00A92246"/>
  </w:style>
  <w:style w:type="paragraph" w:customStyle="1" w:styleId="OPCParaBase">
    <w:name w:val="OPCParaBase"/>
    <w:qFormat/>
    <w:rsid w:val="00A92246"/>
    <w:pPr>
      <w:spacing w:line="260" w:lineRule="atLeast"/>
    </w:pPr>
    <w:rPr>
      <w:rFonts w:eastAsia="Times New Roman" w:cs="Times New Roman"/>
      <w:sz w:val="22"/>
      <w:lang w:eastAsia="en-AU"/>
    </w:rPr>
  </w:style>
  <w:style w:type="paragraph" w:customStyle="1" w:styleId="ShortT">
    <w:name w:val="ShortT"/>
    <w:basedOn w:val="OPCParaBase"/>
    <w:next w:val="Normal"/>
    <w:qFormat/>
    <w:rsid w:val="00A92246"/>
    <w:pPr>
      <w:spacing w:line="240" w:lineRule="auto"/>
    </w:pPr>
    <w:rPr>
      <w:b/>
      <w:sz w:val="40"/>
    </w:rPr>
  </w:style>
  <w:style w:type="paragraph" w:customStyle="1" w:styleId="ActHead1">
    <w:name w:val="ActHead 1"/>
    <w:aliases w:val="c"/>
    <w:basedOn w:val="OPCParaBase"/>
    <w:next w:val="Normal"/>
    <w:qFormat/>
    <w:rsid w:val="00A92246"/>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A92246"/>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A92246"/>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A92246"/>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qFormat/>
    <w:rsid w:val="00A92246"/>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A92246"/>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A92246"/>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A92246"/>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A92246"/>
    <w:pPr>
      <w:keepNext/>
      <w:keepLines/>
      <w:spacing w:before="280" w:line="240" w:lineRule="auto"/>
      <w:ind w:left="1134" w:hanging="1134"/>
      <w:outlineLvl w:val="8"/>
    </w:pPr>
    <w:rPr>
      <w:b/>
      <w:i/>
      <w:kern w:val="28"/>
      <w:sz w:val="28"/>
    </w:rPr>
  </w:style>
  <w:style w:type="paragraph" w:customStyle="1" w:styleId="Actno">
    <w:name w:val="Actno"/>
    <w:basedOn w:val="ShortT"/>
    <w:next w:val="Normal"/>
    <w:qFormat/>
    <w:rsid w:val="00A92246"/>
  </w:style>
  <w:style w:type="paragraph" w:customStyle="1" w:styleId="Blocks">
    <w:name w:val="Blocks"/>
    <w:aliases w:val="bb"/>
    <w:basedOn w:val="OPCParaBase"/>
    <w:qFormat/>
    <w:rsid w:val="00A92246"/>
    <w:pPr>
      <w:spacing w:line="240" w:lineRule="auto"/>
    </w:pPr>
    <w:rPr>
      <w:sz w:val="24"/>
    </w:rPr>
  </w:style>
  <w:style w:type="paragraph" w:customStyle="1" w:styleId="BoxText">
    <w:name w:val="BoxText"/>
    <w:aliases w:val="bt"/>
    <w:basedOn w:val="OPCParaBase"/>
    <w:qFormat/>
    <w:rsid w:val="00A92246"/>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A92246"/>
    <w:rPr>
      <w:b/>
    </w:rPr>
  </w:style>
  <w:style w:type="paragraph" w:customStyle="1" w:styleId="BoxHeadItalic">
    <w:name w:val="BoxHeadItalic"/>
    <w:aliases w:val="bhi"/>
    <w:basedOn w:val="BoxText"/>
    <w:next w:val="BoxStep"/>
    <w:qFormat/>
    <w:rsid w:val="00A92246"/>
    <w:rPr>
      <w:i/>
    </w:rPr>
  </w:style>
  <w:style w:type="paragraph" w:customStyle="1" w:styleId="BoxList">
    <w:name w:val="BoxList"/>
    <w:aliases w:val="bl"/>
    <w:basedOn w:val="BoxText"/>
    <w:qFormat/>
    <w:rsid w:val="00A92246"/>
    <w:pPr>
      <w:ind w:left="1559" w:hanging="425"/>
    </w:pPr>
  </w:style>
  <w:style w:type="paragraph" w:customStyle="1" w:styleId="BoxNote">
    <w:name w:val="BoxNote"/>
    <w:aliases w:val="bn"/>
    <w:basedOn w:val="BoxText"/>
    <w:qFormat/>
    <w:rsid w:val="00A92246"/>
    <w:pPr>
      <w:tabs>
        <w:tab w:val="left" w:pos="1985"/>
      </w:tabs>
      <w:spacing w:before="122" w:line="198" w:lineRule="exact"/>
      <w:ind w:left="2948" w:hanging="1814"/>
    </w:pPr>
    <w:rPr>
      <w:sz w:val="18"/>
    </w:rPr>
  </w:style>
  <w:style w:type="paragraph" w:customStyle="1" w:styleId="BoxPara">
    <w:name w:val="BoxPara"/>
    <w:aliases w:val="bp"/>
    <w:basedOn w:val="BoxText"/>
    <w:qFormat/>
    <w:rsid w:val="00A92246"/>
    <w:pPr>
      <w:tabs>
        <w:tab w:val="right" w:pos="2268"/>
      </w:tabs>
      <w:ind w:left="2552" w:hanging="1418"/>
    </w:pPr>
  </w:style>
  <w:style w:type="paragraph" w:customStyle="1" w:styleId="BoxStep">
    <w:name w:val="BoxStep"/>
    <w:aliases w:val="bs"/>
    <w:basedOn w:val="BoxText"/>
    <w:qFormat/>
    <w:rsid w:val="00A92246"/>
    <w:pPr>
      <w:ind w:left="1985" w:hanging="851"/>
    </w:pPr>
  </w:style>
  <w:style w:type="character" w:customStyle="1" w:styleId="CharAmPartNo">
    <w:name w:val="CharAmPartNo"/>
    <w:basedOn w:val="OPCCharBase"/>
    <w:uiPriority w:val="1"/>
    <w:qFormat/>
    <w:rsid w:val="00A92246"/>
  </w:style>
  <w:style w:type="character" w:customStyle="1" w:styleId="CharAmPartText">
    <w:name w:val="CharAmPartText"/>
    <w:basedOn w:val="OPCCharBase"/>
    <w:uiPriority w:val="1"/>
    <w:qFormat/>
    <w:rsid w:val="00A92246"/>
  </w:style>
  <w:style w:type="character" w:customStyle="1" w:styleId="CharAmSchNo">
    <w:name w:val="CharAmSchNo"/>
    <w:basedOn w:val="OPCCharBase"/>
    <w:uiPriority w:val="1"/>
    <w:qFormat/>
    <w:rsid w:val="00A92246"/>
  </w:style>
  <w:style w:type="character" w:customStyle="1" w:styleId="CharAmSchText">
    <w:name w:val="CharAmSchText"/>
    <w:basedOn w:val="OPCCharBase"/>
    <w:uiPriority w:val="1"/>
    <w:qFormat/>
    <w:rsid w:val="00A92246"/>
  </w:style>
  <w:style w:type="character" w:customStyle="1" w:styleId="CharBoldItalic">
    <w:name w:val="CharBoldItalic"/>
    <w:basedOn w:val="OPCCharBase"/>
    <w:uiPriority w:val="1"/>
    <w:qFormat/>
    <w:rsid w:val="00A92246"/>
    <w:rPr>
      <w:b/>
      <w:i/>
    </w:rPr>
  </w:style>
  <w:style w:type="character" w:customStyle="1" w:styleId="CharChapNo">
    <w:name w:val="CharChapNo"/>
    <w:basedOn w:val="OPCCharBase"/>
    <w:qFormat/>
    <w:rsid w:val="00A92246"/>
  </w:style>
  <w:style w:type="character" w:customStyle="1" w:styleId="CharChapText">
    <w:name w:val="CharChapText"/>
    <w:basedOn w:val="OPCCharBase"/>
    <w:qFormat/>
    <w:rsid w:val="00A92246"/>
  </w:style>
  <w:style w:type="character" w:customStyle="1" w:styleId="CharDivNo">
    <w:name w:val="CharDivNo"/>
    <w:basedOn w:val="OPCCharBase"/>
    <w:qFormat/>
    <w:rsid w:val="00A92246"/>
  </w:style>
  <w:style w:type="character" w:customStyle="1" w:styleId="CharDivText">
    <w:name w:val="CharDivText"/>
    <w:basedOn w:val="OPCCharBase"/>
    <w:qFormat/>
    <w:rsid w:val="00A92246"/>
  </w:style>
  <w:style w:type="character" w:customStyle="1" w:styleId="CharItalic">
    <w:name w:val="CharItalic"/>
    <w:basedOn w:val="OPCCharBase"/>
    <w:uiPriority w:val="1"/>
    <w:qFormat/>
    <w:rsid w:val="00A92246"/>
    <w:rPr>
      <w:i/>
    </w:rPr>
  </w:style>
  <w:style w:type="character" w:customStyle="1" w:styleId="CharPartNo">
    <w:name w:val="CharPartNo"/>
    <w:basedOn w:val="OPCCharBase"/>
    <w:qFormat/>
    <w:rsid w:val="00A92246"/>
  </w:style>
  <w:style w:type="character" w:customStyle="1" w:styleId="CharPartText">
    <w:name w:val="CharPartText"/>
    <w:basedOn w:val="OPCCharBase"/>
    <w:qFormat/>
    <w:rsid w:val="00A92246"/>
  </w:style>
  <w:style w:type="character" w:customStyle="1" w:styleId="CharSectno">
    <w:name w:val="CharSectno"/>
    <w:basedOn w:val="OPCCharBase"/>
    <w:qFormat/>
    <w:rsid w:val="00A92246"/>
  </w:style>
  <w:style w:type="character" w:customStyle="1" w:styleId="CharSubdNo">
    <w:name w:val="CharSubdNo"/>
    <w:basedOn w:val="OPCCharBase"/>
    <w:uiPriority w:val="1"/>
    <w:qFormat/>
    <w:rsid w:val="00A92246"/>
  </w:style>
  <w:style w:type="character" w:customStyle="1" w:styleId="CharSubdText">
    <w:name w:val="CharSubdText"/>
    <w:basedOn w:val="OPCCharBase"/>
    <w:uiPriority w:val="1"/>
    <w:qFormat/>
    <w:rsid w:val="00A92246"/>
  </w:style>
  <w:style w:type="paragraph" w:customStyle="1" w:styleId="CTA--">
    <w:name w:val="CTA --"/>
    <w:basedOn w:val="OPCParaBase"/>
    <w:next w:val="Normal"/>
    <w:rsid w:val="00A92246"/>
    <w:pPr>
      <w:spacing w:before="60" w:line="240" w:lineRule="atLeast"/>
      <w:ind w:left="142" w:hanging="142"/>
    </w:pPr>
    <w:rPr>
      <w:sz w:val="20"/>
    </w:rPr>
  </w:style>
  <w:style w:type="paragraph" w:customStyle="1" w:styleId="CTA-">
    <w:name w:val="CTA -"/>
    <w:basedOn w:val="OPCParaBase"/>
    <w:rsid w:val="00A92246"/>
    <w:pPr>
      <w:spacing w:before="60" w:line="240" w:lineRule="atLeast"/>
      <w:ind w:left="85" w:hanging="85"/>
    </w:pPr>
    <w:rPr>
      <w:sz w:val="20"/>
    </w:rPr>
  </w:style>
  <w:style w:type="paragraph" w:customStyle="1" w:styleId="CTA---">
    <w:name w:val="CTA ---"/>
    <w:basedOn w:val="OPCParaBase"/>
    <w:next w:val="Normal"/>
    <w:rsid w:val="00A92246"/>
    <w:pPr>
      <w:spacing w:before="60" w:line="240" w:lineRule="atLeast"/>
      <w:ind w:left="198" w:hanging="198"/>
    </w:pPr>
    <w:rPr>
      <w:sz w:val="20"/>
    </w:rPr>
  </w:style>
  <w:style w:type="paragraph" w:customStyle="1" w:styleId="CTA----">
    <w:name w:val="CTA ----"/>
    <w:basedOn w:val="OPCParaBase"/>
    <w:next w:val="Normal"/>
    <w:rsid w:val="00A92246"/>
    <w:pPr>
      <w:spacing w:before="60" w:line="240" w:lineRule="atLeast"/>
      <w:ind w:left="255" w:hanging="255"/>
    </w:pPr>
    <w:rPr>
      <w:sz w:val="20"/>
    </w:rPr>
  </w:style>
  <w:style w:type="paragraph" w:customStyle="1" w:styleId="CTA1a">
    <w:name w:val="CTA 1(a)"/>
    <w:basedOn w:val="OPCParaBase"/>
    <w:rsid w:val="00A92246"/>
    <w:pPr>
      <w:tabs>
        <w:tab w:val="right" w:pos="414"/>
      </w:tabs>
      <w:spacing w:before="40" w:line="240" w:lineRule="atLeast"/>
      <w:ind w:left="675" w:hanging="675"/>
    </w:pPr>
    <w:rPr>
      <w:sz w:val="20"/>
    </w:rPr>
  </w:style>
  <w:style w:type="paragraph" w:customStyle="1" w:styleId="CTA1ai">
    <w:name w:val="CTA 1(a)(i)"/>
    <w:basedOn w:val="OPCParaBase"/>
    <w:rsid w:val="00A92246"/>
    <w:pPr>
      <w:tabs>
        <w:tab w:val="right" w:pos="1004"/>
      </w:tabs>
      <w:spacing w:before="40" w:line="240" w:lineRule="atLeast"/>
      <w:ind w:left="1253" w:hanging="1253"/>
    </w:pPr>
    <w:rPr>
      <w:sz w:val="20"/>
    </w:rPr>
  </w:style>
  <w:style w:type="paragraph" w:customStyle="1" w:styleId="CTA2a">
    <w:name w:val="CTA 2(a)"/>
    <w:basedOn w:val="OPCParaBase"/>
    <w:rsid w:val="00A92246"/>
    <w:pPr>
      <w:tabs>
        <w:tab w:val="right" w:pos="482"/>
      </w:tabs>
      <w:spacing w:before="40" w:line="240" w:lineRule="atLeast"/>
      <w:ind w:left="748" w:hanging="748"/>
    </w:pPr>
    <w:rPr>
      <w:sz w:val="20"/>
    </w:rPr>
  </w:style>
  <w:style w:type="paragraph" w:customStyle="1" w:styleId="CTA2ai">
    <w:name w:val="CTA 2(a)(i)"/>
    <w:basedOn w:val="OPCParaBase"/>
    <w:rsid w:val="00A92246"/>
    <w:pPr>
      <w:tabs>
        <w:tab w:val="right" w:pos="1089"/>
      </w:tabs>
      <w:spacing w:before="40" w:line="240" w:lineRule="atLeast"/>
      <w:ind w:left="1327" w:hanging="1327"/>
    </w:pPr>
    <w:rPr>
      <w:sz w:val="20"/>
    </w:rPr>
  </w:style>
  <w:style w:type="paragraph" w:customStyle="1" w:styleId="CTA3a">
    <w:name w:val="CTA 3(a)"/>
    <w:basedOn w:val="OPCParaBase"/>
    <w:rsid w:val="00A92246"/>
    <w:pPr>
      <w:tabs>
        <w:tab w:val="right" w:pos="556"/>
      </w:tabs>
      <w:spacing w:before="40" w:line="240" w:lineRule="atLeast"/>
      <w:ind w:left="805" w:hanging="805"/>
    </w:pPr>
    <w:rPr>
      <w:sz w:val="20"/>
    </w:rPr>
  </w:style>
  <w:style w:type="paragraph" w:customStyle="1" w:styleId="CTA3ai">
    <w:name w:val="CTA 3(a)(i)"/>
    <w:basedOn w:val="OPCParaBase"/>
    <w:rsid w:val="00A92246"/>
    <w:pPr>
      <w:tabs>
        <w:tab w:val="right" w:pos="1140"/>
      </w:tabs>
      <w:spacing w:before="40" w:line="240" w:lineRule="atLeast"/>
      <w:ind w:left="1361" w:hanging="1361"/>
    </w:pPr>
    <w:rPr>
      <w:sz w:val="20"/>
    </w:rPr>
  </w:style>
  <w:style w:type="paragraph" w:customStyle="1" w:styleId="CTA4a">
    <w:name w:val="CTA 4(a)"/>
    <w:basedOn w:val="OPCParaBase"/>
    <w:rsid w:val="00A92246"/>
    <w:pPr>
      <w:tabs>
        <w:tab w:val="right" w:pos="624"/>
      </w:tabs>
      <w:spacing w:before="40" w:line="240" w:lineRule="atLeast"/>
      <w:ind w:left="873" w:hanging="873"/>
    </w:pPr>
    <w:rPr>
      <w:sz w:val="20"/>
    </w:rPr>
  </w:style>
  <w:style w:type="paragraph" w:customStyle="1" w:styleId="CTA4ai">
    <w:name w:val="CTA 4(a)(i)"/>
    <w:basedOn w:val="OPCParaBase"/>
    <w:rsid w:val="00A92246"/>
    <w:pPr>
      <w:tabs>
        <w:tab w:val="right" w:pos="1213"/>
      </w:tabs>
      <w:spacing w:before="40" w:line="240" w:lineRule="atLeast"/>
      <w:ind w:left="1452" w:hanging="1452"/>
    </w:pPr>
    <w:rPr>
      <w:sz w:val="20"/>
    </w:rPr>
  </w:style>
  <w:style w:type="paragraph" w:customStyle="1" w:styleId="CTACAPS">
    <w:name w:val="CTA CAPS"/>
    <w:basedOn w:val="OPCParaBase"/>
    <w:rsid w:val="00A92246"/>
    <w:pPr>
      <w:spacing w:before="60" w:line="240" w:lineRule="atLeast"/>
    </w:pPr>
    <w:rPr>
      <w:sz w:val="20"/>
    </w:rPr>
  </w:style>
  <w:style w:type="paragraph" w:customStyle="1" w:styleId="CTAright">
    <w:name w:val="CTA right"/>
    <w:basedOn w:val="OPCParaBase"/>
    <w:rsid w:val="00A92246"/>
    <w:pPr>
      <w:spacing w:before="60" w:line="240" w:lineRule="auto"/>
      <w:jc w:val="right"/>
    </w:pPr>
    <w:rPr>
      <w:sz w:val="20"/>
    </w:rPr>
  </w:style>
  <w:style w:type="paragraph" w:customStyle="1" w:styleId="subsection">
    <w:name w:val="subsection"/>
    <w:aliases w:val="ss"/>
    <w:basedOn w:val="OPCParaBase"/>
    <w:link w:val="subsectionChar"/>
    <w:rsid w:val="00A92246"/>
    <w:pPr>
      <w:tabs>
        <w:tab w:val="right" w:pos="1021"/>
      </w:tabs>
      <w:spacing w:before="180" w:line="240" w:lineRule="auto"/>
      <w:ind w:left="1134" w:hanging="1134"/>
    </w:pPr>
  </w:style>
  <w:style w:type="paragraph" w:customStyle="1" w:styleId="Definition">
    <w:name w:val="Definition"/>
    <w:aliases w:val="dd"/>
    <w:basedOn w:val="OPCParaBase"/>
    <w:rsid w:val="00A92246"/>
    <w:pPr>
      <w:spacing w:before="180" w:line="240" w:lineRule="auto"/>
      <w:ind w:left="1134"/>
    </w:pPr>
  </w:style>
  <w:style w:type="paragraph" w:customStyle="1" w:styleId="Formula">
    <w:name w:val="Formula"/>
    <w:basedOn w:val="OPCParaBase"/>
    <w:rsid w:val="00A92246"/>
    <w:pPr>
      <w:spacing w:line="240" w:lineRule="auto"/>
      <w:ind w:left="1134"/>
    </w:pPr>
    <w:rPr>
      <w:sz w:val="20"/>
    </w:rPr>
  </w:style>
  <w:style w:type="paragraph" w:styleId="Header">
    <w:name w:val="header"/>
    <w:basedOn w:val="OPCParaBase"/>
    <w:link w:val="HeaderChar"/>
    <w:unhideWhenUsed/>
    <w:rsid w:val="00A92246"/>
    <w:pPr>
      <w:keepNext/>
      <w:keepLines/>
      <w:tabs>
        <w:tab w:val="center" w:pos="4150"/>
        <w:tab w:val="right" w:pos="8307"/>
      </w:tabs>
      <w:spacing w:line="160" w:lineRule="exact"/>
    </w:pPr>
    <w:rPr>
      <w:sz w:val="16"/>
    </w:rPr>
  </w:style>
  <w:style w:type="character" w:customStyle="1" w:styleId="HeaderChar">
    <w:name w:val="Header Char"/>
    <w:basedOn w:val="DefaultParagraphFont"/>
    <w:link w:val="Header"/>
    <w:rsid w:val="00A92246"/>
    <w:rPr>
      <w:rFonts w:eastAsia="Times New Roman" w:cs="Times New Roman"/>
      <w:sz w:val="16"/>
      <w:lang w:eastAsia="en-AU"/>
    </w:rPr>
  </w:style>
  <w:style w:type="paragraph" w:customStyle="1" w:styleId="House">
    <w:name w:val="House"/>
    <w:basedOn w:val="OPCParaBase"/>
    <w:rsid w:val="00A92246"/>
    <w:pPr>
      <w:spacing w:line="240" w:lineRule="auto"/>
    </w:pPr>
    <w:rPr>
      <w:sz w:val="28"/>
    </w:rPr>
  </w:style>
  <w:style w:type="paragraph" w:customStyle="1" w:styleId="Item">
    <w:name w:val="Item"/>
    <w:aliases w:val="i"/>
    <w:basedOn w:val="OPCParaBase"/>
    <w:next w:val="ItemHead"/>
    <w:rsid w:val="00A92246"/>
    <w:pPr>
      <w:keepLines/>
      <w:spacing w:before="80" w:line="240" w:lineRule="auto"/>
      <w:ind w:left="709"/>
    </w:pPr>
  </w:style>
  <w:style w:type="paragraph" w:customStyle="1" w:styleId="ItemHead">
    <w:name w:val="ItemHead"/>
    <w:aliases w:val="ih"/>
    <w:basedOn w:val="OPCParaBase"/>
    <w:next w:val="Item"/>
    <w:rsid w:val="00A92246"/>
    <w:pPr>
      <w:keepNext/>
      <w:keepLines/>
      <w:spacing w:before="220" w:line="240" w:lineRule="auto"/>
      <w:ind w:left="709" w:hanging="709"/>
    </w:pPr>
    <w:rPr>
      <w:rFonts w:ascii="Arial" w:hAnsi="Arial"/>
      <w:b/>
      <w:kern w:val="28"/>
      <w:sz w:val="24"/>
    </w:rPr>
  </w:style>
  <w:style w:type="paragraph" w:customStyle="1" w:styleId="LongT">
    <w:name w:val="LongT"/>
    <w:basedOn w:val="OPCParaBase"/>
    <w:rsid w:val="00A92246"/>
    <w:pPr>
      <w:spacing w:line="240" w:lineRule="auto"/>
    </w:pPr>
    <w:rPr>
      <w:b/>
      <w:sz w:val="32"/>
    </w:rPr>
  </w:style>
  <w:style w:type="paragraph" w:customStyle="1" w:styleId="notedraft">
    <w:name w:val="note(draft)"/>
    <w:aliases w:val="nd"/>
    <w:basedOn w:val="OPCParaBase"/>
    <w:rsid w:val="00A92246"/>
    <w:pPr>
      <w:spacing w:before="240" w:line="240" w:lineRule="auto"/>
      <w:ind w:left="284" w:hanging="284"/>
    </w:pPr>
    <w:rPr>
      <w:i/>
      <w:sz w:val="24"/>
    </w:rPr>
  </w:style>
  <w:style w:type="paragraph" w:customStyle="1" w:styleId="notemargin">
    <w:name w:val="note(margin)"/>
    <w:aliases w:val="nm"/>
    <w:basedOn w:val="OPCParaBase"/>
    <w:rsid w:val="00A92246"/>
    <w:pPr>
      <w:tabs>
        <w:tab w:val="left" w:pos="709"/>
      </w:tabs>
      <w:spacing w:before="122" w:line="198" w:lineRule="exact"/>
      <w:ind w:left="709" w:hanging="709"/>
    </w:pPr>
    <w:rPr>
      <w:sz w:val="18"/>
    </w:rPr>
  </w:style>
  <w:style w:type="paragraph" w:customStyle="1" w:styleId="noteToPara">
    <w:name w:val="noteToPara"/>
    <w:aliases w:val="ntp"/>
    <w:basedOn w:val="OPCParaBase"/>
    <w:rsid w:val="00A92246"/>
    <w:pPr>
      <w:spacing w:before="122" w:line="198" w:lineRule="exact"/>
      <w:ind w:left="2353" w:hanging="709"/>
    </w:pPr>
    <w:rPr>
      <w:sz w:val="18"/>
    </w:rPr>
  </w:style>
  <w:style w:type="paragraph" w:customStyle="1" w:styleId="noteParlAmend">
    <w:name w:val="note(ParlAmend)"/>
    <w:aliases w:val="npp"/>
    <w:basedOn w:val="OPCParaBase"/>
    <w:next w:val="ParlAmend"/>
    <w:rsid w:val="00A92246"/>
    <w:pPr>
      <w:spacing w:line="240" w:lineRule="auto"/>
      <w:jc w:val="right"/>
    </w:pPr>
    <w:rPr>
      <w:rFonts w:ascii="Arial" w:hAnsi="Arial"/>
      <w:b/>
      <w:i/>
    </w:rPr>
  </w:style>
  <w:style w:type="paragraph" w:customStyle="1" w:styleId="Page1">
    <w:name w:val="Page1"/>
    <w:basedOn w:val="OPCParaBase"/>
    <w:rsid w:val="00A92246"/>
    <w:pPr>
      <w:spacing w:before="5600" w:line="240" w:lineRule="auto"/>
    </w:pPr>
    <w:rPr>
      <w:b/>
      <w:sz w:val="32"/>
    </w:rPr>
  </w:style>
  <w:style w:type="paragraph" w:customStyle="1" w:styleId="PageBreak">
    <w:name w:val="PageBreak"/>
    <w:aliases w:val="pb"/>
    <w:basedOn w:val="OPCParaBase"/>
    <w:rsid w:val="00A92246"/>
    <w:pPr>
      <w:spacing w:line="240" w:lineRule="auto"/>
    </w:pPr>
    <w:rPr>
      <w:sz w:val="20"/>
    </w:rPr>
  </w:style>
  <w:style w:type="paragraph" w:customStyle="1" w:styleId="paragraphsub">
    <w:name w:val="paragraph(sub)"/>
    <w:aliases w:val="aa"/>
    <w:basedOn w:val="OPCParaBase"/>
    <w:rsid w:val="00A92246"/>
    <w:pPr>
      <w:tabs>
        <w:tab w:val="right" w:pos="1985"/>
      </w:tabs>
      <w:spacing w:before="40" w:line="240" w:lineRule="auto"/>
      <w:ind w:left="2098" w:hanging="2098"/>
    </w:pPr>
  </w:style>
  <w:style w:type="paragraph" w:customStyle="1" w:styleId="paragraphsub-sub">
    <w:name w:val="paragraph(sub-sub)"/>
    <w:aliases w:val="aaa"/>
    <w:basedOn w:val="OPCParaBase"/>
    <w:rsid w:val="00A92246"/>
    <w:pPr>
      <w:tabs>
        <w:tab w:val="right" w:pos="2722"/>
      </w:tabs>
      <w:spacing w:before="40" w:line="240" w:lineRule="auto"/>
      <w:ind w:left="2835" w:hanging="2835"/>
    </w:pPr>
  </w:style>
  <w:style w:type="paragraph" w:customStyle="1" w:styleId="paragraph">
    <w:name w:val="paragraph"/>
    <w:aliases w:val="a"/>
    <w:basedOn w:val="OPCParaBase"/>
    <w:rsid w:val="00A92246"/>
    <w:pPr>
      <w:tabs>
        <w:tab w:val="right" w:pos="1531"/>
      </w:tabs>
      <w:spacing w:before="40" w:line="240" w:lineRule="auto"/>
      <w:ind w:left="1644" w:hanging="1644"/>
    </w:pPr>
  </w:style>
  <w:style w:type="paragraph" w:customStyle="1" w:styleId="ParlAmend">
    <w:name w:val="ParlAmend"/>
    <w:aliases w:val="pp"/>
    <w:basedOn w:val="OPCParaBase"/>
    <w:rsid w:val="00A92246"/>
    <w:pPr>
      <w:spacing w:before="240" w:line="240" w:lineRule="atLeast"/>
      <w:ind w:hanging="567"/>
    </w:pPr>
    <w:rPr>
      <w:sz w:val="24"/>
    </w:rPr>
  </w:style>
  <w:style w:type="paragraph" w:customStyle="1" w:styleId="Penalty">
    <w:name w:val="Penalty"/>
    <w:basedOn w:val="OPCParaBase"/>
    <w:rsid w:val="00A92246"/>
    <w:pPr>
      <w:tabs>
        <w:tab w:val="left" w:pos="2977"/>
      </w:tabs>
      <w:spacing w:before="180" w:line="240" w:lineRule="auto"/>
      <w:ind w:left="1985" w:hanging="851"/>
    </w:pPr>
  </w:style>
  <w:style w:type="paragraph" w:customStyle="1" w:styleId="Portfolio">
    <w:name w:val="Portfolio"/>
    <w:basedOn w:val="OPCParaBase"/>
    <w:rsid w:val="00A92246"/>
    <w:pPr>
      <w:spacing w:line="240" w:lineRule="auto"/>
    </w:pPr>
    <w:rPr>
      <w:i/>
      <w:sz w:val="20"/>
    </w:rPr>
  </w:style>
  <w:style w:type="paragraph" w:customStyle="1" w:styleId="Preamble">
    <w:name w:val="Preamble"/>
    <w:basedOn w:val="OPCParaBase"/>
    <w:next w:val="Normal"/>
    <w:rsid w:val="00A92246"/>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A92246"/>
    <w:pPr>
      <w:spacing w:line="240" w:lineRule="auto"/>
    </w:pPr>
    <w:rPr>
      <w:i/>
      <w:sz w:val="20"/>
    </w:rPr>
  </w:style>
  <w:style w:type="paragraph" w:customStyle="1" w:styleId="Session">
    <w:name w:val="Session"/>
    <w:basedOn w:val="OPCParaBase"/>
    <w:rsid w:val="00A92246"/>
    <w:pPr>
      <w:spacing w:line="240" w:lineRule="auto"/>
    </w:pPr>
    <w:rPr>
      <w:sz w:val="28"/>
    </w:rPr>
  </w:style>
  <w:style w:type="paragraph" w:customStyle="1" w:styleId="Sponsor">
    <w:name w:val="Sponsor"/>
    <w:basedOn w:val="OPCParaBase"/>
    <w:rsid w:val="00A92246"/>
    <w:pPr>
      <w:spacing w:line="240" w:lineRule="auto"/>
    </w:pPr>
    <w:rPr>
      <w:i/>
    </w:rPr>
  </w:style>
  <w:style w:type="paragraph" w:customStyle="1" w:styleId="Subitem">
    <w:name w:val="Subitem"/>
    <w:aliases w:val="iss"/>
    <w:basedOn w:val="OPCParaBase"/>
    <w:rsid w:val="00A92246"/>
    <w:pPr>
      <w:spacing w:before="180" w:line="240" w:lineRule="auto"/>
      <w:ind w:left="709" w:hanging="709"/>
    </w:pPr>
  </w:style>
  <w:style w:type="paragraph" w:customStyle="1" w:styleId="SubitemHead">
    <w:name w:val="SubitemHead"/>
    <w:aliases w:val="issh"/>
    <w:basedOn w:val="OPCParaBase"/>
    <w:rsid w:val="00A92246"/>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A92246"/>
    <w:pPr>
      <w:spacing w:before="40" w:line="240" w:lineRule="auto"/>
      <w:ind w:left="1134"/>
    </w:pPr>
  </w:style>
  <w:style w:type="paragraph" w:customStyle="1" w:styleId="SubsectionHead">
    <w:name w:val="SubsectionHead"/>
    <w:aliases w:val="ssh"/>
    <w:basedOn w:val="OPCParaBase"/>
    <w:next w:val="subsection"/>
    <w:rsid w:val="00A92246"/>
    <w:pPr>
      <w:keepNext/>
      <w:keepLines/>
      <w:spacing w:before="240" w:line="240" w:lineRule="auto"/>
      <w:ind w:left="1134"/>
    </w:pPr>
    <w:rPr>
      <w:i/>
    </w:rPr>
  </w:style>
  <w:style w:type="paragraph" w:customStyle="1" w:styleId="Tablea">
    <w:name w:val="Table(a)"/>
    <w:aliases w:val="ta"/>
    <w:basedOn w:val="OPCParaBase"/>
    <w:rsid w:val="00A92246"/>
    <w:pPr>
      <w:spacing w:before="60" w:line="240" w:lineRule="auto"/>
      <w:ind w:left="284" w:hanging="284"/>
    </w:pPr>
    <w:rPr>
      <w:sz w:val="20"/>
    </w:rPr>
  </w:style>
  <w:style w:type="paragraph" w:customStyle="1" w:styleId="TableAA">
    <w:name w:val="Table(AA)"/>
    <w:aliases w:val="taaa"/>
    <w:basedOn w:val="OPCParaBase"/>
    <w:rsid w:val="00A92246"/>
    <w:pPr>
      <w:tabs>
        <w:tab w:val="left" w:pos="-6543"/>
        <w:tab w:val="left" w:pos="-6260"/>
      </w:tabs>
      <w:spacing w:line="240" w:lineRule="exact"/>
      <w:ind w:left="1055" w:hanging="284"/>
    </w:pPr>
    <w:rPr>
      <w:sz w:val="20"/>
    </w:rPr>
  </w:style>
  <w:style w:type="paragraph" w:customStyle="1" w:styleId="Tablei">
    <w:name w:val="Table(i)"/>
    <w:aliases w:val="taa"/>
    <w:basedOn w:val="OPCParaBase"/>
    <w:rsid w:val="00A92246"/>
    <w:pPr>
      <w:tabs>
        <w:tab w:val="left" w:pos="-6543"/>
        <w:tab w:val="left" w:pos="-6260"/>
        <w:tab w:val="right" w:pos="970"/>
      </w:tabs>
      <w:spacing w:line="240" w:lineRule="exact"/>
      <w:ind w:left="828" w:hanging="284"/>
    </w:pPr>
    <w:rPr>
      <w:sz w:val="20"/>
    </w:rPr>
  </w:style>
  <w:style w:type="paragraph" w:customStyle="1" w:styleId="Tabletext">
    <w:name w:val="Tabletext"/>
    <w:aliases w:val="tt"/>
    <w:basedOn w:val="OPCParaBase"/>
    <w:rsid w:val="00A92246"/>
    <w:pPr>
      <w:spacing w:before="60" w:line="240" w:lineRule="atLeast"/>
    </w:pPr>
    <w:rPr>
      <w:sz w:val="20"/>
    </w:rPr>
  </w:style>
  <w:style w:type="paragraph" w:customStyle="1" w:styleId="TLPBoxTextnote">
    <w:name w:val="TLPBoxText(note"/>
    <w:aliases w:val="right)"/>
    <w:basedOn w:val="OPCParaBase"/>
    <w:rsid w:val="00A92246"/>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A92246"/>
    <w:pPr>
      <w:numPr>
        <w:numId w:val="11"/>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A92246"/>
    <w:pPr>
      <w:spacing w:before="122" w:line="198" w:lineRule="exact"/>
      <w:ind w:left="1985" w:hanging="851"/>
      <w:jc w:val="right"/>
    </w:pPr>
    <w:rPr>
      <w:sz w:val="18"/>
    </w:rPr>
  </w:style>
  <w:style w:type="paragraph" w:customStyle="1" w:styleId="TLPTableBullet">
    <w:name w:val="TLPTableBullet"/>
    <w:aliases w:val="ttb"/>
    <w:basedOn w:val="OPCParaBase"/>
    <w:rsid w:val="00A92246"/>
    <w:pPr>
      <w:spacing w:line="240" w:lineRule="exact"/>
      <w:ind w:left="284" w:hanging="284"/>
    </w:pPr>
    <w:rPr>
      <w:sz w:val="20"/>
    </w:rPr>
  </w:style>
  <w:style w:type="paragraph" w:styleId="TOC1">
    <w:name w:val="toc 1"/>
    <w:basedOn w:val="OPCParaBase"/>
    <w:next w:val="Normal"/>
    <w:uiPriority w:val="39"/>
    <w:unhideWhenUsed/>
    <w:rsid w:val="00A92246"/>
    <w:pPr>
      <w:keepNext/>
      <w:keepLines/>
      <w:tabs>
        <w:tab w:val="right" w:pos="8278"/>
      </w:tabs>
      <w:spacing w:before="120" w:line="240" w:lineRule="auto"/>
      <w:ind w:left="1474" w:right="567" w:hanging="1474"/>
    </w:pPr>
    <w:rPr>
      <w:b/>
      <w:kern w:val="28"/>
      <w:sz w:val="28"/>
    </w:rPr>
  </w:style>
  <w:style w:type="paragraph" w:styleId="TOC2">
    <w:name w:val="toc 2"/>
    <w:basedOn w:val="OPCParaBase"/>
    <w:next w:val="Normal"/>
    <w:uiPriority w:val="39"/>
    <w:unhideWhenUsed/>
    <w:rsid w:val="00A92246"/>
    <w:pPr>
      <w:keepNext/>
      <w:keepLines/>
      <w:tabs>
        <w:tab w:val="right" w:pos="8278"/>
      </w:tabs>
      <w:spacing w:before="120" w:line="240" w:lineRule="auto"/>
      <w:ind w:left="879" w:right="567" w:hanging="879"/>
    </w:pPr>
    <w:rPr>
      <w:b/>
      <w:kern w:val="28"/>
      <w:sz w:val="24"/>
    </w:rPr>
  </w:style>
  <w:style w:type="paragraph" w:styleId="TOC3">
    <w:name w:val="toc 3"/>
    <w:basedOn w:val="OPCParaBase"/>
    <w:next w:val="Normal"/>
    <w:uiPriority w:val="39"/>
    <w:semiHidden/>
    <w:unhideWhenUsed/>
    <w:rsid w:val="00A92246"/>
    <w:pPr>
      <w:keepNext/>
      <w:keepLines/>
      <w:tabs>
        <w:tab w:val="right" w:pos="8278"/>
      </w:tabs>
      <w:spacing w:before="80" w:line="240" w:lineRule="auto"/>
      <w:ind w:left="1604" w:right="567" w:hanging="1179"/>
    </w:pPr>
    <w:rPr>
      <w:b/>
      <w:kern w:val="28"/>
    </w:rPr>
  </w:style>
  <w:style w:type="paragraph" w:styleId="TOC4">
    <w:name w:val="toc 4"/>
    <w:basedOn w:val="OPCParaBase"/>
    <w:next w:val="Normal"/>
    <w:uiPriority w:val="39"/>
    <w:semiHidden/>
    <w:unhideWhenUsed/>
    <w:rsid w:val="00A92246"/>
    <w:pPr>
      <w:keepLines/>
      <w:tabs>
        <w:tab w:val="right" w:pos="8278"/>
      </w:tabs>
      <w:spacing w:before="80" w:line="240" w:lineRule="auto"/>
      <w:ind w:left="2183" w:right="567" w:hanging="1332"/>
    </w:pPr>
    <w:rPr>
      <w:b/>
      <w:kern w:val="28"/>
      <w:sz w:val="20"/>
    </w:rPr>
  </w:style>
  <w:style w:type="paragraph" w:styleId="TOC5">
    <w:name w:val="toc 5"/>
    <w:basedOn w:val="OPCParaBase"/>
    <w:next w:val="Normal"/>
    <w:uiPriority w:val="39"/>
    <w:unhideWhenUsed/>
    <w:rsid w:val="00A92246"/>
    <w:pPr>
      <w:keepLines/>
      <w:tabs>
        <w:tab w:val="right" w:leader="dot" w:pos="8278"/>
      </w:tabs>
      <w:spacing w:before="40" w:line="240" w:lineRule="auto"/>
      <w:ind w:left="2098" w:right="567" w:hanging="680"/>
    </w:pPr>
    <w:rPr>
      <w:kern w:val="28"/>
      <w:sz w:val="18"/>
    </w:rPr>
  </w:style>
  <w:style w:type="paragraph" w:styleId="TOC6">
    <w:name w:val="toc 6"/>
    <w:basedOn w:val="OPCParaBase"/>
    <w:next w:val="Normal"/>
    <w:uiPriority w:val="39"/>
    <w:unhideWhenUsed/>
    <w:rsid w:val="00A92246"/>
    <w:pPr>
      <w:keepLines/>
      <w:tabs>
        <w:tab w:val="right" w:pos="8278"/>
      </w:tabs>
      <w:spacing w:before="120" w:line="240" w:lineRule="auto"/>
      <w:ind w:left="1344" w:right="567" w:hanging="1344"/>
    </w:pPr>
    <w:rPr>
      <w:b/>
      <w:kern w:val="28"/>
      <w:sz w:val="24"/>
    </w:rPr>
  </w:style>
  <w:style w:type="paragraph" w:styleId="TOC7">
    <w:name w:val="toc 7"/>
    <w:basedOn w:val="OPCParaBase"/>
    <w:next w:val="Normal"/>
    <w:uiPriority w:val="39"/>
    <w:semiHidden/>
    <w:unhideWhenUsed/>
    <w:rsid w:val="00A92246"/>
    <w:pPr>
      <w:keepLines/>
      <w:tabs>
        <w:tab w:val="right" w:pos="8278"/>
      </w:tabs>
      <w:spacing w:before="120" w:line="240" w:lineRule="auto"/>
      <w:ind w:left="1253" w:right="567" w:hanging="828"/>
    </w:pPr>
    <w:rPr>
      <w:kern w:val="28"/>
      <w:sz w:val="24"/>
    </w:rPr>
  </w:style>
  <w:style w:type="paragraph" w:styleId="TOC8">
    <w:name w:val="toc 8"/>
    <w:basedOn w:val="OPCParaBase"/>
    <w:next w:val="Normal"/>
    <w:uiPriority w:val="39"/>
    <w:semiHidden/>
    <w:unhideWhenUsed/>
    <w:rsid w:val="00A92246"/>
    <w:pPr>
      <w:keepLines/>
      <w:tabs>
        <w:tab w:val="right" w:pos="8278"/>
      </w:tabs>
      <w:spacing w:before="80" w:line="240" w:lineRule="auto"/>
      <w:ind w:left="1900" w:right="567" w:hanging="1049"/>
    </w:pPr>
    <w:rPr>
      <w:kern w:val="28"/>
      <w:sz w:val="20"/>
    </w:rPr>
  </w:style>
  <w:style w:type="paragraph" w:styleId="TOC9">
    <w:name w:val="toc 9"/>
    <w:basedOn w:val="OPCParaBase"/>
    <w:next w:val="Normal"/>
    <w:uiPriority w:val="39"/>
    <w:unhideWhenUsed/>
    <w:rsid w:val="00A92246"/>
    <w:pPr>
      <w:keepLines/>
      <w:tabs>
        <w:tab w:val="right" w:pos="8278"/>
      </w:tabs>
      <w:spacing w:before="80" w:line="240" w:lineRule="auto"/>
      <w:ind w:left="851" w:right="567"/>
    </w:pPr>
    <w:rPr>
      <w:i/>
      <w:kern w:val="28"/>
      <w:sz w:val="20"/>
    </w:rPr>
  </w:style>
  <w:style w:type="paragraph" w:customStyle="1" w:styleId="TofSectsGroupHeading">
    <w:name w:val="TofSects(GroupHeading)"/>
    <w:basedOn w:val="OPCParaBase"/>
    <w:next w:val="TofSectsSection"/>
    <w:rsid w:val="00A92246"/>
    <w:pPr>
      <w:keepLines/>
      <w:spacing w:before="240" w:after="120" w:line="240" w:lineRule="auto"/>
      <w:ind w:left="794"/>
    </w:pPr>
    <w:rPr>
      <w:b/>
      <w:kern w:val="28"/>
      <w:sz w:val="20"/>
    </w:rPr>
  </w:style>
  <w:style w:type="paragraph" w:customStyle="1" w:styleId="TofSectsHeading">
    <w:name w:val="TofSects(Heading)"/>
    <w:basedOn w:val="OPCParaBase"/>
    <w:rsid w:val="00A92246"/>
    <w:pPr>
      <w:spacing w:before="240" w:after="120" w:line="240" w:lineRule="auto"/>
    </w:pPr>
    <w:rPr>
      <w:b/>
      <w:sz w:val="24"/>
    </w:rPr>
  </w:style>
  <w:style w:type="paragraph" w:customStyle="1" w:styleId="TofSectsSection">
    <w:name w:val="TofSects(Section)"/>
    <w:basedOn w:val="OPCParaBase"/>
    <w:rsid w:val="00A92246"/>
    <w:pPr>
      <w:keepLines/>
      <w:spacing w:before="40" w:line="240" w:lineRule="auto"/>
      <w:ind w:left="1588" w:hanging="794"/>
    </w:pPr>
    <w:rPr>
      <w:kern w:val="28"/>
      <w:sz w:val="18"/>
    </w:rPr>
  </w:style>
  <w:style w:type="paragraph" w:customStyle="1" w:styleId="TofSectsSubdiv">
    <w:name w:val="TofSects(Subdiv)"/>
    <w:basedOn w:val="OPCParaBase"/>
    <w:rsid w:val="00A92246"/>
    <w:pPr>
      <w:keepLines/>
      <w:spacing w:before="80" w:line="240" w:lineRule="auto"/>
      <w:ind w:left="1588" w:hanging="794"/>
    </w:pPr>
    <w:rPr>
      <w:kern w:val="28"/>
    </w:rPr>
  </w:style>
  <w:style w:type="paragraph" w:customStyle="1" w:styleId="WRStyle">
    <w:name w:val="WR Style"/>
    <w:aliases w:val="WR"/>
    <w:basedOn w:val="OPCParaBase"/>
    <w:rsid w:val="00A92246"/>
    <w:pPr>
      <w:spacing w:before="240" w:line="240" w:lineRule="auto"/>
      <w:ind w:left="284" w:hanging="284"/>
    </w:pPr>
    <w:rPr>
      <w:b/>
      <w:i/>
      <w:kern w:val="28"/>
      <w:sz w:val="24"/>
    </w:rPr>
  </w:style>
  <w:style w:type="paragraph" w:customStyle="1" w:styleId="notepara">
    <w:name w:val="note(para)"/>
    <w:aliases w:val="na"/>
    <w:basedOn w:val="OPCParaBase"/>
    <w:rsid w:val="00A92246"/>
    <w:pPr>
      <w:spacing w:before="40" w:line="198" w:lineRule="exact"/>
      <w:ind w:left="2354" w:hanging="369"/>
    </w:pPr>
    <w:rPr>
      <w:sz w:val="18"/>
    </w:rPr>
  </w:style>
  <w:style w:type="paragraph" w:styleId="Footer">
    <w:name w:val="footer"/>
    <w:link w:val="FooterChar"/>
    <w:rsid w:val="00A92246"/>
    <w:pPr>
      <w:tabs>
        <w:tab w:val="center" w:pos="4153"/>
        <w:tab w:val="right" w:pos="8306"/>
      </w:tabs>
    </w:pPr>
    <w:rPr>
      <w:rFonts w:eastAsia="Times New Roman" w:cs="Times New Roman"/>
      <w:sz w:val="22"/>
      <w:szCs w:val="24"/>
      <w:lang w:eastAsia="en-AU"/>
    </w:rPr>
  </w:style>
  <w:style w:type="character" w:customStyle="1" w:styleId="FooterChar">
    <w:name w:val="Footer Char"/>
    <w:basedOn w:val="DefaultParagraphFont"/>
    <w:link w:val="Footer"/>
    <w:rsid w:val="00A92246"/>
    <w:rPr>
      <w:rFonts w:eastAsia="Times New Roman" w:cs="Times New Roman"/>
      <w:sz w:val="22"/>
      <w:szCs w:val="24"/>
      <w:lang w:eastAsia="en-AU"/>
    </w:rPr>
  </w:style>
  <w:style w:type="character" w:styleId="LineNumber">
    <w:name w:val="line number"/>
    <w:basedOn w:val="OPCCharBase"/>
    <w:uiPriority w:val="99"/>
    <w:semiHidden/>
    <w:unhideWhenUsed/>
    <w:rsid w:val="00A92246"/>
    <w:rPr>
      <w:sz w:val="16"/>
    </w:rPr>
  </w:style>
  <w:style w:type="table" w:customStyle="1" w:styleId="CFlag">
    <w:name w:val="CFlag"/>
    <w:basedOn w:val="TableNormal"/>
    <w:uiPriority w:val="99"/>
    <w:rsid w:val="00A92246"/>
    <w:rPr>
      <w:rFonts w:eastAsia="Times New Roman" w:cs="Times New Roman"/>
      <w:lang w:eastAsia="en-AU"/>
    </w:rPr>
    <w:tblPr/>
  </w:style>
  <w:style w:type="paragraph" w:styleId="BalloonText">
    <w:name w:val="Balloon Text"/>
    <w:basedOn w:val="Normal"/>
    <w:link w:val="BalloonTextChar"/>
    <w:uiPriority w:val="99"/>
    <w:semiHidden/>
    <w:unhideWhenUsed/>
    <w:rsid w:val="00A9224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246"/>
    <w:rPr>
      <w:rFonts w:ascii="Tahoma" w:hAnsi="Tahoma" w:cs="Tahoma"/>
      <w:sz w:val="16"/>
      <w:szCs w:val="16"/>
    </w:rPr>
  </w:style>
  <w:style w:type="table" w:styleId="TableGrid">
    <w:name w:val="Table Grid"/>
    <w:basedOn w:val="TableNormal"/>
    <w:uiPriority w:val="59"/>
    <w:rsid w:val="00A92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No">
    <w:name w:val="InstNo"/>
    <w:basedOn w:val="OPCParaBase"/>
    <w:next w:val="Normal"/>
    <w:rsid w:val="00A92246"/>
    <w:rPr>
      <w:b/>
      <w:sz w:val="28"/>
      <w:szCs w:val="32"/>
    </w:rPr>
  </w:style>
  <w:style w:type="paragraph" w:customStyle="1" w:styleId="LegislationMadeUnder">
    <w:name w:val="LegislationMadeUnder"/>
    <w:basedOn w:val="OPCParaBase"/>
    <w:next w:val="Normal"/>
    <w:rsid w:val="00A92246"/>
    <w:rPr>
      <w:i/>
      <w:sz w:val="32"/>
      <w:szCs w:val="32"/>
    </w:rPr>
  </w:style>
  <w:style w:type="paragraph" w:customStyle="1" w:styleId="SignCoverPageEnd">
    <w:name w:val="SignCoverPageEnd"/>
    <w:basedOn w:val="OPCParaBase"/>
    <w:next w:val="Normal"/>
    <w:rsid w:val="00A92246"/>
    <w:pPr>
      <w:keepNext/>
      <w:pBdr>
        <w:bottom w:val="single" w:sz="4" w:space="12" w:color="auto"/>
      </w:pBdr>
      <w:tabs>
        <w:tab w:val="left" w:pos="3402"/>
      </w:tabs>
      <w:spacing w:line="300" w:lineRule="atLeast"/>
      <w:ind w:right="397"/>
    </w:pPr>
  </w:style>
  <w:style w:type="paragraph" w:customStyle="1" w:styleId="SignCoverPageStart">
    <w:name w:val="SignCoverPageStart"/>
    <w:basedOn w:val="OPCParaBase"/>
    <w:next w:val="Normal"/>
    <w:rsid w:val="00A92246"/>
    <w:pPr>
      <w:pBdr>
        <w:top w:val="single" w:sz="4" w:space="1" w:color="auto"/>
      </w:pBdr>
      <w:spacing w:before="360"/>
      <w:ind w:right="397"/>
      <w:jc w:val="both"/>
    </w:pPr>
  </w:style>
  <w:style w:type="paragraph" w:customStyle="1" w:styleId="NotesHeading1">
    <w:name w:val="NotesHeading 1"/>
    <w:basedOn w:val="OPCParaBase"/>
    <w:next w:val="Normal"/>
    <w:rsid w:val="00A92246"/>
    <w:pPr>
      <w:outlineLvl w:val="0"/>
    </w:pPr>
    <w:rPr>
      <w:b/>
      <w:sz w:val="28"/>
      <w:szCs w:val="28"/>
    </w:rPr>
  </w:style>
  <w:style w:type="paragraph" w:customStyle="1" w:styleId="NotesHeading2">
    <w:name w:val="NotesHeading 2"/>
    <w:basedOn w:val="OPCParaBase"/>
    <w:next w:val="Normal"/>
    <w:rsid w:val="00A92246"/>
    <w:rPr>
      <w:b/>
      <w:sz w:val="28"/>
      <w:szCs w:val="28"/>
    </w:rPr>
  </w:style>
  <w:style w:type="paragraph" w:customStyle="1" w:styleId="ENotesText">
    <w:name w:val="ENotesText"/>
    <w:aliases w:val="Ent"/>
    <w:basedOn w:val="OPCParaBase"/>
    <w:next w:val="Normal"/>
    <w:rsid w:val="00A92246"/>
    <w:pPr>
      <w:spacing w:before="120"/>
    </w:pPr>
  </w:style>
  <w:style w:type="paragraph" w:customStyle="1" w:styleId="CompiledActNo">
    <w:name w:val="CompiledActNo"/>
    <w:basedOn w:val="OPCParaBase"/>
    <w:next w:val="Normal"/>
    <w:rsid w:val="00A92246"/>
    <w:rPr>
      <w:b/>
      <w:sz w:val="24"/>
      <w:szCs w:val="24"/>
    </w:rPr>
  </w:style>
  <w:style w:type="paragraph" w:customStyle="1" w:styleId="CompiledMadeUnder">
    <w:name w:val="CompiledMadeUnder"/>
    <w:basedOn w:val="OPCParaBase"/>
    <w:next w:val="Normal"/>
    <w:rsid w:val="00A92246"/>
    <w:rPr>
      <w:i/>
      <w:sz w:val="24"/>
      <w:szCs w:val="24"/>
    </w:rPr>
  </w:style>
  <w:style w:type="paragraph" w:customStyle="1" w:styleId="Paragraphsub-sub-sub">
    <w:name w:val="Paragraph(sub-sub-sub)"/>
    <w:aliases w:val="aaaa"/>
    <w:basedOn w:val="OPCParaBase"/>
    <w:rsid w:val="00A92246"/>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A92246"/>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A92246"/>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A92246"/>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A92246"/>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A92246"/>
    <w:pPr>
      <w:spacing w:before="60" w:line="240" w:lineRule="auto"/>
    </w:pPr>
    <w:rPr>
      <w:rFonts w:cs="Arial"/>
      <w:sz w:val="20"/>
      <w:szCs w:val="22"/>
    </w:rPr>
  </w:style>
  <w:style w:type="paragraph" w:customStyle="1" w:styleId="NoteToSubpara">
    <w:name w:val="NoteToSubpara"/>
    <w:aliases w:val="nts"/>
    <w:basedOn w:val="OPCParaBase"/>
    <w:rsid w:val="00A92246"/>
    <w:pPr>
      <w:spacing w:before="40" w:line="198" w:lineRule="exact"/>
      <w:ind w:left="2835" w:hanging="709"/>
    </w:pPr>
    <w:rPr>
      <w:sz w:val="18"/>
    </w:rPr>
  </w:style>
  <w:style w:type="paragraph" w:customStyle="1" w:styleId="ENoteTableHeading">
    <w:name w:val="ENoteTableHeading"/>
    <w:aliases w:val="enth"/>
    <w:basedOn w:val="OPCParaBase"/>
    <w:rsid w:val="00A92246"/>
    <w:pPr>
      <w:keepNext/>
      <w:spacing w:before="60" w:line="240" w:lineRule="atLeast"/>
    </w:pPr>
    <w:rPr>
      <w:rFonts w:ascii="Arial" w:hAnsi="Arial"/>
      <w:b/>
      <w:sz w:val="16"/>
    </w:rPr>
  </w:style>
  <w:style w:type="paragraph" w:customStyle="1" w:styleId="ENoteTTi">
    <w:name w:val="ENoteTTi"/>
    <w:aliases w:val="entti"/>
    <w:basedOn w:val="OPCParaBase"/>
    <w:rsid w:val="00A92246"/>
    <w:pPr>
      <w:keepNext/>
      <w:spacing w:before="60" w:line="240" w:lineRule="atLeast"/>
      <w:ind w:left="170"/>
    </w:pPr>
    <w:rPr>
      <w:sz w:val="16"/>
    </w:rPr>
  </w:style>
  <w:style w:type="paragraph" w:customStyle="1" w:styleId="ENotesHeading1">
    <w:name w:val="ENotesHeading 1"/>
    <w:aliases w:val="Enh1"/>
    <w:basedOn w:val="OPCParaBase"/>
    <w:next w:val="Normal"/>
    <w:rsid w:val="00A92246"/>
    <w:pPr>
      <w:spacing w:before="120"/>
      <w:outlineLvl w:val="1"/>
    </w:pPr>
    <w:rPr>
      <w:b/>
      <w:sz w:val="28"/>
      <w:szCs w:val="28"/>
    </w:rPr>
  </w:style>
  <w:style w:type="paragraph" w:customStyle="1" w:styleId="ENotesHeading2">
    <w:name w:val="ENotesHeading 2"/>
    <w:aliases w:val="Enh2"/>
    <w:basedOn w:val="OPCParaBase"/>
    <w:next w:val="Normal"/>
    <w:rsid w:val="00A92246"/>
    <w:pPr>
      <w:spacing w:before="120" w:after="120"/>
      <w:outlineLvl w:val="2"/>
    </w:pPr>
    <w:rPr>
      <w:b/>
      <w:sz w:val="24"/>
      <w:szCs w:val="28"/>
    </w:rPr>
  </w:style>
  <w:style w:type="paragraph" w:customStyle="1" w:styleId="ENoteTTIndentHeading">
    <w:name w:val="ENoteTTIndentHeading"/>
    <w:aliases w:val="enTTHi"/>
    <w:basedOn w:val="OPCParaBase"/>
    <w:rsid w:val="00A92246"/>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A92246"/>
    <w:pPr>
      <w:spacing w:before="60" w:line="240" w:lineRule="atLeast"/>
    </w:pPr>
    <w:rPr>
      <w:sz w:val="16"/>
    </w:rPr>
  </w:style>
  <w:style w:type="paragraph" w:customStyle="1" w:styleId="MadeunderText">
    <w:name w:val="MadeunderText"/>
    <w:basedOn w:val="OPCParaBase"/>
    <w:next w:val="CompiledMadeUnder"/>
    <w:rsid w:val="00A92246"/>
    <w:pPr>
      <w:spacing w:before="240"/>
    </w:pPr>
    <w:rPr>
      <w:sz w:val="24"/>
      <w:szCs w:val="24"/>
    </w:rPr>
  </w:style>
  <w:style w:type="paragraph" w:customStyle="1" w:styleId="ENotesHeading3">
    <w:name w:val="ENotesHeading 3"/>
    <w:aliases w:val="Enh3"/>
    <w:basedOn w:val="OPCParaBase"/>
    <w:next w:val="Normal"/>
    <w:rsid w:val="00A92246"/>
    <w:pPr>
      <w:keepNext/>
      <w:spacing w:before="120" w:line="240" w:lineRule="auto"/>
      <w:outlineLvl w:val="4"/>
    </w:pPr>
    <w:rPr>
      <w:b/>
      <w:szCs w:val="24"/>
    </w:rPr>
  </w:style>
  <w:style w:type="character" w:customStyle="1" w:styleId="CharSubPartTextCASA">
    <w:name w:val="CharSubPartText(CASA)"/>
    <w:basedOn w:val="OPCCharBase"/>
    <w:uiPriority w:val="1"/>
    <w:rsid w:val="00A92246"/>
  </w:style>
  <w:style w:type="character" w:customStyle="1" w:styleId="CharSubPartNoCASA">
    <w:name w:val="CharSubPartNo(CASA)"/>
    <w:basedOn w:val="OPCCharBase"/>
    <w:uiPriority w:val="1"/>
    <w:rsid w:val="00A92246"/>
  </w:style>
  <w:style w:type="paragraph" w:customStyle="1" w:styleId="ENoteTTIndentHeadingSub">
    <w:name w:val="ENoteTTIndentHeadingSub"/>
    <w:aliases w:val="enTTHis"/>
    <w:basedOn w:val="OPCParaBase"/>
    <w:rsid w:val="00A92246"/>
    <w:pPr>
      <w:keepNext/>
      <w:spacing w:before="60" w:line="240" w:lineRule="atLeast"/>
      <w:ind w:left="340"/>
    </w:pPr>
    <w:rPr>
      <w:b/>
      <w:sz w:val="16"/>
    </w:rPr>
  </w:style>
  <w:style w:type="paragraph" w:customStyle="1" w:styleId="ENoteTTiSub">
    <w:name w:val="ENoteTTiSub"/>
    <w:aliases w:val="enttis"/>
    <w:basedOn w:val="OPCParaBase"/>
    <w:rsid w:val="00A92246"/>
    <w:pPr>
      <w:keepNext/>
      <w:spacing w:before="60" w:line="240" w:lineRule="atLeast"/>
      <w:ind w:left="340"/>
    </w:pPr>
    <w:rPr>
      <w:sz w:val="16"/>
    </w:rPr>
  </w:style>
  <w:style w:type="paragraph" w:customStyle="1" w:styleId="SubDivisionMigration">
    <w:name w:val="SubDivisionMigration"/>
    <w:aliases w:val="sdm"/>
    <w:basedOn w:val="OPCParaBase"/>
    <w:rsid w:val="00A92246"/>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A92246"/>
    <w:pPr>
      <w:keepNext/>
      <w:keepLines/>
      <w:spacing w:before="240" w:line="240" w:lineRule="auto"/>
      <w:ind w:left="1134" w:hanging="1134"/>
    </w:pPr>
    <w:rPr>
      <w:b/>
      <w:sz w:val="28"/>
    </w:rPr>
  </w:style>
  <w:style w:type="paragraph" w:customStyle="1" w:styleId="notetext">
    <w:name w:val="note(text)"/>
    <w:aliases w:val="n"/>
    <w:basedOn w:val="OPCParaBase"/>
    <w:link w:val="notetextChar"/>
    <w:rsid w:val="00A92246"/>
    <w:pPr>
      <w:spacing w:before="122" w:line="240" w:lineRule="auto"/>
      <w:ind w:left="1985" w:hanging="851"/>
    </w:pPr>
    <w:rPr>
      <w:sz w:val="18"/>
    </w:rPr>
  </w:style>
  <w:style w:type="paragraph" w:customStyle="1" w:styleId="FreeForm">
    <w:name w:val="FreeForm"/>
    <w:rsid w:val="006D0FBB"/>
    <w:rPr>
      <w:rFonts w:ascii="Arial" w:hAnsi="Arial"/>
      <w:sz w:val="22"/>
    </w:rPr>
  </w:style>
  <w:style w:type="paragraph" w:customStyle="1" w:styleId="SOText">
    <w:name w:val="SO Text"/>
    <w:aliases w:val="sot"/>
    <w:link w:val="SOTextChar"/>
    <w:rsid w:val="00A92246"/>
    <w:pPr>
      <w:pBdr>
        <w:top w:val="single" w:sz="6" w:space="5" w:color="auto"/>
        <w:left w:val="single" w:sz="6" w:space="5" w:color="auto"/>
        <w:bottom w:val="single" w:sz="6" w:space="5" w:color="auto"/>
        <w:right w:val="single" w:sz="6" w:space="5" w:color="auto"/>
      </w:pBdr>
      <w:spacing w:before="240"/>
      <w:ind w:left="1134"/>
    </w:pPr>
    <w:rPr>
      <w:sz w:val="22"/>
    </w:rPr>
  </w:style>
  <w:style w:type="character" w:customStyle="1" w:styleId="SOTextChar">
    <w:name w:val="SO Text Char"/>
    <w:aliases w:val="sot Char"/>
    <w:basedOn w:val="DefaultParagraphFont"/>
    <w:link w:val="SOText"/>
    <w:rsid w:val="00A92246"/>
    <w:rPr>
      <w:sz w:val="22"/>
    </w:rPr>
  </w:style>
  <w:style w:type="paragraph" w:customStyle="1" w:styleId="SOTextNote">
    <w:name w:val="SO TextNote"/>
    <w:aliases w:val="sont"/>
    <w:basedOn w:val="SOText"/>
    <w:qFormat/>
    <w:rsid w:val="00A92246"/>
    <w:pPr>
      <w:spacing w:before="122" w:line="198" w:lineRule="exact"/>
      <w:ind w:left="1843" w:hanging="709"/>
    </w:pPr>
    <w:rPr>
      <w:sz w:val="18"/>
    </w:rPr>
  </w:style>
  <w:style w:type="paragraph" w:customStyle="1" w:styleId="SOPara">
    <w:name w:val="SO Para"/>
    <w:aliases w:val="soa"/>
    <w:basedOn w:val="SOText"/>
    <w:link w:val="SOParaChar"/>
    <w:qFormat/>
    <w:rsid w:val="00A92246"/>
    <w:pPr>
      <w:tabs>
        <w:tab w:val="right" w:pos="1786"/>
      </w:tabs>
      <w:spacing w:before="40"/>
      <w:ind w:left="2070" w:hanging="936"/>
    </w:pPr>
  </w:style>
  <w:style w:type="character" w:customStyle="1" w:styleId="SOParaChar">
    <w:name w:val="SO Para Char"/>
    <w:aliases w:val="soa Char"/>
    <w:basedOn w:val="DefaultParagraphFont"/>
    <w:link w:val="SOPara"/>
    <w:rsid w:val="00A92246"/>
    <w:rPr>
      <w:sz w:val="22"/>
    </w:rPr>
  </w:style>
  <w:style w:type="paragraph" w:customStyle="1" w:styleId="FileName">
    <w:name w:val="FileName"/>
    <w:basedOn w:val="Normal"/>
    <w:rsid w:val="00A92246"/>
  </w:style>
  <w:style w:type="paragraph" w:customStyle="1" w:styleId="TableHeading">
    <w:name w:val="TableHeading"/>
    <w:aliases w:val="th"/>
    <w:basedOn w:val="OPCParaBase"/>
    <w:next w:val="Tabletext"/>
    <w:rsid w:val="00A92246"/>
    <w:pPr>
      <w:keepNext/>
      <w:spacing w:before="60" w:line="240" w:lineRule="atLeast"/>
    </w:pPr>
    <w:rPr>
      <w:b/>
      <w:sz w:val="20"/>
    </w:rPr>
  </w:style>
  <w:style w:type="paragraph" w:customStyle="1" w:styleId="SOHeadBold">
    <w:name w:val="SO HeadBold"/>
    <w:aliases w:val="sohb"/>
    <w:basedOn w:val="SOText"/>
    <w:next w:val="SOText"/>
    <w:link w:val="SOHeadBoldChar"/>
    <w:qFormat/>
    <w:rsid w:val="00A92246"/>
    <w:rPr>
      <w:b/>
    </w:rPr>
  </w:style>
  <w:style w:type="character" w:customStyle="1" w:styleId="SOHeadBoldChar">
    <w:name w:val="SO HeadBold Char"/>
    <w:aliases w:val="sohb Char"/>
    <w:basedOn w:val="DefaultParagraphFont"/>
    <w:link w:val="SOHeadBold"/>
    <w:rsid w:val="00A92246"/>
    <w:rPr>
      <w:b/>
      <w:sz w:val="22"/>
    </w:rPr>
  </w:style>
  <w:style w:type="paragraph" w:customStyle="1" w:styleId="SOHeadItalic">
    <w:name w:val="SO HeadItalic"/>
    <w:aliases w:val="sohi"/>
    <w:basedOn w:val="SOText"/>
    <w:next w:val="SOText"/>
    <w:link w:val="SOHeadItalicChar"/>
    <w:qFormat/>
    <w:rsid w:val="00A92246"/>
    <w:rPr>
      <w:i/>
    </w:rPr>
  </w:style>
  <w:style w:type="character" w:customStyle="1" w:styleId="SOHeadItalicChar">
    <w:name w:val="SO HeadItalic Char"/>
    <w:aliases w:val="sohi Char"/>
    <w:basedOn w:val="DefaultParagraphFont"/>
    <w:link w:val="SOHeadItalic"/>
    <w:rsid w:val="00A92246"/>
    <w:rPr>
      <w:i/>
      <w:sz w:val="22"/>
    </w:rPr>
  </w:style>
  <w:style w:type="paragraph" w:customStyle="1" w:styleId="SOBullet">
    <w:name w:val="SO Bullet"/>
    <w:aliases w:val="sotb"/>
    <w:basedOn w:val="SOText"/>
    <w:link w:val="SOBulletChar"/>
    <w:qFormat/>
    <w:rsid w:val="00A92246"/>
    <w:pPr>
      <w:ind w:left="1559" w:hanging="425"/>
    </w:pPr>
  </w:style>
  <w:style w:type="character" w:customStyle="1" w:styleId="SOBulletChar">
    <w:name w:val="SO Bullet Char"/>
    <w:aliases w:val="sotb Char"/>
    <w:basedOn w:val="DefaultParagraphFont"/>
    <w:link w:val="SOBullet"/>
    <w:rsid w:val="00A92246"/>
    <w:rPr>
      <w:sz w:val="22"/>
    </w:rPr>
  </w:style>
  <w:style w:type="paragraph" w:customStyle="1" w:styleId="SOBulletNote">
    <w:name w:val="SO BulletNote"/>
    <w:aliases w:val="sonb"/>
    <w:basedOn w:val="SOTextNote"/>
    <w:link w:val="SOBulletNoteChar"/>
    <w:qFormat/>
    <w:rsid w:val="00A92246"/>
    <w:pPr>
      <w:tabs>
        <w:tab w:val="left" w:pos="1560"/>
      </w:tabs>
      <w:ind w:left="2268" w:hanging="1134"/>
    </w:pPr>
  </w:style>
  <w:style w:type="character" w:customStyle="1" w:styleId="SOBulletNoteChar">
    <w:name w:val="SO BulletNote Char"/>
    <w:aliases w:val="sonb Char"/>
    <w:basedOn w:val="DefaultParagraphFont"/>
    <w:link w:val="SOBulletNote"/>
    <w:rsid w:val="00A92246"/>
    <w:rPr>
      <w:sz w:val="18"/>
    </w:rPr>
  </w:style>
  <w:style w:type="paragraph" w:customStyle="1" w:styleId="SOText2">
    <w:name w:val="SO Text2"/>
    <w:aliases w:val="sot2"/>
    <w:basedOn w:val="Normal"/>
    <w:next w:val="SOText"/>
    <w:link w:val="SOText2Char"/>
    <w:rsid w:val="00A92246"/>
    <w:pPr>
      <w:pBdr>
        <w:top w:val="single" w:sz="6" w:space="5" w:color="auto"/>
        <w:left w:val="single" w:sz="6" w:space="5" w:color="auto"/>
        <w:bottom w:val="single" w:sz="6" w:space="5" w:color="auto"/>
        <w:right w:val="single" w:sz="6" w:space="5" w:color="auto"/>
      </w:pBdr>
      <w:spacing w:before="40" w:line="240" w:lineRule="auto"/>
      <w:ind w:left="1134"/>
    </w:pPr>
  </w:style>
  <w:style w:type="character" w:customStyle="1" w:styleId="SOText2Char">
    <w:name w:val="SO Text2 Char"/>
    <w:aliases w:val="sot2 Char"/>
    <w:basedOn w:val="DefaultParagraphFont"/>
    <w:link w:val="SOText2"/>
    <w:rsid w:val="00A92246"/>
    <w:rPr>
      <w:sz w:val="22"/>
    </w:rPr>
  </w:style>
  <w:style w:type="paragraph" w:customStyle="1" w:styleId="SubPartCASA">
    <w:name w:val="SubPart(CASA)"/>
    <w:aliases w:val="csp"/>
    <w:basedOn w:val="OPCParaBase"/>
    <w:next w:val="ActHead3"/>
    <w:rsid w:val="00A92246"/>
    <w:pPr>
      <w:keepNext/>
      <w:keepLines/>
      <w:spacing w:before="280"/>
      <w:ind w:left="1134" w:hanging="1134"/>
      <w:outlineLvl w:val="1"/>
    </w:pPr>
    <w:rPr>
      <w:b/>
      <w:kern w:val="28"/>
      <w:sz w:val="32"/>
    </w:rPr>
  </w:style>
  <w:style w:type="character" w:customStyle="1" w:styleId="subsectionChar">
    <w:name w:val="subsection Char"/>
    <w:aliases w:val="ss Char"/>
    <w:basedOn w:val="DefaultParagraphFont"/>
    <w:link w:val="subsection"/>
    <w:locked/>
    <w:rsid w:val="00755452"/>
    <w:rPr>
      <w:rFonts w:eastAsia="Times New Roman" w:cs="Times New Roman"/>
      <w:sz w:val="22"/>
      <w:lang w:eastAsia="en-AU"/>
    </w:rPr>
  </w:style>
  <w:style w:type="character" w:customStyle="1" w:styleId="notetextChar">
    <w:name w:val="note(text) Char"/>
    <w:aliases w:val="n Char"/>
    <w:basedOn w:val="DefaultParagraphFont"/>
    <w:link w:val="notetext"/>
    <w:rsid w:val="00755452"/>
    <w:rPr>
      <w:rFonts w:eastAsia="Times New Roman" w:cs="Times New Roman"/>
      <w:sz w:val="18"/>
      <w:lang w:eastAsia="en-AU"/>
    </w:rPr>
  </w:style>
  <w:style w:type="character" w:customStyle="1" w:styleId="Heading1Char">
    <w:name w:val="Heading 1 Char"/>
    <w:basedOn w:val="DefaultParagraphFont"/>
    <w:link w:val="Heading1"/>
    <w:rsid w:val="007554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554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5452"/>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sid w:val="00755452"/>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755452"/>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rsid w:val="00755452"/>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755452"/>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75545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55452"/>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footer" Target="footer15.xml"/><Relationship Id="rId3" Type="http://schemas.microsoft.com/office/2007/relationships/stylesWithEffects" Target="stylesWithEffects.xml"/><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footer" Target="footer1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footer" Target="footer12.xml"/><Relationship Id="rId38" Type="http://schemas.openxmlformats.org/officeDocument/2006/relationships/header" Target="header1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1.xml"/><Relationship Id="rId41" Type="http://schemas.openxmlformats.org/officeDocument/2006/relationships/header" Target="header17.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header" Target="header13.xml"/><Relationship Id="rId37" Type="http://schemas.openxmlformats.org/officeDocument/2006/relationships/header" Target="header15.xml"/><Relationship Id="rId40"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4.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Instruments\inst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inst_new.dotx</Template>
  <TotalTime>0</TotalTime>
  <Pages>11</Pages>
  <Words>1608</Words>
  <Characters>8556</Characters>
  <Application>Microsoft Office Word</Application>
  <DocSecurity>0</DocSecurity>
  <PresentationFormat/>
  <Lines>570</Lines>
  <Paragraphs>241</Paragraphs>
  <ScaleCrop>false</ScaleCrop>
  <HeadingPairs>
    <vt:vector size="2" baseType="variant">
      <vt:variant>
        <vt:lpstr>Title</vt:lpstr>
      </vt:variant>
      <vt:variant>
        <vt:i4>1</vt:i4>
      </vt:variant>
    </vt:vector>
  </HeadingPairs>
  <TitlesOfParts>
    <vt:vector size="1" baseType="lpstr">
      <vt:lpstr>Military Rehabilitation and Compensation (Non_x001e_warlike Service) Determination 2016 (No. 1)</vt:lpstr>
    </vt:vector>
  </TitlesOfParts>
  <Manager/>
  <Company/>
  <LinksUpToDate>false</LinksUpToDate>
  <CharactersWithSpaces>9923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2016-01-20T02:57:00Z</cp:lastPrinted>
  <dcterms:created xsi:type="dcterms:W3CDTF">2016-06-02T23:55:00Z</dcterms:created>
  <dcterms:modified xsi:type="dcterms:W3CDTF">2016-06-02T23:56:00Z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No">
    <vt:lpwstr/>
  </property>
  <property fmtid="{D5CDD505-2E9C-101B-9397-08002B2CF9AE}" pid="3" name="ShortT">
    <vt:lpwstr>Military Rehabilitation and Compensation (Non_x001e_warlike Service) Determination 2016 (No. 1)</vt:lpwstr>
  </property>
  <property fmtid="{D5CDD505-2E9C-101B-9397-08002B2CF9AE}" pid="4" name="Class">
    <vt:lpwstr>Determination</vt:lpwstr>
  </property>
  <property fmtid="{D5CDD505-2E9C-101B-9397-08002B2CF9AE}" pid="5" name="Type">
    <vt:lpwstr>LI</vt:lpwstr>
  </property>
  <property fmtid="{D5CDD505-2E9C-101B-9397-08002B2CF9AE}" pid="6" name="DocType">
    <vt:lpwstr>AMD</vt:lpwstr>
  </property>
  <property fmtid="{D5CDD505-2E9C-101B-9397-08002B2CF9AE}" pid="7" name="Exco">
    <vt:lpwstr>Yes</vt:lpwstr>
  </property>
  <property fmtid="{D5CDD505-2E9C-101B-9397-08002B2CF9AE}" pid="8" name="Authority">
    <vt:lpwstr>Governor-General of the Commonwealth of Australia</vt:lpwstr>
  </property>
  <property fmtid="{D5CDD505-2E9C-101B-9397-08002B2CF9AE}" pid="9" name="ID">
    <vt:lpwstr>OPC61833</vt:lpwstr>
  </property>
  <property fmtid="{D5CDD505-2E9C-101B-9397-08002B2CF9AE}" pid="10" name="Classification">
    <vt:lpwstr> </vt:lpwstr>
  </property>
  <property fmtid="{D5CDD505-2E9C-101B-9397-08002B2CF9AE}" pid="11" name="DLM">
    <vt:lpwstr> </vt:lpwstr>
  </property>
  <property fmtid="{D5CDD505-2E9C-101B-9397-08002B2CF9AE}" pid="12" name="ActMadeUnder">
    <vt:lpwstr>Military Rehabilitation and Compensation Act 2004</vt:lpwstr>
  </property>
  <property fmtid="{D5CDD505-2E9C-101B-9397-08002B2CF9AE}" pid="13" name="NonLegInst">
    <vt:lpwstr>0</vt:lpwstr>
  </property>
  <property fmtid="{D5CDD505-2E9C-101B-9397-08002B2CF9AE}" pid="14" name="Header">
    <vt:lpwstr>Section</vt:lpwstr>
  </property>
  <property fmtid="{D5CDD505-2E9C-101B-9397-08002B2CF9AE}" pid="15" name="Number">
    <vt:lpwstr>D</vt:lpwstr>
  </property>
  <property fmtid="{D5CDD505-2E9C-101B-9397-08002B2CF9AE}" pid="16" name="CounterSign">
    <vt:lpwstr>Parliamentary Secretary to the Minister for Defence</vt:lpwstr>
  </property>
  <property fmtid="{D5CDD505-2E9C-101B-9397-08002B2CF9AE}" pid="17" name="DateMade">
    <vt:lpwstr>4 May 2016</vt:lpwstr>
  </property>
</Properties>
</file>