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A7B" w:rsidRDefault="00222A7B" w:rsidP="00222A7B">
      <w:pPr>
        <w:rPr>
          <w:sz w:val="28"/>
        </w:rPr>
      </w:pPr>
      <w:r>
        <w:rPr>
          <w:noProof/>
          <w:lang w:eastAsia="en-AU"/>
        </w:rPr>
        <w:drawing>
          <wp:inline distT="0" distB="0" distL="0" distR="0" wp14:anchorId="682DA36A" wp14:editId="39E31B0F">
            <wp:extent cx="1419225" cy="1104900"/>
            <wp:effectExtent l="0" t="0" r="9525" b="0"/>
            <wp:docPr id="5" name="Picture 5"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222A7B" w:rsidRPr="00D03A1F" w:rsidRDefault="00222A7B" w:rsidP="00222A7B">
      <w:pPr>
        <w:spacing w:before="240"/>
        <w:rPr>
          <w:b/>
          <w:sz w:val="40"/>
          <w:szCs w:val="40"/>
        </w:rPr>
      </w:pPr>
      <w:r>
        <w:rPr>
          <w:b/>
          <w:sz w:val="40"/>
          <w:szCs w:val="40"/>
        </w:rPr>
        <w:t xml:space="preserve">Statement of Principles concerning malignant neoplasm of the oesophagus </w:t>
      </w:r>
      <w:r w:rsidRPr="00F4777C">
        <w:rPr>
          <w:b/>
          <w:sz w:val="40"/>
          <w:szCs w:val="40"/>
        </w:rPr>
        <w:t>(Reasonable Hypothesis) (No.</w:t>
      </w:r>
      <w:r>
        <w:rPr>
          <w:b/>
          <w:sz w:val="40"/>
          <w:szCs w:val="40"/>
        </w:rPr>
        <w:t xml:space="preserve"> 120 of 2015</w:t>
      </w:r>
      <w:r w:rsidRPr="00F4777C">
        <w:rPr>
          <w:b/>
          <w:sz w:val="40"/>
          <w:szCs w:val="40"/>
        </w:rPr>
        <w:t>)</w:t>
      </w:r>
    </w:p>
    <w:p w:rsidR="00222A7B" w:rsidRPr="00BC3AE3" w:rsidRDefault="00222A7B" w:rsidP="00222A7B">
      <w:pPr>
        <w:pStyle w:val="MadeunderText"/>
      </w:pPr>
      <w:r w:rsidRPr="00BC3AE3">
        <w:t>made under</w:t>
      </w:r>
      <w:r>
        <w:t xml:space="preserve"> subsection 196B(2) of the</w:t>
      </w:r>
    </w:p>
    <w:p w:rsidR="00222A7B" w:rsidRPr="00F22885" w:rsidRDefault="00222A7B" w:rsidP="00222A7B">
      <w:pPr>
        <w:pStyle w:val="CompiledMadeUnder"/>
        <w:spacing w:before="240"/>
      </w:pPr>
      <w:r>
        <w:t xml:space="preserve">Veterans' Entitlements Act </w:t>
      </w:r>
      <w:r w:rsidRPr="002E317F">
        <w:t>1986</w:t>
      </w:r>
    </w:p>
    <w:p w:rsidR="00222A7B" w:rsidRPr="003E7949" w:rsidRDefault="00222A7B" w:rsidP="00222A7B">
      <w:pPr>
        <w:spacing w:before="1000"/>
        <w:rPr>
          <w:rFonts w:cs="Arial"/>
          <w:sz w:val="24"/>
          <w:szCs w:val="24"/>
        </w:rPr>
      </w:pPr>
      <w:r w:rsidRPr="00042EA7">
        <w:rPr>
          <w:rFonts w:cs="Arial"/>
          <w:b/>
          <w:sz w:val="32"/>
          <w:szCs w:val="32"/>
        </w:rPr>
        <w:t>Compilation No.</w:t>
      </w:r>
      <w:r>
        <w:rPr>
          <w:rFonts w:cs="Arial"/>
          <w:b/>
          <w:sz w:val="32"/>
          <w:szCs w:val="32"/>
        </w:rPr>
        <w:t xml:space="preserve"> 1</w:t>
      </w:r>
      <w:r>
        <w:rPr>
          <w:rFonts w:cs="Arial"/>
          <w:b/>
          <w:sz w:val="32"/>
          <w:szCs w:val="32"/>
        </w:rPr>
        <w:tab/>
      </w:r>
      <w:r>
        <w:rPr>
          <w:rFonts w:cs="Arial"/>
          <w:b/>
          <w:sz w:val="32"/>
          <w:szCs w:val="32"/>
        </w:rPr>
        <w:tab/>
      </w:r>
    </w:p>
    <w:p w:rsidR="00222A7B" w:rsidRPr="00567687" w:rsidRDefault="00222A7B" w:rsidP="00222A7B">
      <w:pPr>
        <w:spacing w:before="480"/>
        <w:rPr>
          <w:rFonts w:cs="Arial"/>
          <w:sz w:val="24"/>
        </w:rPr>
      </w:pPr>
      <w:r w:rsidRPr="00642BE4">
        <w:rPr>
          <w:rFonts w:cs="Arial"/>
          <w:b/>
          <w:sz w:val="24"/>
        </w:rPr>
        <w:t>Compilation date:</w:t>
      </w:r>
      <w:r w:rsidR="00567687">
        <w:rPr>
          <w:rFonts w:cs="Arial"/>
          <w:b/>
          <w:sz w:val="24"/>
        </w:rPr>
        <w:tab/>
      </w:r>
      <w:r>
        <w:rPr>
          <w:rFonts w:cs="Arial"/>
          <w:b/>
          <w:sz w:val="24"/>
        </w:rPr>
        <w:tab/>
      </w:r>
      <w:r>
        <w:rPr>
          <w:rFonts w:cs="Arial"/>
          <w:b/>
          <w:sz w:val="24"/>
        </w:rPr>
        <w:tab/>
      </w:r>
      <w:r>
        <w:rPr>
          <w:rFonts w:cs="Arial"/>
          <w:b/>
          <w:sz w:val="24"/>
        </w:rPr>
        <w:tab/>
      </w:r>
      <w:r w:rsidR="00777B0B">
        <w:rPr>
          <w:rFonts w:cs="Arial"/>
          <w:b/>
          <w:sz w:val="24"/>
        </w:rPr>
        <w:t xml:space="preserve"> </w:t>
      </w:r>
      <w:r w:rsidR="00567687">
        <w:rPr>
          <w:rFonts w:cs="Arial"/>
          <w:b/>
          <w:sz w:val="24"/>
        </w:rPr>
        <w:tab/>
      </w:r>
      <w:r w:rsidR="00567687">
        <w:rPr>
          <w:rFonts w:cs="Arial"/>
          <w:b/>
          <w:sz w:val="24"/>
        </w:rPr>
        <w:tab/>
        <w:t xml:space="preserve">                            </w:t>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Pr>
          <w:rFonts w:cs="Arial"/>
          <w:b/>
          <w:sz w:val="24"/>
        </w:rPr>
        <w:tab/>
      </w:r>
      <w:r w:rsidR="00567687" w:rsidRPr="00567687">
        <w:rPr>
          <w:rFonts w:cs="Arial"/>
          <w:sz w:val="24"/>
        </w:rPr>
        <w:t>23 January 2017</w:t>
      </w:r>
    </w:p>
    <w:p w:rsidR="00222A7B" w:rsidRPr="009C58C8" w:rsidRDefault="00222A7B" w:rsidP="00222A7B">
      <w:pPr>
        <w:spacing w:before="240"/>
        <w:ind w:left="3544" w:hanging="3544"/>
        <w:rPr>
          <w:rFonts w:cs="Arial"/>
          <w:sz w:val="24"/>
        </w:rPr>
      </w:pPr>
      <w:r w:rsidRPr="00642BE4">
        <w:rPr>
          <w:rFonts w:cs="Arial"/>
          <w:b/>
          <w:sz w:val="24"/>
        </w:rPr>
        <w:t>Includes amendments up to:</w:t>
      </w:r>
      <w:r w:rsidRPr="00642BE4">
        <w:rPr>
          <w:rFonts w:cs="Arial"/>
          <w:b/>
          <w:sz w:val="24"/>
        </w:rPr>
        <w:tab/>
      </w:r>
      <w:r w:rsidRPr="00F22480">
        <w:rPr>
          <w:rFonts w:cs="Arial"/>
          <w:sz w:val="24"/>
        </w:rPr>
        <w:t>Amendment Statement of Principles concerning</w:t>
      </w:r>
      <w:r>
        <w:rPr>
          <w:rFonts w:cs="Arial"/>
          <w:sz w:val="24"/>
        </w:rPr>
        <w:t xml:space="preserve"> malignant neoplasm of the oesophagus (</w:t>
      </w:r>
      <w:r w:rsidRPr="009C58C8">
        <w:rPr>
          <w:rFonts w:cs="Arial"/>
          <w:sz w:val="24"/>
        </w:rPr>
        <w:t xml:space="preserve">Reasonable Hypothesis) No. </w:t>
      </w:r>
      <w:r w:rsidR="00567687" w:rsidRPr="009C58C8">
        <w:rPr>
          <w:rFonts w:cs="Arial"/>
          <w:sz w:val="24"/>
        </w:rPr>
        <w:t>21</w:t>
      </w:r>
      <w:r w:rsidRPr="009C58C8">
        <w:rPr>
          <w:rFonts w:cs="Arial"/>
          <w:sz w:val="24"/>
        </w:rPr>
        <w:t xml:space="preserve"> of </w:t>
      </w:r>
      <w:r w:rsidR="00567687" w:rsidRPr="009C58C8">
        <w:rPr>
          <w:rFonts w:cs="Arial"/>
          <w:sz w:val="24"/>
        </w:rPr>
        <w:t>2017</w:t>
      </w:r>
      <w:r w:rsidRPr="009C58C8">
        <w:rPr>
          <w:rFonts w:cs="Arial"/>
          <w:sz w:val="24"/>
        </w:rPr>
        <w:t xml:space="preserve"> (</w:t>
      </w:r>
      <w:r w:rsidR="00567687" w:rsidRPr="009C58C8">
        <w:rPr>
          <w:rFonts w:cs="Arial"/>
          <w:sz w:val="24"/>
        </w:rPr>
        <w:t>F2017</w:t>
      </w:r>
      <w:r w:rsidRPr="009C58C8">
        <w:rPr>
          <w:rFonts w:cs="Arial"/>
          <w:sz w:val="24"/>
        </w:rPr>
        <w:t>L</w:t>
      </w:r>
      <w:r w:rsidR="00567687" w:rsidRPr="009C58C8">
        <w:rPr>
          <w:rFonts w:cs="Arial"/>
          <w:sz w:val="24"/>
        </w:rPr>
        <w:t>00018</w:t>
      </w:r>
      <w:r w:rsidRPr="009C58C8">
        <w:rPr>
          <w:rFonts w:cs="Arial"/>
          <w:sz w:val="24"/>
        </w:rPr>
        <w:t>)</w:t>
      </w:r>
    </w:p>
    <w:p w:rsidR="00222A7B" w:rsidRPr="009C58C8" w:rsidRDefault="00222A7B" w:rsidP="00222A7B">
      <w:pPr>
        <w:spacing w:before="240"/>
        <w:rPr>
          <w:rFonts w:cs="Arial"/>
          <w:sz w:val="24"/>
        </w:rPr>
      </w:pPr>
      <w:r w:rsidRPr="009C58C8">
        <w:rPr>
          <w:rFonts w:cs="Arial"/>
          <w:sz w:val="24"/>
        </w:rPr>
        <w:t xml:space="preserve">The day of commencement of this Amendment Statement of Principles concerning malignant neoplasm of the oesophagus is </w:t>
      </w:r>
      <w:r w:rsidR="00567687" w:rsidRPr="009C58C8">
        <w:rPr>
          <w:rFonts w:cs="Arial"/>
          <w:sz w:val="24"/>
        </w:rPr>
        <w:t>23 January 2017</w:t>
      </w:r>
      <w:r w:rsidRPr="009C58C8">
        <w:rPr>
          <w:rFonts w:cs="Arial"/>
          <w:sz w:val="24"/>
        </w:rPr>
        <w:t>.</w:t>
      </w:r>
    </w:p>
    <w:p w:rsidR="00222A7B" w:rsidRPr="009C58C8" w:rsidRDefault="00222A7B" w:rsidP="00222A7B">
      <w:pPr>
        <w:spacing w:before="240"/>
        <w:rPr>
          <w:rFonts w:cs="Arial"/>
          <w:sz w:val="24"/>
        </w:rPr>
      </w:pPr>
    </w:p>
    <w:p w:rsidR="00222A7B" w:rsidRPr="00C27148" w:rsidRDefault="00222A7B" w:rsidP="00222A7B">
      <w:pPr>
        <w:pageBreakBefore/>
        <w:rPr>
          <w:rFonts w:cs="Arial"/>
          <w:b/>
          <w:sz w:val="32"/>
          <w:szCs w:val="32"/>
        </w:rPr>
      </w:pPr>
      <w:r w:rsidRPr="00C27148">
        <w:rPr>
          <w:rFonts w:cs="Arial"/>
          <w:b/>
          <w:sz w:val="32"/>
          <w:szCs w:val="32"/>
        </w:rPr>
        <w:lastRenderedPageBreak/>
        <w:t>About this compilation</w:t>
      </w:r>
    </w:p>
    <w:p w:rsidR="00222A7B" w:rsidRDefault="00222A7B" w:rsidP="00222A7B">
      <w:pPr>
        <w:spacing w:after="120"/>
        <w:rPr>
          <w:rFonts w:cs="Arial"/>
          <w:szCs w:val="22"/>
        </w:rPr>
      </w:pPr>
    </w:p>
    <w:p w:rsidR="00222A7B" w:rsidRPr="00042EA7" w:rsidRDefault="00222A7B" w:rsidP="00222A7B">
      <w:pPr>
        <w:spacing w:before="240"/>
        <w:rPr>
          <w:rFonts w:cs="Arial"/>
        </w:rPr>
      </w:pPr>
      <w:r w:rsidRPr="00042EA7">
        <w:rPr>
          <w:rFonts w:cs="Arial"/>
          <w:b/>
          <w:szCs w:val="22"/>
        </w:rPr>
        <w:t>This compilation</w:t>
      </w:r>
    </w:p>
    <w:p w:rsidR="00222A7B" w:rsidRPr="00042EA7" w:rsidRDefault="00222A7B" w:rsidP="00222A7B">
      <w:pPr>
        <w:spacing w:before="120" w:after="120"/>
        <w:rPr>
          <w:rFonts w:cs="Arial"/>
          <w:szCs w:val="22"/>
        </w:rPr>
      </w:pPr>
      <w:r w:rsidRPr="00042EA7">
        <w:rPr>
          <w:rFonts w:cs="Arial"/>
          <w:szCs w:val="22"/>
        </w:rPr>
        <w:t>This is a compilation of the</w:t>
      </w:r>
      <w:r>
        <w:rPr>
          <w:rFonts w:cs="Arial"/>
          <w:szCs w:val="22"/>
        </w:rPr>
        <w:t xml:space="preserve"> </w:t>
      </w:r>
      <w:r w:rsidRPr="00222A7B">
        <w:rPr>
          <w:rFonts w:cs="Arial"/>
          <w:i/>
          <w:szCs w:val="22"/>
        </w:rPr>
        <w:t xml:space="preserve">Statement of Principles concerning malignant neoplasm of the oesophagus </w:t>
      </w:r>
      <w:r w:rsidR="00567687">
        <w:rPr>
          <w:rFonts w:cs="Arial"/>
          <w:i/>
          <w:szCs w:val="22"/>
        </w:rPr>
        <w:t>No.120 of 2015</w:t>
      </w:r>
      <w:r>
        <w:rPr>
          <w:rFonts w:cs="Arial"/>
          <w:i/>
          <w:color w:val="FF0000"/>
          <w:szCs w:val="22"/>
        </w:rPr>
        <w:t xml:space="preserve"> </w:t>
      </w:r>
      <w:r w:rsidRPr="00042EA7">
        <w:rPr>
          <w:rFonts w:cs="Arial"/>
          <w:szCs w:val="22"/>
        </w:rPr>
        <w:t xml:space="preserve">that shows the text of the law as amended and in force on </w:t>
      </w:r>
      <w:r w:rsidR="00567687">
        <w:rPr>
          <w:rFonts w:cs="Arial"/>
          <w:szCs w:val="22"/>
        </w:rPr>
        <w:t>23 January 2017</w:t>
      </w:r>
      <w:r w:rsidRPr="00042EA7">
        <w:rPr>
          <w:rFonts w:cs="Arial"/>
          <w:szCs w:val="22"/>
        </w:rPr>
        <w:t>.</w:t>
      </w:r>
    </w:p>
    <w:p w:rsidR="00222A7B" w:rsidRPr="00042EA7" w:rsidRDefault="00222A7B" w:rsidP="00222A7B">
      <w:pPr>
        <w:spacing w:after="120"/>
        <w:rPr>
          <w:rFonts w:cs="Arial"/>
          <w:szCs w:val="22"/>
        </w:rPr>
      </w:pPr>
      <w:r w:rsidRPr="00042EA7">
        <w:rPr>
          <w:rFonts w:cs="Arial"/>
          <w:szCs w:val="22"/>
        </w:rPr>
        <w:t xml:space="preserve">The notes at the end of this compilation (the </w:t>
      </w:r>
      <w:r w:rsidRPr="00042EA7">
        <w:rPr>
          <w:rFonts w:cs="Arial"/>
          <w:b/>
          <w:i/>
          <w:szCs w:val="22"/>
        </w:rPr>
        <w:t>endnotes</w:t>
      </w:r>
      <w:r w:rsidRPr="00042EA7">
        <w:rPr>
          <w:rFonts w:cs="Arial"/>
          <w:szCs w:val="22"/>
        </w:rPr>
        <w:t>) include information about amending laws and the amendment history of provisions of the compiled law.</w:t>
      </w:r>
    </w:p>
    <w:p w:rsidR="00222A7B" w:rsidRPr="00042EA7" w:rsidRDefault="00222A7B" w:rsidP="00222A7B">
      <w:pPr>
        <w:tabs>
          <w:tab w:val="left" w:pos="5640"/>
        </w:tabs>
        <w:spacing w:before="120" w:after="120"/>
        <w:rPr>
          <w:rFonts w:cs="Arial"/>
          <w:b/>
          <w:szCs w:val="22"/>
        </w:rPr>
      </w:pPr>
      <w:r w:rsidRPr="00042EA7">
        <w:rPr>
          <w:rFonts w:cs="Arial"/>
          <w:b/>
          <w:szCs w:val="22"/>
        </w:rPr>
        <w:t>Uncommenced amendments</w:t>
      </w:r>
    </w:p>
    <w:p w:rsidR="00222A7B" w:rsidRPr="00042EA7" w:rsidRDefault="00222A7B" w:rsidP="00222A7B">
      <w:pPr>
        <w:spacing w:after="120"/>
        <w:rPr>
          <w:rFonts w:cs="Arial"/>
          <w:szCs w:val="22"/>
        </w:rPr>
      </w:pPr>
      <w:r w:rsidRPr="00042EA7">
        <w:rPr>
          <w:rFonts w:cs="Arial"/>
          <w:szCs w:val="22"/>
        </w:rPr>
        <w:t xml:space="preserve">The effect of uncommenced amendments is not shown in the text of the compiled law. Any uncommenced amendments affecting the law are accessible on </w:t>
      </w:r>
      <w:r>
        <w:rPr>
          <w:rFonts w:cs="Arial"/>
          <w:szCs w:val="22"/>
        </w:rPr>
        <w:t>the Legislation Register</w:t>
      </w:r>
      <w:r w:rsidRPr="00042EA7">
        <w:rPr>
          <w:rFonts w:cs="Arial"/>
          <w:szCs w:val="22"/>
        </w:rPr>
        <w:t xml:space="preserve"> (www.</w:t>
      </w:r>
      <w:r>
        <w:rPr>
          <w:rFonts w:cs="Arial"/>
          <w:szCs w:val="22"/>
        </w:rPr>
        <w:t>legislation</w:t>
      </w:r>
      <w:r w:rsidRPr="00042EA7">
        <w:rPr>
          <w:rFonts w:cs="Arial"/>
          <w:szCs w:val="22"/>
        </w:rPr>
        <w:t xml:space="preserve">.gov.au). The details of amendments made up to, but not commenced at, the compilation date are underlined in the endnotes. For more information on any uncommenced amendments, see the series page on </w:t>
      </w:r>
      <w:r>
        <w:rPr>
          <w:rFonts w:cs="Arial"/>
          <w:szCs w:val="22"/>
        </w:rPr>
        <w:t>the Legislation Register</w:t>
      </w:r>
      <w:r w:rsidRPr="00042EA7">
        <w:rPr>
          <w:rFonts w:cs="Arial"/>
          <w:szCs w:val="22"/>
        </w:rPr>
        <w:t xml:space="preserve"> for the compiled law.</w:t>
      </w:r>
    </w:p>
    <w:p w:rsidR="00222A7B" w:rsidRPr="00042EA7" w:rsidRDefault="00222A7B" w:rsidP="00222A7B">
      <w:pPr>
        <w:spacing w:before="120" w:after="120"/>
        <w:rPr>
          <w:rFonts w:cs="Arial"/>
          <w:b/>
          <w:szCs w:val="22"/>
        </w:rPr>
      </w:pPr>
      <w:r w:rsidRPr="00042EA7">
        <w:rPr>
          <w:rFonts w:cs="Arial"/>
          <w:b/>
          <w:szCs w:val="22"/>
        </w:rPr>
        <w:t>Application, saving and transitional provisions for provisions and amendments</w:t>
      </w:r>
    </w:p>
    <w:p w:rsidR="00222A7B" w:rsidRPr="00042EA7" w:rsidRDefault="00222A7B" w:rsidP="00222A7B">
      <w:pPr>
        <w:spacing w:after="120"/>
        <w:rPr>
          <w:rFonts w:cs="Arial"/>
          <w:szCs w:val="22"/>
        </w:rPr>
      </w:pPr>
      <w:r w:rsidRPr="00042EA7">
        <w:rPr>
          <w:rFonts w:cs="Arial"/>
          <w:szCs w:val="22"/>
        </w:rPr>
        <w:t>If the operation of a provision or amendment of the compiled law is affected by an application, saving or transitional provision that is not included in this compilation, details are included in the endnotes.</w:t>
      </w:r>
    </w:p>
    <w:p w:rsidR="00222A7B" w:rsidRPr="00042EA7" w:rsidRDefault="00222A7B" w:rsidP="00222A7B">
      <w:pPr>
        <w:spacing w:before="120" w:after="120"/>
        <w:rPr>
          <w:rFonts w:cs="Arial"/>
          <w:b/>
          <w:szCs w:val="22"/>
        </w:rPr>
      </w:pPr>
      <w:r w:rsidRPr="00042EA7">
        <w:rPr>
          <w:rFonts w:cs="Arial"/>
          <w:b/>
          <w:szCs w:val="22"/>
        </w:rPr>
        <w:t>Modifications</w:t>
      </w:r>
    </w:p>
    <w:p w:rsidR="00222A7B" w:rsidRPr="00042EA7" w:rsidRDefault="00222A7B" w:rsidP="00222A7B">
      <w:pPr>
        <w:spacing w:after="120"/>
        <w:rPr>
          <w:rFonts w:cs="Arial"/>
          <w:szCs w:val="22"/>
        </w:rPr>
      </w:pPr>
      <w:r w:rsidRPr="00042EA7">
        <w:rPr>
          <w:rFonts w:cs="Arial"/>
          <w:szCs w:val="22"/>
        </w:rPr>
        <w:t xml:space="preserve">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w:t>
      </w:r>
      <w:r>
        <w:rPr>
          <w:rFonts w:cs="Arial"/>
          <w:szCs w:val="22"/>
        </w:rPr>
        <w:t>the Legislation Register</w:t>
      </w:r>
      <w:r w:rsidRPr="00042EA7">
        <w:rPr>
          <w:rFonts w:cs="Arial"/>
          <w:szCs w:val="22"/>
        </w:rPr>
        <w:t xml:space="preserve"> for the compiled law.</w:t>
      </w:r>
    </w:p>
    <w:p w:rsidR="00222A7B" w:rsidRPr="00042EA7" w:rsidRDefault="00222A7B" w:rsidP="00222A7B">
      <w:pPr>
        <w:spacing w:before="80" w:after="120"/>
        <w:rPr>
          <w:rFonts w:cs="Arial"/>
          <w:b/>
          <w:szCs w:val="22"/>
        </w:rPr>
      </w:pPr>
      <w:r w:rsidRPr="00042EA7">
        <w:rPr>
          <w:rFonts w:cs="Arial"/>
          <w:b/>
          <w:szCs w:val="22"/>
        </w:rPr>
        <w:t>Self</w:t>
      </w:r>
      <w:r>
        <w:rPr>
          <w:rFonts w:cs="Arial"/>
          <w:b/>
          <w:szCs w:val="22"/>
        </w:rPr>
        <w:noBreakHyphen/>
      </w:r>
      <w:r w:rsidRPr="00042EA7">
        <w:rPr>
          <w:rFonts w:cs="Arial"/>
          <w:b/>
          <w:szCs w:val="22"/>
        </w:rPr>
        <w:t>repealing provisions</w:t>
      </w:r>
    </w:p>
    <w:p w:rsidR="00222A7B" w:rsidRPr="00BC57F4" w:rsidRDefault="00222A7B" w:rsidP="00222A7B">
      <w:pPr>
        <w:spacing w:after="120"/>
        <w:rPr>
          <w:rFonts w:cs="Arial"/>
        </w:rPr>
      </w:pPr>
      <w:r w:rsidRPr="00042EA7">
        <w:rPr>
          <w:rFonts w:cs="Arial"/>
          <w:szCs w:val="22"/>
        </w:rPr>
        <w:t>If a provision of the compiled law has been repealed in accordance with a provision of the law, details are included in the endnotes.</w:t>
      </w:r>
    </w:p>
    <w:p w:rsidR="00222A7B" w:rsidRDefault="00222A7B" w:rsidP="00222A7B"/>
    <w:p w:rsidR="00222A7B" w:rsidRPr="00ED79B6" w:rsidRDefault="00222A7B" w:rsidP="00222A7B"/>
    <w:p w:rsidR="00222A7B" w:rsidRDefault="00222A7B" w:rsidP="00222A7B">
      <w:pPr>
        <w:sectPr w:rsidR="00222A7B" w:rsidSect="00973736">
          <w:headerReference w:type="even" r:id="rId8"/>
          <w:footerReference w:type="even" r:id="rId9"/>
          <w:footerReference w:type="default" r:id="rId10"/>
          <w:headerReference w:type="first" r:id="rId11"/>
          <w:footerReference w:type="first" r:id="rId12"/>
          <w:pgSz w:w="11907" w:h="16839"/>
          <w:pgMar w:top="1440" w:right="1797" w:bottom="1440" w:left="1797" w:header="720" w:footer="3402" w:gutter="0"/>
          <w:cols w:space="708"/>
          <w:titlePg/>
          <w:docGrid w:linePitch="360"/>
        </w:sectPr>
      </w:pPr>
    </w:p>
    <w:p w:rsidR="00222A7B" w:rsidRDefault="00222A7B">
      <w:pPr>
        <w:spacing w:line="240" w:lineRule="auto"/>
        <w:rPr>
          <w:rFonts w:eastAsia="Times New Roman"/>
          <w:sz w:val="28"/>
          <w:szCs w:val="24"/>
          <w:lang w:eastAsia="en-AU"/>
        </w:rPr>
      </w:pPr>
    </w:p>
    <w:p w:rsidR="00222A7B" w:rsidRDefault="00222A7B" w:rsidP="00B37126">
      <w:pPr>
        <w:pStyle w:val="Plain"/>
        <w:jc w:val="center"/>
        <w:rPr>
          <w:sz w:val="28"/>
        </w:rPr>
      </w:pPr>
    </w:p>
    <w:p w:rsidR="00B37126" w:rsidRPr="00FA33FB" w:rsidRDefault="00B37126" w:rsidP="00B37126">
      <w:pPr>
        <w:pStyle w:val="Plain"/>
        <w:jc w:val="center"/>
        <w:rPr>
          <w:sz w:val="28"/>
        </w:rPr>
      </w:pPr>
      <w:r>
        <w:rPr>
          <w:noProof/>
        </w:rPr>
        <w:drawing>
          <wp:inline distT="0" distB="0" distL="0" distR="0" wp14:anchorId="5870F8F8" wp14:editId="010C2407">
            <wp:extent cx="1752600" cy="933450"/>
            <wp:effectExtent l="0" t="0" r="0" b="0"/>
            <wp:docPr id="1" name="Picture 1" descr="RM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A-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inline>
        </w:drawing>
      </w:r>
    </w:p>
    <w:p w:rsidR="00B37126" w:rsidRPr="00FA33FB" w:rsidRDefault="00B37126" w:rsidP="00B37126">
      <w:pPr>
        <w:rPr>
          <w:sz w:val="19"/>
        </w:rPr>
      </w:pPr>
    </w:p>
    <w:p w:rsidR="00715914" w:rsidRPr="00B37126" w:rsidRDefault="00715914" w:rsidP="000D4D03">
      <w:pPr>
        <w:pStyle w:val="Plain"/>
        <w:jc w:val="center"/>
        <w:rPr>
          <w:sz w:val="40"/>
          <w:szCs w:val="40"/>
        </w:rPr>
      </w:pPr>
    </w:p>
    <w:p w:rsidR="000F76FA" w:rsidRPr="00831C11" w:rsidRDefault="00E55F66" w:rsidP="00FE118D">
      <w:pPr>
        <w:pStyle w:val="Plainheader"/>
      </w:pPr>
      <w:r w:rsidRPr="00831C11">
        <w:t>Statement of Principles</w:t>
      </w:r>
    </w:p>
    <w:p w:rsidR="000F76FA" w:rsidRPr="00831C11" w:rsidRDefault="00EA5BE3" w:rsidP="00FE118D">
      <w:pPr>
        <w:pStyle w:val="Plainheader"/>
      </w:pPr>
      <w:r>
        <w:tab/>
      </w:r>
      <w:r w:rsidR="001F4BD4">
        <w:t>c</w:t>
      </w:r>
      <w:r w:rsidR="00E55F66" w:rsidRPr="00831C11">
        <w:t>oncerning</w:t>
      </w:r>
      <w:r>
        <w:tab/>
      </w:r>
    </w:p>
    <w:p w:rsidR="00DB7BB5" w:rsidRPr="00FE118D" w:rsidRDefault="00FE118D" w:rsidP="00FE118D">
      <w:pPr>
        <w:pStyle w:val="Plainheader"/>
      </w:pPr>
      <w:r w:rsidRPr="00FE118D">
        <w:t>MALIGNANT NEOPLASM OF THE OESOPHAGUS</w:t>
      </w:r>
    </w:p>
    <w:p w:rsidR="00ED501C" w:rsidRPr="00831C11" w:rsidRDefault="007C2AD3" w:rsidP="00FE118D">
      <w:pPr>
        <w:pStyle w:val="Plainheader"/>
      </w:pPr>
      <w:r>
        <w:t>(Reasonable Hypothesis)</w:t>
      </w:r>
    </w:p>
    <w:p w:rsidR="00715914" w:rsidRPr="00831C11" w:rsidRDefault="00E55F66" w:rsidP="00FE118D">
      <w:pPr>
        <w:pStyle w:val="Plainheader"/>
      </w:pPr>
      <w:r w:rsidRPr="00831C11">
        <w:t xml:space="preserve">(No. </w:t>
      </w:r>
      <w:r w:rsidR="00FF1580">
        <w:t>120</w:t>
      </w:r>
      <w:r w:rsidR="008140EB">
        <w:t xml:space="preserve"> </w:t>
      </w:r>
      <w:r w:rsidRPr="00831C11">
        <w:t>of</w:t>
      </w:r>
      <w:r w:rsidR="00085567" w:rsidRPr="00831C11">
        <w:t xml:space="preserve"> </w:t>
      </w:r>
      <w:bookmarkStart w:id="0" w:name="year"/>
      <w:r w:rsidR="001C6CFB">
        <w:t>2015</w:t>
      </w:r>
      <w:bookmarkEnd w:id="0"/>
      <w:r w:rsidRPr="00831C11">
        <w:t>)</w:t>
      </w:r>
    </w:p>
    <w:p w:rsidR="00F67B67" w:rsidRDefault="00F67B67" w:rsidP="007527C1">
      <w:pPr>
        <w:pStyle w:val="SignCoverPageStart"/>
        <w:ind w:right="-51"/>
        <w:jc w:val="left"/>
        <w:rPr>
          <w:sz w:val="24"/>
          <w:szCs w:val="24"/>
        </w:rPr>
      </w:pPr>
      <w:r w:rsidRPr="007527C1">
        <w:rPr>
          <w:sz w:val="24"/>
          <w:szCs w:val="24"/>
        </w:rPr>
        <w:t>The Repatriation Medical Authority determines the following Statement of Principles</w:t>
      </w:r>
      <w:r w:rsidR="007C2AD3">
        <w:rPr>
          <w:sz w:val="24"/>
          <w:szCs w:val="24"/>
        </w:rPr>
        <w:t xml:space="preserve"> </w:t>
      </w:r>
      <w:r w:rsidR="007C2AD3" w:rsidRPr="003176E8">
        <w:rPr>
          <w:sz w:val="24"/>
          <w:szCs w:val="24"/>
        </w:rPr>
        <w:t xml:space="preserve">under subsection 196B(2) of the </w:t>
      </w:r>
      <w:r w:rsidR="007C2AD3" w:rsidRPr="003176E8">
        <w:rPr>
          <w:i/>
          <w:sz w:val="24"/>
          <w:szCs w:val="24"/>
        </w:rPr>
        <w:t>Veterans’ Entitlements Act 1986</w:t>
      </w:r>
      <w:r w:rsidR="007C2AD3" w:rsidRPr="003176E8">
        <w:rPr>
          <w:sz w:val="24"/>
          <w:szCs w:val="24"/>
        </w:rPr>
        <w:t>.</w:t>
      </w:r>
    </w:p>
    <w:p w:rsidR="00F97A62" w:rsidRPr="00F97A62" w:rsidRDefault="00F97A62" w:rsidP="00F97A62">
      <w:pPr>
        <w:rPr>
          <w:lang w:eastAsia="en-AU"/>
        </w:rPr>
      </w:pPr>
    </w:p>
    <w:p w:rsidR="00262848" w:rsidRPr="007527C1" w:rsidRDefault="00262848" w:rsidP="00764D43">
      <w:pPr>
        <w:pStyle w:val="Plain"/>
      </w:pPr>
    </w:p>
    <w:p w:rsidR="00F67B67" w:rsidRPr="00FA33FB" w:rsidRDefault="00F67B67" w:rsidP="00F67B67"/>
    <w:p w:rsidR="00A137F8" w:rsidRDefault="00715914" w:rsidP="003734C6">
      <w:pPr>
        <w:pStyle w:val="Header"/>
        <w:tabs>
          <w:tab w:val="clear" w:pos="4150"/>
          <w:tab w:val="clear" w:pos="8307"/>
        </w:tabs>
        <w:rPr>
          <w:rStyle w:val="CharChapText"/>
        </w:rPr>
      </w:pPr>
      <w:r w:rsidRPr="00FA33FB">
        <w:rPr>
          <w:rStyle w:val="CharChapNo"/>
        </w:rPr>
        <w:t xml:space="preserve"> </w:t>
      </w:r>
      <w:r w:rsidRPr="00FA33FB">
        <w:rPr>
          <w:rStyle w:val="CharChapText"/>
        </w:rPr>
        <w:t xml:space="preserve"> </w:t>
      </w:r>
      <w:r w:rsidR="003734C6">
        <w:rPr>
          <w:rStyle w:val="CharChapText"/>
        </w:rPr>
        <w:br w:type="page"/>
      </w:r>
    </w:p>
    <w:p w:rsidR="00F67BCA" w:rsidRPr="00FA33FB" w:rsidRDefault="00715914" w:rsidP="00A137F8">
      <w:pPr>
        <w:pStyle w:val="Header"/>
        <w:tabs>
          <w:tab w:val="clear" w:pos="4150"/>
          <w:tab w:val="clear" w:pos="8307"/>
        </w:tabs>
        <w:spacing w:line="300" w:lineRule="exact"/>
        <w:rPr>
          <w:sz w:val="36"/>
        </w:rPr>
      </w:pPr>
      <w:r w:rsidRPr="00FA33FB">
        <w:rPr>
          <w:sz w:val="36"/>
        </w:rPr>
        <w:lastRenderedPageBreak/>
        <w:t>Contents</w:t>
      </w:r>
    </w:p>
    <w:bookmarkStart w:id="1" w:name="BKCheck15B_2"/>
    <w:bookmarkEnd w:id="1"/>
    <w:p w:rsidR="00EC7AE8" w:rsidRDefault="002A3436">
      <w:pPr>
        <w:pStyle w:val="TOC1"/>
        <w:tabs>
          <w:tab w:val="left" w:pos="1134"/>
        </w:tabs>
        <w:rPr>
          <w:rFonts w:asciiTheme="minorHAnsi" w:eastAsiaTheme="minorEastAsia" w:hAnsiTheme="minorHAnsi" w:cstheme="minorBidi"/>
          <w:noProof/>
          <w:kern w:val="0"/>
          <w:sz w:val="22"/>
          <w:szCs w:val="22"/>
        </w:rPr>
      </w:pPr>
      <w:r>
        <w:rPr>
          <w:b/>
          <w:sz w:val="18"/>
        </w:rPr>
        <w:fldChar w:fldCharType="begin"/>
      </w:r>
      <w:r>
        <w:rPr>
          <w:b/>
          <w:sz w:val="18"/>
        </w:rPr>
        <w:instrText xml:space="preserve"> TOC \o "3-9" \t "Heading 1,1,Heading 2,2,ActHead 1,1,ActHead 2,2,NotesHeading 1,1,ENotesHeading 1,2,SubPart(CASA),2,LV 1,1,SH 1,1,SH Header,6" </w:instrText>
      </w:r>
      <w:r>
        <w:rPr>
          <w:b/>
          <w:sz w:val="18"/>
        </w:rPr>
        <w:fldChar w:fldCharType="separate"/>
      </w:r>
      <w:r w:rsidR="00EC7AE8">
        <w:rPr>
          <w:noProof/>
        </w:rPr>
        <w:t>1</w:t>
      </w:r>
      <w:r w:rsidR="00EC7AE8">
        <w:rPr>
          <w:rFonts w:asciiTheme="minorHAnsi" w:eastAsiaTheme="minorEastAsia" w:hAnsiTheme="minorHAnsi" w:cstheme="minorBidi"/>
          <w:noProof/>
          <w:kern w:val="0"/>
          <w:sz w:val="22"/>
          <w:szCs w:val="22"/>
        </w:rPr>
        <w:tab/>
      </w:r>
      <w:r w:rsidR="00EC7AE8">
        <w:rPr>
          <w:noProof/>
        </w:rPr>
        <w:t>Name</w:t>
      </w:r>
      <w:r w:rsidR="00EC7AE8">
        <w:rPr>
          <w:noProof/>
        </w:rPr>
        <w:tab/>
      </w:r>
      <w:r w:rsidR="00EC7AE8">
        <w:rPr>
          <w:noProof/>
        </w:rPr>
        <w:fldChar w:fldCharType="begin"/>
      </w:r>
      <w:r w:rsidR="00EC7AE8">
        <w:rPr>
          <w:noProof/>
        </w:rPr>
        <w:instrText xml:space="preserve"> PAGEREF _Toc426035914 \h </w:instrText>
      </w:r>
      <w:r w:rsidR="00EC7AE8">
        <w:rPr>
          <w:noProof/>
        </w:rPr>
      </w:r>
      <w:r w:rsidR="00EC7AE8">
        <w:rPr>
          <w:noProof/>
        </w:rPr>
        <w:fldChar w:fldCharType="separate"/>
      </w:r>
      <w:r w:rsidR="009C58C8">
        <w:rPr>
          <w:noProof/>
        </w:rPr>
        <w:t>3</w:t>
      </w:r>
      <w:r w:rsidR="00EC7AE8">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2</w:t>
      </w:r>
      <w:r>
        <w:rPr>
          <w:rFonts w:asciiTheme="minorHAnsi" w:eastAsiaTheme="minorEastAsia" w:hAnsiTheme="minorHAnsi" w:cstheme="minorBidi"/>
          <w:noProof/>
          <w:kern w:val="0"/>
          <w:sz w:val="22"/>
          <w:szCs w:val="22"/>
        </w:rPr>
        <w:tab/>
      </w:r>
      <w:r>
        <w:rPr>
          <w:noProof/>
        </w:rPr>
        <w:t>Commencement</w:t>
      </w:r>
      <w:r>
        <w:rPr>
          <w:noProof/>
        </w:rPr>
        <w:tab/>
      </w:r>
      <w:r>
        <w:rPr>
          <w:noProof/>
        </w:rPr>
        <w:fldChar w:fldCharType="begin"/>
      </w:r>
      <w:r>
        <w:rPr>
          <w:noProof/>
        </w:rPr>
        <w:instrText xml:space="preserve"> PAGEREF _Toc426035915 \h </w:instrText>
      </w:r>
      <w:r>
        <w:rPr>
          <w:noProof/>
        </w:rPr>
      </w:r>
      <w:r>
        <w:rPr>
          <w:noProof/>
        </w:rPr>
        <w:fldChar w:fldCharType="separate"/>
      </w:r>
      <w:r w:rsidR="009C58C8">
        <w:rPr>
          <w:noProof/>
        </w:rPr>
        <w:t>3</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3</w:t>
      </w:r>
      <w:r>
        <w:rPr>
          <w:rFonts w:asciiTheme="minorHAnsi" w:eastAsiaTheme="minorEastAsia" w:hAnsiTheme="minorHAnsi" w:cstheme="minorBidi"/>
          <w:noProof/>
          <w:kern w:val="0"/>
          <w:sz w:val="22"/>
          <w:szCs w:val="22"/>
        </w:rPr>
        <w:tab/>
      </w:r>
      <w:r>
        <w:rPr>
          <w:noProof/>
        </w:rPr>
        <w:t>Authority</w:t>
      </w:r>
      <w:r>
        <w:rPr>
          <w:noProof/>
        </w:rPr>
        <w:tab/>
      </w:r>
      <w:r>
        <w:rPr>
          <w:noProof/>
        </w:rPr>
        <w:fldChar w:fldCharType="begin"/>
      </w:r>
      <w:r>
        <w:rPr>
          <w:noProof/>
        </w:rPr>
        <w:instrText xml:space="preserve"> PAGEREF _Toc426035916 \h </w:instrText>
      </w:r>
      <w:r>
        <w:rPr>
          <w:noProof/>
        </w:rPr>
      </w:r>
      <w:r>
        <w:rPr>
          <w:noProof/>
        </w:rPr>
        <w:fldChar w:fldCharType="separate"/>
      </w:r>
      <w:r w:rsidR="009C58C8">
        <w:rPr>
          <w:noProof/>
        </w:rPr>
        <w:t>3</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4</w:t>
      </w:r>
      <w:r>
        <w:rPr>
          <w:rFonts w:asciiTheme="minorHAnsi" w:eastAsiaTheme="minorEastAsia" w:hAnsiTheme="minorHAnsi" w:cstheme="minorBidi"/>
          <w:noProof/>
          <w:kern w:val="0"/>
          <w:sz w:val="22"/>
          <w:szCs w:val="22"/>
        </w:rPr>
        <w:tab/>
      </w:r>
      <w:r>
        <w:rPr>
          <w:noProof/>
        </w:rPr>
        <w:t>Revocation</w:t>
      </w:r>
      <w:r>
        <w:rPr>
          <w:noProof/>
        </w:rPr>
        <w:tab/>
      </w:r>
      <w:r>
        <w:rPr>
          <w:noProof/>
        </w:rPr>
        <w:fldChar w:fldCharType="begin"/>
      </w:r>
      <w:r>
        <w:rPr>
          <w:noProof/>
        </w:rPr>
        <w:instrText xml:space="preserve"> PAGEREF _Toc426035917 \h </w:instrText>
      </w:r>
      <w:r>
        <w:rPr>
          <w:noProof/>
        </w:rPr>
      </w:r>
      <w:r>
        <w:rPr>
          <w:noProof/>
        </w:rPr>
        <w:fldChar w:fldCharType="separate"/>
      </w:r>
      <w:r w:rsidR="009C58C8">
        <w:rPr>
          <w:noProof/>
        </w:rPr>
        <w:t>3</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5</w:t>
      </w:r>
      <w:r>
        <w:rPr>
          <w:rFonts w:asciiTheme="minorHAnsi" w:eastAsiaTheme="minorEastAsia" w:hAnsiTheme="minorHAnsi" w:cstheme="minorBidi"/>
          <w:noProof/>
          <w:kern w:val="0"/>
          <w:sz w:val="22"/>
          <w:szCs w:val="22"/>
        </w:rPr>
        <w:tab/>
      </w:r>
      <w:r>
        <w:rPr>
          <w:noProof/>
        </w:rPr>
        <w:t>Application</w:t>
      </w:r>
      <w:r>
        <w:rPr>
          <w:noProof/>
        </w:rPr>
        <w:tab/>
      </w:r>
      <w:r>
        <w:rPr>
          <w:noProof/>
        </w:rPr>
        <w:fldChar w:fldCharType="begin"/>
      </w:r>
      <w:r>
        <w:rPr>
          <w:noProof/>
        </w:rPr>
        <w:instrText xml:space="preserve"> PAGEREF _Toc426035918 \h </w:instrText>
      </w:r>
      <w:r>
        <w:rPr>
          <w:noProof/>
        </w:rPr>
      </w:r>
      <w:r>
        <w:rPr>
          <w:noProof/>
        </w:rPr>
        <w:fldChar w:fldCharType="separate"/>
      </w:r>
      <w:r w:rsidR="009C58C8">
        <w:rPr>
          <w:noProof/>
        </w:rPr>
        <w:t>3</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6</w:t>
      </w:r>
      <w:r>
        <w:rPr>
          <w:rFonts w:asciiTheme="minorHAnsi" w:eastAsiaTheme="minorEastAsia" w:hAnsiTheme="minorHAnsi" w:cstheme="minorBidi"/>
          <w:noProof/>
          <w:kern w:val="0"/>
          <w:sz w:val="22"/>
          <w:szCs w:val="22"/>
        </w:rPr>
        <w:tab/>
      </w:r>
      <w:r>
        <w:rPr>
          <w:noProof/>
        </w:rPr>
        <w:t>Definitions</w:t>
      </w:r>
      <w:r>
        <w:rPr>
          <w:noProof/>
        </w:rPr>
        <w:tab/>
      </w:r>
      <w:r>
        <w:rPr>
          <w:noProof/>
        </w:rPr>
        <w:fldChar w:fldCharType="begin"/>
      </w:r>
      <w:r>
        <w:rPr>
          <w:noProof/>
        </w:rPr>
        <w:instrText xml:space="preserve"> PAGEREF _Toc426035919 \h </w:instrText>
      </w:r>
      <w:r>
        <w:rPr>
          <w:noProof/>
        </w:rPr>
      </w:r>
      <w:r>
        <w:rPr>
          <w:noProof/>
        </w:rPr>
        <w:fldChar w:fldCharType="separate"/>
      </w:r>
      <w:r w:rsidR="009C58C8">
        <w:rPr>
          <w:noProof/>
        </w:rPr>
        <w:t>3</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Kind of injury, disease or death to which this Statement of Principles relates</w:t>
      </w:r>
      <w:r>
        <w:rPr>
          <w:noProof/>
        </w:rPr>
        <w:tab/>
      </w:r>
      <w:r>
        <w:rPr>
          <w:noProof/>
        </w:rPr>
        <w:fldChar w:fldCharType="begin"/>
      </w:r>
      <w:r>
        <w:rPr>
          <w:noProof/>
        </w:rPr>
        <w:instrText xml:space="preserve"> PAGEREF _Toc426035920 \h </w:instrText>
      </w:r>
      <w:r>
        <w:rPr>
          <w:noProof/>
        </w:rPr>
      </w:r>
      <w:r>
        <w:rPr>
          <w:noProof/>
        </w:rPr>
        <w:fldChar w:fldCharType="separate"/>
      </w:r>
      <w:r w:rsidR="009C58C8">
        <w:rPr>
          <w:noProof/>
        </w:rPr>
        <w:t>3</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8</w:t>
      </w:r>
      <w:r>
        <w:rPr>
          <w:rFonts w:asciiTheme="minorHAnsi" w:eastAsiaTheme="minorEastAsia" w:hAnsiTheme="minorHAnsi" w:cstheme="minorBidi"/>
          <w:noProof/>
          <w:kern w:val="0"/>
          <w:sz w:val="22"/>
          <w:szCs w:val="22"/>
        </w:rPr>
        <w:tab/>
      </w:r>
      <w:r>
        <w:rPr>
          <w:noProof/>
        </w:rPr>
        <w:t>Basis for determining the factors</w:t>
      </w:r>
      <w:r>
        <w:rPr>
          <w:noProof/>
        </w:rPr>
        <w:tab/>
      </w:r>
      <w:r>
        <w:rPr>
          <w:noProof/>
        </w:rPr>
        <w:fldChar w:fldCharType="begin"/>
      </w:r>
      <w:r>
        <w:rPr>
          <w:noProof/>
        </w:rPr>
        <w:instrText xml:space="preserve"> PAGEREF _Toc426035921 \h </w:instrText>
      </w:r>
      <w:r>
        <w:rPr>
          <w:noProof/>
        </w:rPr>
      </w:r>
      <w:r>
        <w:rPr>
          <w:noProof/>
        </w:rPr>
        <w:fldChar w:fldCharType="separate"/>
      </w:r>
      <w:r w:rsidR="009C58C8">
        <w:rPr>
          <w:noProof/>
        </w:rPr>
        <w:t>4</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9</w:t>
      </w:r>
      <w:r>
        <w:rPr>
          <w:rFonts w:asciiTheme="minorHAnsi" w:eastAsiaTheme="minorEastAsia" w:hAnsiTheme="minorHAnsi" w:cstheme="minorBidi"/>
          <w:noProof/>
          <w:kern w:val="0"/>
          <w:sz w:val="22"/>
          <w:szCs w:val="22"/>
        </w:rPr>
        <w:tab/>
      </w:r>
      <w:r>
        <w:rPr>
          <w:noProof/>
        </w:rPr>
        <w:t>Factors that must exist</w:t>
      </w:r>
      <w:r>
        <w:rPr>
          <w:noProof/>
        </w:rPr>
        <w:tab/>
      </w:r>
      <w:r>
        <w:rPr>
          <w:noProof/>
        </w:rPr>
        <w:fldChar w:fldCharType="begin"/>
      </w:r>
      <w:r>
        <w:rPr>
          <w:noProof/>
        </w:rPr>
        <w:instrText xml:space="preserve"> PAGEREF _Toc426035922 \h </w:instrText>
      </w:r>
      <w:r>
        <w:rPr>
          <w:noProof/>
        </w:rPr>
      </w:r>
      <w:r>
        <w:rPr>
          <w:noProof/>
        </w:rPr>
        <w:fldChar w:fldCharType="separate"/>
      </w:r>
      <w:r w:rsidR="009C58C8">
        <w:rPr>
          <w:noProof/>
        </w:rPr>
        <w:t>4</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10</w:t>
      </w:r>
      <w:r>
        <w:rPr>
          <w:rFonts w:asciiTheme="minorHAnsi" w:eastAsiaTheme="minorEastAsia" w:hAnsiTheme="minorHAnsi" w:cstheme="minorBidi"/>
          <w:noProof/>
          <w:kern w:val="0"/>
          <w:sz w:val="22"/>
          <w:szCs w:val="22"/>
        </w:rPr>
        <w:tab/>
      </w:r>
      <w:r>
        <w:rPr>
          <w:noProof/>
        </w:rPr>
        <w:t>Relationship to service</w:t>
      </w:r>
      <w:r>
        <w:rPr>
          <w:noProof/>
        </w:rPr>
        <w:tab/>
      </w:r>
      <w:r>
        <w:rPr>
          <w:noProof/>
        </w:rPr>
        <w:fldChar w:fldCharType="begin"/>
      </w:r>
      <w:r>
        <w:rPr>
          <w:noProof/>
        </w:rPr>
        <w:instrText xml:space="preserve"> PAGEREF _Toc426035923 \h </w:instrText>
      </w:r>
      <w:r>
        <w:rPr>
          <w:noProof/>
        </w:rPr>
      </w:r>
      <w:r>
        <w:rPr>
          <w:noProof/>
        </w:rPr>
        <w:fldChar w:fldCharType="separate"/>
      </w:r>
      <w:r w:rsidR="009C58C8">
        <w:rPr>
          <w:noProof/>
        </w:rPr>
        <w:t>7</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Factors referring to an injury or disease covered by another Statement of Principles</w:t>
      </w:r>
      <w:r>
        <w:rPr>
          <w:noProof/>
        </w:rPr>
        <w:tab/>
      </w:r>
      <w:r>
        <w:rPr>
          <w:noProof/>
        </w:rPr>
        <w:fldChar w:fldCharType="begin"/>
      </w:r>
      <w:r>
        <w:rPr>
          <w:noProof/>
        </w:rPr>
        <w:instrText xml:space="preserve"> PAGEREF _Toc426035924 \h </w:instrText>
      </w:r>
      <w:r>
        <w:rPr>
          <w:noProof/>
        </w:rPr>
      </w:r>
      <w:r>
        <w:rPr>
          <w:noProof/>
        </w:rPr>
        <w:fldChar w:fldCharType="separate"/>
      </w:r>
      <w:r w:rsidR="009C58C8">
        <w:rPr>
          <w:noProof/>
        </w:rPr>
        <w:t>7</w:t>
      </w:r>
      <w:r>
        <w:rPr>
          <w:noProof/>
        </w:rPr>
        <w:fldChar w:fldCharType="end"/>
      </w:r>
    </w:p>
    <w:p w:rsidR="00EC7AE8" w:rsidRDefault="00EC7AE8">
      <w:pPr>
        <w:pStyle w:val="TOC6"/>
        <w:rPr>
          <w:rFonts w:asciiTheme="minorHAnsi" w:eastAsiaTheme="minorEastAsia" w:hAnsiTheme="minorHAnsi" w:cstheme="minorBidi"/>
          <w:b w:val="0"/>
          <w:noProof/>
          <w:kern w:val="0"/>
          <w:szCs w:val="22"/>
        </w:rPr>
      </w:pPr>
      <w:r>
        <w:rPr>
          <w:noProof/>
        </w:rPr>
        <w:t>Schedule 1 - Dictionary</w:t>
      </w:r>
      <w:r>
        <w:rPr>
          <w:noProof/>
        </w:rPr>
        <w:tab/>
      </w:r>
      <w:r>
        <w:rPr>
          <w:noProof/>
        </w:rPr>
        <w:fldChar w:fldCharType="begin"/>
      </w:r>
      <w:r>
        <w:rPr>
          <w:noProof/>
        </w:rPr>
        <w:instrText xml:space="preserve"> PAGEREF _Toc426035925 \h </w:instrText>
      </w:r>
      <w:r>
        <w:rPr>
          <w:noProof/>
        </w:rPr>
      </w:r>
      <w:r>
        <w:rPr>
          <w:noProof/>
        </w:rPr>
        <w:fldChar w:fldCharType="separate"/>
      </w:r>
      <w:r w:rsidR="009C58C8">
        <w:rPr>
          <w:noProof/>
        </w:rPr>
        <w:t>8</w:t>
      </w:r>
      <w:r>
        <w:rPr>
          <w:noProof/>
        </w:rPr>
        <w:fldChar w:fldCharType="end"/>
      </w:r>
    </w:p>
    <w:p w:rsidR="00EC7AE8" w:rsidRDefault="00EC7AE8">
      <w:pPr>
        <w:pStyle w:val="TOC1"/>
        <w:tabs>
          <w:tab w:val="left" w:pos="1134"/>
        </w:tabs>
        <w:rPr>
          <w:rFonts w:asciiTheme="minorHAnsi" w:eastAsiaTheme="minorEastAsia" w:hAnsiTheme="minorHAnsi" w:cstheme="minorBidi"/>
          <w:noProof/>
          <w:kern w:val="0"/>
          <w:sz w:val="22"/>
          <w:szCs w:val="22"/>
        </w:rPr>
      </w:pPr>
      <w:r>
        <w:rPr>
          <w:noProof/>
        </w:rPr>
        <w:t>1</w:t>
      </w:r>
      <w:r>
        <w:rPr>
          <w:rFonts w:asciiTheme="minorHAnsi" w:eastAsiaTheme="minorEastAsia" w:hAnsiTheme="minorHAnsi" w:cstheme="minorBidi"/>
          <w:noProof/>
          <w:kern w:val="0"/>
          <w:sz w:val="22"/>
          <w:szCs w:val="22"/>
        </w:rPr>
        <w:tab/>
      </w:r>
      <w:r>
        <w:rPr>
          <w:noProof/>
        </w:rPr>
        <w:t>Definitions</w:t>
      </w:r>
      <w:r>
        <w:rPr>
          <w:noProof/>
        </w:rPr>
        <w:tab/>
      </w:r>
      <w:r>
        <w:rPr>
          <w:noProof/>
        </w:rPr>
        <w:fldChar w:fldCharType="begin"/>
      </w:r>
      <w:r>
        <w:rPr>
          <w:noProof/>
        </w:rPr>
        <w:instrText xml:space="preserve"> PAGEREF _Toc426035926 \h </w:instrText>
      </w:r>
      <w:r>
        <w:rPr>
          <w:noProof/>
        </w:rPr>
      </w:r>
      <w:r>
        <w:rPr>
          <w:noProof/>
        </w:rPr>
        <w:fldChar w:fldCharType="separate"/>
      </w:r>
      <w:r w:rsidR="009C58C8">
        <w:rPr>
          <w:noProof/>
        </w:rPr>
        <w:t>8</w:t>
      </w:r>
      <w:r>
        <w:rPr>
          <w:noProof/>
        </w:rPr>
        <w:fldChar w:fldCharType="end"/>
      </w:r>
    </w:p>
    <w:p w:rsidR="003A2FFE" w:rsidRDefault="002A3436" w:rsidP="00715914">
      <w:r>
        <w:rPr>
          <w:rFonts w:eastAsia="Times New Roman"/>
          <w:b/>
          <w:kern w:val="28"/>
          <w:sz w:val="18"/>
          <w:lang w:eastAsia="en-AU"/>
        </w:rPr>
        <w:fldChar w:fldCharType="end"/>
      </w:r>
    </w:p>
    <w:p w:rsidR="003A2FFE" w:rsidRDefault="003A2FFE" w:rsidP="003A2FFE">
      <w:pPr>
        <w:tabs>
          <w:tab w:val="left" w:pos="3631"/>
        </w:tabs>
      </w:pPr>
    </w:p>
    <w:p w:rsidR="003734C6" w:rsidRDefault="003734C6" w:rsidP="00715914">
      <w:r w:rsidRPr="003A2FFE">
        <w:br w:type="page"/>
      </w:r>
    </w:p>
    <w:p w:rsidR="00877AE3" w:rsidRDefault="00877AE3" w:rsidP="00C96667">
      <w:pPr>
        <w:pStyle w:val="LV1"/>
      </w:pPr>
      <w:bookmarkStart w:id="2" w:name="_Toc426035914"/>
      <w:r>
        <w:lastRenderedPageBreak/>
        <w:t>Name</w:t>
      </w:r>
      <w:bookmarkEnd w:id="2"/>
    </w:p>
    <w:p w:rsidR="00237471" w:rsidRPr="00F97A62" w:rsidRDefault="00715914" w:rsidP="00262848">
      <w:pPr>
        <w:pStyle w:val="PlainIndent"/>
      </w:pPr>
      <w:r w:rsidRPr="00F97A62">
        <w:t xml:space="preserve">This </w:t>
      </w:r>
      <w:r w:rsidR="00CE493D" w:rsidRPr="00F97A62">
        <w:t xml:space="preserve">is the </w:t>
      </w:r>
      <w:bookmarkStart w:id="3" w:name="BKCheck15B_3"/>
      <w:bookmarkEnd w:id="3"/>
      <w:r w:rsidR="00E55F66" w:rsidRPr="00F97A62">
        <w:t xml:space="preserve">Statement of Principles </w:t>
      </w:r>
      <w:r w:rsidR="00E55F66" w:rsidRPr="00781B24">
        <w:t>concerning</w:t>
      </w:r>
      <w:r w:rsidR="00912B55" w:rsidRPr="00781B24">
        <w:t xml:space="preserve"> </w:t>
      </w:r>
      <w:r w:rsidR="008140EB">
        <w:rPr>
          <w:i/>
        </w:rPr>
        <w:t>malignant neoplasm of the oesophagus</w:t>
      </w:r>
      <w:r w:rsidR="008E4A16">
        <w:rPr>
          <w:b/>
        </w:rPr>
        <w:t xml:space="preserve"> </w:t>
      </w:r>
      <w:r w:rsidR="007C2AD3" w:rsidRPr="00E93D9B">
        <w:rPr>
          <w:i/>
        </w:rPr>
        <w:t>(Reasonable Hypothesis)</w:t>
      </w:r>
      <w:r w:rsidR="007C2AD3" w:rsidRPr="00F97A62">
        <w:t xml:space="preserve"> </w:t>
      </w:r>
      <w:r w:rsidR="00E55F66" w:rsidRPr="00F97A62">
        <w:t xml:space="preserve">(No. </w:t>
      </w:r>
      <w:r w:rsidR="00FF1580">
        <w:rPr>
          <w:bCs/>
          <w:lang w:val="en-US"/>
        </w:rPr>
        <w:t>120</w:t>
      </w:r>
      <w:r w:rsidR="00085567">
        <w:t xml:space="preserve"> </w:t>
      </w:r>
      <w:r w:rsidR="00E55F66" w:rsidRPr="00F97A62">
        <w:t>of</w:t>
      </w:r>
      <w:r w:rsidR="00085567">
        <w:t xml:space="preserve"> </w:t>
      </w:r>
      <w:r w:rsidR="00B54C69">
        <w:t>2015</w:t>
      </w:r>
      <w:r w:rsidR="00E55F66" w:rsidRPr="00F97A62">
        <w:t>)</w:t>
      </w:r>
      <w:r w:rsidRPr="00F97A62">
        <w:t>.</w:t>
      </w:r>
    </w:p>
    <w:p w:rsidR="00F67B67" w:rsidRPr="00684C0E" w:rsidRDefault="00F67B67" w:rsidP="00C96667">
      <w:pPr>
        <w:pStyle w:val="LV1"/>
      </w:pPr>
      <w:bookmarkStart w:id="4" w:name="_Toc426035915"/>
      <w:r w:rsidRPr="00684C0E">
        <w:t>Commencement</w:t>
      </w:r>
      <w:bookmarkEnd w:id="4"/>
    </w:p>
    <w:p w:rsidR="00F67B67" w:rsidRPr="007527C1" w:rsidRDefault="007527C1" w:rsidP="00F97A62">
      <w:pPr>
        <w:pStyle w:val="PlainIndent"/>
      </w:pPr>
      <w:r w:rsidRPr="007527C1">
        <w:tab/>
      </w:r>
      <w:r w:rsidR="00F67B67" w:rsidRPr="007527C1">
        <w:t xml:space="preserve">This instrument commences on </w:t>
      </w:r>
      <w:r w:rsidR="00FF1580">
        <w:t>16 November 2015</w:t>
      </w:r>
      <w:r w:rsidR="00F67B67" w:rsidRPr="007527C1">
        <w:t>.</w:t>
      </w:r>
    </w:p>
    <w:p w:rsidR="00F67B67" w:rsidRPr="00684C0E" w:rsidRDefault="00F67B67" w:rsidP="00C96667">
      <w:pPr>
        <w:pStyle w:val="LV1"/>
      </w:pPr>
      <w:bookmarkStart w:id="5" w:name="_Toc426035916"/>
      <w:r w:rsidRPr="00684C0E">
        <w:t>Authority</w:t>
      </w:r>
      <w:bookmarkEnd w:id="5"/>
    </w:p>
    <w:p w:rsidR="00F67B67" w:rsidRPr="007527C1" w:rsidRDefault="00F67B67" w:rsidP="00F97A62">
      <w:pPr>
        <w:pStyle w:val="PlainIndent"/>
      </w:pPr>
      <w:r w:rsidRPr="007527C1">
        <w:t>This inst</w:t>
      </w:r>
      <w:r w:rsidR="00D32F71">
        <w:t xml:space="preserve">rument is made under subsection </w:t>
      </w:r>
      <w:r w:rsidR="00A02752">
        <w:t>196B(2</w:t>
      </w:r>
      <w:r w:rsidRPr="007527C1">
        <w:t xml:space="preserve">) of the </w:t>
      </w:r>
      <w:r w:rsidRPr="007527C1">
        <w:rPr>
          <w:i/>
        </w:rPr>
        <w:t>Veterans’ Entitlements Act 1986</w:t>
      </w:r>
      <w:r w:rsidRPr="007527C1">
        <w:t>.</w:t>
      </w:r>
    </w:p>
    <w:p w:rsidR="008E5199" w:rsidRDefault="008E5199" w:rsidP="008E5199">
      <w:pPr>
        <w:pStyle w:val="LV1"/>
      </w:pPr>
      <w:bookmarkStart w:id="6" w:name="_Toc426035917"/>
      <w:r>
        <w:t>Revocation</w:t>
      </w:r>
      <w:bookmarkEnd w:id="6"/>
    </w:p>
    <w:p w:rsidR="008E5199" w:rsidRPr="007527C1" w:rsidRDefault="008E5199" w:rsidP="008E5199">
      <w:pPr>
        <w:pStyle w:val="PlainIndent"/>
      </w:pPr>
      <w:r w:rsidRPr="000B755A">
        <w:t>The Statement of Principles concerning</w:t>
      </w:r>
      <w:r>
        <w:t xml:space="preserve"> </w:t>
      </w:r>
      <w:r w:rsidR="00B54C69" w:rsidRPr="00B54C69">
        <w:rPr>
          <w:bCs/>
          <w:lang w:val="en-US"/>
        </w:rPr>
        <w:t>malignant neoplasm of the oesophagus</w:t>
      </w:r>
      <w:r>
        <w:t xml:space="preserve"> No. </w:t>
      </w:r>
      <w:r w:rsidR="008140EB">
        <w:t>41</w:t>
      </w:r>
      <w:r>
        <w:t xml:space="preserve"> of </w:t>
      </w:r>
      <w:r w:rsidR="001C6CFB">
        <w:t>2007</w:t>
      </w:r>
      <w:r w:rsidR="008140EB">
        <w:t>, as amended,</w:t>
      </w:r>
      <w:r w:rsidRPr="000B755A">
        <w:t xml:space="preserve"> </w:t>
      </w:r>
      <w:r>
        <w:t>made under subsection</w:t>
      </w:r>
      <w:r w:rsidR="00C94AAF">
        <w:t>s</w:t>
      </w:r>
      <w:r>
        <w:t> 196B(2</w:t>
      </w:r>
      <w:r w:rsidRPr="000B755A">
        <w:t xml:space="preserve">) </w:t>
      </w:r>
      <w:r w:rsidR="008140EB">
        <w:t xml:space="preserve">and (8) </w:t>
      </w:r>
      <w:r w:rsidRPr="000B755A">
        <w:t xml:space="preserve">of the </w:t>
      </w:r>
      <w:r w:rsidRPr="006D60F8">
        <w:t>VEA</w:t>
      </w:r>
      <w:r w:rsidRPr="000B755A">
        <w:t xml:space="preserve"> is revoked.</w:t>
      </w:r>
    </w:p>
    <w:p w:rsidR="007C7DEE" w:rsidRPr="00684C0E" w:rsidRDefault="007C7DEE" w:rsidP="00C96667">
      <w:pPr>
        <w:pStyle w:val="LV1"/>
      </w:pPr>
      <w:bookmarkStart w:id="7" w:name="_Toc426035918"/>
      <w:r w:rsidRPr="00684C0E">
        <w:t>Application</w:t>
      </w:r>
      <w:bookmarkEnd w:id="7"/>
    </w:p>
    <w:p w:rsidR="007C7DEE" w:rsidRDefault="007C7DEE" w:rsidP="00F97A62">
      <w:pPr>
        <w:pStyle w:val="PlainIndent"/>
      </w:pPr>
      <w:r w:rsidRPr="007527C1">
        <w:t xml:space="preserve">This instrument applies to </w:t>
      </w:r>
      <w:r w:rsidR="00237471" w:rsidRPr="007527C1">
        <w:t xml:space="preserve">a claim </w:t>
      </w:r>
      <w:r w:rsidRPr="007527C1">
        <w:t>to which section</w:t>
      </w:r>
      <w:r w:rsidR="00FA33FB" w:rsidRPr="007527C1">
        <w:t> </w:t>
      </w:r>
      <w:r w:rsidR="00A02752">
        <w:t>120A</w:t>
      </w:r>
      <w:r w:rsidRPr="007527C1">
        <w:t xml:space="preserve"> of the </w:t>
      </w:r>
      <w:r w:rsidR="00D32F71">
        <w:t xml:space="preserve">VEA </w:t>
      </w:r>
      <w:r w:rsidRPr="007527C1">
        <w:t>or section</w:t>
      </w:r>
      <w:r w:rsidR="00FA33FB" w:rsidRPr="007527C1">
        <w:t> </w:t>
      </w:r>
      <w:r w:rsidR="00A02752">
        <w:t>338</w:t>
      </w:r>
      <w:r w:rsidRPr="007527C1">
        <w:t xml:space="preserve"> of the </w:t>
      </w:r>
      <w:r w:rsidRPr="007527C1">
        <w:rPr>
          <w:i/>
        </w:rPr>
        <w:t>Military Rehabilitation and Compensation Act 2004</w:t>
      </w:r>
      <w:r w:rsidRPr="007527C1">
        <w:t xml:space="preserve"> applies.</w:t>
      </w:r>
    </w:p>
    <w:p w:rsidR="007C7DEE" w:rsidRPr="00684C0E" w:rsidRDefault="007C7DEE" w:rsidP="00C96667">
      <w:pPr>
        <w:pStyle w:val="LV1"/>
      </w:pPr>
      <w:bookmarkStart w:id="8" w:name="_Ref410129949"/>
      <w:bookmarkStart w:id="9" w:name="_Toc426035919"/>
      <w:r w:rsidRPr="00684C0E">
        <w:t>Definitions</w:t>
      </w:r>
      <w:bookmarkEnd w:id="8"/>
      <w:bookmarkEnd w:id="9"/>
    </w:p>
    <w:p w:rsidR="00237471" w:rsidRPr="00D5620B" w:rsidRDefault="007142FB" w:rsidP="00F97A62">
      <w:pPr>
        <w:pStyle w:val="PlainIndent"/>
      </w:pPr>
      <w:r w:rsidRPr="007142FB">
        <w:t>The terms defined in the Schedule 1</w:t>
      </w:r>
      <w:r w:rsidR="00D32F71">
        <w:t xml:space="preserve"> </w:t>
      </w:r>
      <w:r w:rsidRPr="007142FB">
        <w:t>-</w:t>
      </w:r>
      <w:r w:rsidR="00D32F71">
        <w:t xml:space="preserve"> </w:t>
      </w:r>
      <w:r w:rsidRPr="007142FB">
        <w:t>Dictionary have the meaning give</w:t>
      </w:r>
      <w:r>
        <w:t>n when used in this instrument</w:t>
      </w:r>
      <w:r w:rsidR="000B1350" w:rsidRPr="00D5620B">
        <w:t>.</w:t>
      </w:r>
    </w:p>
    <w:p w:rsidR="007C7DEE" w:rsidRPr="00684C0E" w:rsidRDefault="007C7DEE" w:rsidP="00C96667">
      <w:pPr>
        <w:pStyle w:val="LV1"/>
      </w:pPr>
      <w:bookmarkStart w:id="10" w:name="_Ref409687573"/>
      <w:bookmarkStart w:id="11" w:name="_Ref409687579"/>
      <w:bookmarkStart w:id="12" w:name="_Ref409687725"/>
      <w:bookmarkStart w:id="13" w:name="_Toc426035920"/>
      <w:r w:rsidRPr="00684C0E">
        <w:t>Kind of injury, disease or death</w:t>
      </w:r>
      <w:r w:rsidR="00215860" w:rsidRPr="00684C0E">
        <w:t xml:space="preserve"> to which this Statement of Principles relates</w:t>
      </w:r>
      <w:bookmarkEnd w:id="10"/>
      <w:bookmarkEnd w:id="11"/>
      <w:bookmarkEnd w:id="12"/>
      <w:bookmarkEnd w:id="13"/>
    </w:p>
    <w:p w:rsidR="007C7DEE" w:rsidRPr="00D5620B" w:rsidRDefault="007C7DEE" w:rsidP="00620347">
      <w:pPr>
        <w:pStyle w:val="LV2"/>
      </w:pPr>
      <w:bookmarkStart w:id="14" w:name="_Ref403053584"/>
      <w:r w:rsidRPr="00D5620B">
        <w:t xml:space="preserve">This Statement of Principles is about </w:t>
      </w:r>
      <w:r w:rsidR="00FE118D" w:rsidRPr="00B54C69">
        <w:rPr>
          <w:bCs/>
        </w:rPr>
        <w:t>malignant neoplasm of the oesophagus</w:t>
      </w:r>
      <w:r w:rsidR="003C445A">
        <w:t xml:space="preserve"> </w:t>
      </w:r>
      <w:r w:rsidRPr="00D5620B">
        <w:t>and death from</w:t>
      </w:r>
      <w:r w:rsidR="008E4A16">
        <w:t xml:space="preserve"> </w:t>
      </w:r>
      <w:r w:rsidR="00FE118D" w:rsidRPr="00B54C69">
        <w:rPr>
          <w:bCs/>
        </w:rPr>
        <w:t>malignant neoplasm of the oesophagus</w:t>
      </w:r>
      <w:r w:rsidRPr="00D5620B">
        <w:t>.</w:t>
      </w:r>
      <w:bookmarkEnd w:id="14"/>
    </w:p>
    <w:p w:rsidR="00215860" w:rsidRPr="00B03B74" w:rsidRDefault="00215860" w:rsidP="00620347">
      <w:pPr>
        <w:pStyle w:val="LV2"/>
        <w:numPr>
          <w:ilvl w:val="0"/>
          <w:numId w:val="0"/>
        </w:numPr>
        <w:ind w:left="907"/>
        <w:rPr>
          <w:i/>
        </w:rPr>
      </w:pPr>
      <w:r w:rsidRPr="00B03B74">
        <w:rPr>
          <w:i/>
        </w:rPr>
        <w:t>Meaning of</w:t>
      </w:r>
      <w:r w:rsidR="00D60FC8" w:rsidRPr="00B03B74">
        <w:rPr>
          <w:i/>
        </w:rPr>
        <w:t xml:space="preserve"> </w:t>
      </w:r>
      <w:r w:rsidR="00FE118D" w:rsidRPr="00FE118D">
        <w:rPr>
          <w:b/>
          <w:bCs/>
          <w:i/>
        </w:rPr>
        <w:t>malignant neoplasm of the oesophagus</w:t>
      </w:r>
    </w:p>
    <w:p w:rsidR="002716E4" w:rsidRPr="00237BAF" w:rsidRDefault="007C7DEE" w:rsidP="00620347">
      <w:pPr>
        <w:pStyle w:val="LV2"/>
      </w:pPr>
      <w:bookmarkStart w:id="15" w:name="_Ref409598124"/>
      <w:bookmarkStart w:id="16" w:name="_Ref402529683"/>
      <w:r w:rsidRPr="00237BAF">
        <w:t>For the purposes of this Statement of Principles,</w:t>
      </w:r>
      <w:r w:rsidR="008E4A16" w:rsidRPr="008E4A16">
        <w:t xml:space="preserve"> </w:t>
      </w:r>
      <w:r w:rsidR="00FE118D" w:rsidRPr="00B54C69">
        <w:rPr>
          <w:bCs/>
        </w:rPr>
        <w:t>malignant neoplasm of the oesophagus</w:t>
      </w:r>
      <w:r w:rsidR="00FF1580">
        <w:rPr>
          <w:bCs/>
        </w:rPr>
        <w:t xml:space="preserve"> means</w:t>
      </w:r>
      <w:r w:rsidR="002716E4" w:rsidRPr="00237BAF">
        <w:t>:</w:t>
      </w:r>
      <w:bookmarkEnd w:id="15"/>
    </w:p>
    <w:p w:rsidR="002716E4" w:rsidRPr="008E76DC" w:rsidRDefault="008140EB" w:rsidP="008140EB">
      <w:pPr>
        <w:pStyle w:val="LV3"/>
      </w:pPr>
      <w:r w:rsidRPr="008140EB">
        <w:t>a primary malignant neoplasm arising from the cells of the oesophagus.  The oesophagus is defined as the structure which begins proximally with the lower border of the hypopharynx and extends distally to the lower bord</w:t>
      </w:r>
      <w:r>
        <w:t>er of the oesophageal sphincter</w:t>
      </w:r>
      <w:r w:rsidR="002716E4" w:rsidRPr="008E76DC">
        <w:t>; and</w:t>
      </w:r>
    </w:p>
    <w:bookmarkEnd w:id="16"/>
    <w:p w:rsidR="007C7DEE" w:rsidRPr="001C6CFB" w:rsidRDefault="008140EB" w:rsidP="001C6CFB">
      <w:pPr>
        <w:pStyle w:val="LV3"/>
      </w:pPr>
      <w:r w:rsidRPr="008140EB">
        <w:t>excludes soft tissue sarcoma, carcinoid tumour, non-Hodgkin's lymphoma and Hodgkin's lymphoma.</w:t>
      </w:r>
    </w:p>
    <w:p w:rsidR="008F572A" w:rsidRPr="00237BAF" w:rsidRDefault="008F572A" w:rsidP="00620347">
      <w:pPr>
        <w:pStyle w:val="LV2"/>
      </w:pPr>
      <w:r w:rsidRPr="00237BAF">
        <w:lastRenderedPageBreak/>
        <w:t xml:space="preserve">While </w:t>
      </w:r>
      <w:r w:rsidR="00FE118D" w:rsidRPr="00B54C69">
        <w:rPr>
          <w:bCs/>
        </w:rPr>
        <w:t>malignant neoplasm of the oesophagus</w:t>
      </w:r>
      <w:r w:rsidR="00FE118D" w:rsidRPr="00237BAF">
        <w:t xml:space="preserve"> </w:t>
      </w:r>
      <w:r w:rsidRPr="00237BAF">
        <w:t>attracts ICD</w:t>
      </w:r>
      <w:r w:rsidR="00FA33FB" w:rsidRPr="00237BAF">
        <w:noBreakHyphen/>
      </w:r>
      <w:r w:rsidRPr="00237BAF">
        <w:t>10</w:t>
      </w:r>
      <w:r w:rsidR="00FA33FB" w:rsidRPr="00237BAF">
        <w:noBreakHyphen/>
      </w:r>
      <w:r w:rsidRPr="00237BAF">
        <w:t xml:space="preserve">AM </w:t>
      </w:r>
      <w:r w:rsidRPr="00EB2BC4">
        <w:t xml:space="preserve">code </w:t>
      </w:r>
      <w:r w:rsidR="00E63DA0" w:rsidRPr="00262EA3">
        <w:t>C15</w:t>
      </w:r>
      <w:r w:rsidR="00885EAB" w:rsidRPr="00EB2BC4">
        <w:t>,</w:t>
      </w:r>
      <w:r w:rsidRPr="00237BAF">
        <w:t xml:space="preserve"> in applying this Statement of Principles the </w:t>
      </w:r>
      <w:r w:rsidR="00FA33FB" w:rsidRPr="00D5620B">
        <w:t xml:space="preserve">meaning </w:t>
      </w:r>
      <w:r w:rsidRPr="00D5620B">
        <w:t xml:space="preserve">of </w:t>
      </w:r>
      <w:r w:rsidR="00FE118D" w:rsidRPr="00B54C69">
        <w:rPr>
          <w:bCs/>
        </w:rPr>
        <w:t>malignant neoplasm of the oesophagus</w:t>
      </w:r>
      <w:r w:rsidR="008E4A16">
        <w:t xml:space="preserve"> </w:t>
      </w:r>
      <w:r w:rsidRPr="00D5620B">
        <w:t>is that</w:t>
      </w:r>
      <w:r w:rsidRPr="00237BAF">
        <w:t xml:space="preserve"> given in </w:t>
      </w:r>
      <w:r w:rsidR="00FA33FB" w:rsidRPr="00237BAF">
        <w:t>subsection (</w:t>
      </w:r>
      <w:r w:rsidRPr="00237BAF">
        <w:t>2).</w:t>
      </w:r>
    </w:p>
    <w:p w:rsidR="000F76FA" w:rsidRPr="0053697E" w:rsidRDefault="00B574A3" w:rsidP="00620347">
      <w:pPr>
        <w:pStyle w:val="LV2"/>
        <w:rPr>
          <w:i/>
          <w:color w:val="000000"/>
        </w:rPr>
      </w:pPr>
      <w:r w:rsidRPr="00237BAF">
        <w:t>For subsection (3), a reference to an ICD</w:t>
      </w:r>
      <w:r w:rsidRPr="00237BAF">
        <w:noBreakHyphen/>
        <w:t>10</w:t>
      </w:r>
      <w:r w:rsidRPr="00237BAF">
        <w:noBreakHyphen/>
        <w:t>AM code</w:t>
      </w:r>
      <w:r w:rsidRPr="0053697E">
        <w:rPr>
          <w:i/>
        </w:rPr>
        <w:t xml:space="preserve"> </w:t>
      </w:r>
      <w:r w:rsidRPr="00237BAF">
        <w:t xml:space="preserve">is a reference to the code assigned to a particular kind of injury or disease in </w:t>
      </w:r>
      <w:r w:rsidRPr="0053697E">
        <w:rPr>
          <w:i/>
        </w:rPr>
        <w:t>The International Statistical Classification of Diseases and Related Health Problems</w:t>
      </w:r>
      <w:r w:rsidRPr="00237BAF">
        <w:t xml:space="preserve">, </w:t>
      </w:r>
      <w:r w:rsidRPr="00D02068">
        <w:rPr>
          <w:i/>
        </w:rPr>
        <w:t>Tenth Revision, Australian Modification</w:t>
      </w:r>
      <w:r w:rsidRPr="00237BAF">
        <w:t xml:space="preserve"> (ICD</w:t>
      </w:r>
      <w:r w:rsidRPr="00237BAF">
        <w:noBreakHyphen/>
        <w:t>10</w:t>
      </w:r>
      <w:r w:rsidRPr="00237BAF">
        <w:noBreakHyphen/>
        <w:t xml:space="preserve">AM), </w:t>
      </w:r>
      <w:r>
        <w:t>Ninth</w:t>
      </w:r>
      <w:r w:rsidRPr="00237BAF">
        <w:t xml:space="preserve"> Edition, effective date of 1 July 201</w:t>
      </w:r>
      <w:r>
        <w:t>5</w:t>
      </w:r>
      <w:r w:rsidRPr="00237BAF">
        <w:t>, copyrighted by the Independent Hospital Pricing Authority, ISBN 978</w:t>
      </w:r>
      <w:r w:rsidRPr="00237BAF">
        <w:noBreakHyphen/>
        <w:t>1</w:t>
      </w:r>
      <w:r w:rsidRPr="00237BAF">
        <w:noBreakHyphen/>
      </w:r>
      <w:r>
        <w:t>76007</w:t>
      </w:r>
      <w:r w:rsidRPr="00237BAF">
        <w:noBreakHyphen/>
      </w:r>
      <w:r>
        <w:t>020</w:t>
      </w:r>
      <w:r w:rsidRPr="00237BAF">
        <w:noBreakHyphen/>
      </w:r>
      <w:r>
        <w:t>5</w:t>
      </w:r>
      <w:r w:rsidRPr="00237BAF">
        <w:t>.</w:t>
      </w:r>
    </w:p>
    <w:p w:rsidR="008F572A" w:rsidRPr="00B03B74" w:rsidRDefault="00237BAF" w:rsidP="00C82E49">
      <w:pPr>
        <w:pStyle w:val="LV2"/>
        <w:numPr>
          <w:ilvl w:val="0"/>
          <w:numId w:val="0"/>
        </w:numPr>
        <w:ind w:left="907"/>
        <w:rPr>
          <w:i/>
        </w:rPr>
      </w:pPr>
      <w:r w:rsidRPr="00B03B74">
        <w:rPr>
          <w:i/>
        </w:rPr>
        <w:t>Death from</w:t>
      </w:r>
      <w:r w:rsidR="008F572A" w:rsidRPr="00B03B74">
        <w:rPr>
          <w:i/>
        </w:rPr>
        <w:t xml:space="preserve"> </w:t>
      </w:r>
      <w:r w:rsidR="00FE118D" w:rsidRPr="00FE118D">
        <w:rPr>
          <w:b/>
          <w:bCs/>
          <w:i/>
        </w:rPr>
        <w:t>malignant neoplasm of the oesophagus</w:t>
      </w:r>
    </w:p>
    <w:p w:rsidR="008F572A" w:rsidRPr="00237BAF" w:rsidRDefault="008F572A" w:rsidP="00620347">
      <w:pPr>
        <w:pStyle w:val="LV2"/>
      </w:pPr>
      <w:r w:rsidRPr="00237BAF">
        <w:t xml:space="preserve">For the purposes of this Statement of </w:t>
      </w:r>
      <w:r w:rsidR="00D5620B">
        <w:t xml:space="preserve">Principles, </w:t>
      </w:r>
      <w:r w:rsidR="00FE118D" w:rsidRPr="00B54C69">
        <w:rPr>
          <w:bCs/>
        </w:rPr>
        <w:t>malignant neoplasm of the oesophagus</w:t>
      </w:r>
      <w:r w:rsidRPr="00D5620B">
        <w:t>,</w:t>
      </w:r>
      <w:r w:rsidRPr="00237BAF">
        <w:rPr>
          <w:b/>
        </w:rPr>
        <w:t xml:space="preserve"> </w:t>
      </w:r>
      <w:r w:rsidRPr="00237BAF">
        <w:t xml:space="preserve">in relation to a person, includes death from a terminal event or condition that was contributed to by the </w:t>
      </w:r>
      <w:r w:rsidRPr="00D5620B">
        <w:t>person’s</w:t>
      </w:r>
      <w:r w:rsidR="008E4A16">
        <w:t xml:space="preserve"> </w:t>
      </w:r>
      <w:r w:rsidR="00FE118D" w:rsidRPr="00B54C69">
        <w:rPr>
          <w:bCs/>
        </w:rPr>
        <w:t>malignant neoplasm of the oesophagus</w:t>
      </w:r>
      <w:r w:rsidRPr="00D5620B">
        <w:t>.</w:t>
      </w:r>
    </w:p>
    <w:p w:rsidR="007C7DEE" w:rsidRPr="00046E67" w:rsidRDefault="00046E67" w:rsidP="00046E67">
      <w:pPr>
        <w:pStyle w:val="NOTE"/>
      </w:pPr>
      <w:r>
        <w:t xml:space="preserve">Note: </w:t>
      </w:r>
      <w:r w:rsidR="00054930">
        <w:rPr>
          <w:b/>
          <w:i/>
        </w:rPr>
        <w:t>t</w:t>
      </w:r>
      <w:r w:rsidR="000E4183" w:rsidRPr="00FA33FB">
        <w:rPr>
          <w:b/>
          <w:i/>
        </w:rPr>
        <w:t>erminal event</w:t>
      </w:r>
      <w:r w:rsidR="000E4183" w:rsidRPr="00FA33FB">
        <w:t xml:space="preserve"> </w:t>
      </w:r>
      <w:r w:rsidR="002716E4" w:rsidRPr="00046E67">
        <w:t xml:space="preserve">is defined in </w:t>
      </w:r>
      <w:r w:rsidR="00885EAB" w:rsidRPr="00046E67">
        <w:t xml:space="preserve">the </w:t>
      </w:r>
      <w:r w:rsidR="00D32F71">
        <w:t xml:space="preserve">Schedule 1 </w:t>
      </w:r>
      <w:r w:rsidR="0032099B">
        <w:t>–</w:t>
      </w:r>
      <w:r w:rsidR="00D32F71">
        <w:t xml:space="preserve"> </w:t>
      </w:r>
      <w:r w:rsidR="00885EAB" w:rsidRPr="00046E67">
        <w:t>Dictionary</w:t>
      </w:r>
      <w:r w:rsidR="0032099B">
        <w:t>.</w:t>
      </w:r>
    </w:p>
    <w:p w:rsidR="007C7DEE" w:rsidRPr="00A20CA1" w:rsidRDefault="007C7DEE" w:rsidP="00C96667">
      <w:pPr>
        <w:pStyle w:val="LV1"/>
      </w:pPr>
      <w:bookmarkStart w:id="17" w:name="_Toc426035921"/>
      <w:r w:rsidRPr="00A20CA1">
        <w:t>Basis for determining the factors</w:t>
      </w:r>
      <w:bookmarkEnd w:id="17"/>
    </w:p>
    <w:p w:rsidR="007C7DEE" w:rsidRPr="00237BAF" w:rsidRDefault="00D33883" w:rsidP="00F97A62">
      <w:pPr>
        <w:pStyle w:val="PlainIndent"/>
      </w:pPr>
      <w:r w:rsidRPr="00283A64">
        <w:t>The Repatriation Medical Authority is of the view that there is sound medical</w:t>
      </w:r>
      <w:r>
        <w:noBreakHyphen/>
      </w:r>
      <w:r w:rsidRPr="00283A64">
        <w:t>scientific evidence that indicates</w:t>
      </w:r>
      <w:r w:rsidRPr="00D5620B">
        <w:t xml:space="preserve"> </w:t>
      </w:r>
      <w:r w:rsidR="007C7DEE" w:rsidRPr="00D5620B">
        <w:t xml:space="preserve">that </w:t>
      </w:r>
      <w:r w:rsidR="00FE118D" w:rsidRPr="00B54C69">
        <w:rPr>
          <w:bCs/>
          <w:lang w:val="en-US"/>
        </w:rPr>
        <w:t>malignant neoplasm of the oesophagus</w:t>
      </w:r>
      <w:r w:rsidR="008E4A16">
        <w:t xml:space="preserve"> </w:t>
      </w:r>
      <w:r w:rsidR="007C7DEE" w:rsidRPr="00D5620B">
        <w:t>and death from</w:t>
      </w:r>
      <w:r w:rsidR="00D5620B">
        <w:t xml:space="preserve"> </w:t>
      </w:r>
      <w:r w:rsidR="00FE118D" w:rsidRPr="00B54C69">
        <w:rPr>
          <w:bCs/>
          <w:lang w:val="en-US"/>
        </w:rPr>
        <w:t>malignant neoplasm of the oesophagus</w:t>
      </w:r>
      <w:r w:rsidR="008E4A16">
        <w:t xml:space="preserve"> </w:t>
      </w:r>
      <w:r w:rsidRPr="00D5620B">
        <w:t>can</w:t>
      </w:r>
      <w:r w:rsidRPr="00237BAF">
        <w:t xml:space="preserve"> be related to relevant service </w:t>
      </w:r>
      <w:r w:rsidRPr="00283A64">
        <w:t>rendered by veterans, members of Peacekeeping Forces, or members of the Forces under the VEA, or members under the MRCA</w:t>
      </w:r>
      <w:r w:rsidR="007C7DEE" w:rsidRPr="00237BAF">
        <w:t>.</w:t>
      </w:r>
    </w:p>
    <w:p w:rsidR="00885EAB" w:rsidRPr="00046E67" w:rsidRDefault="00046E67" w:rsidP="00046E67">
      <w:pPr>
        <w:pStyle w:val="NOTE"/>
      </w:pPr>
      <w:r>
        <w:t xml:space="preserve">Note: </w:t>
      </w:r>
      <w:r w:rsidR="00C9794D">
        <w:rPr>
          <w:b/>
          <w:i/>
        </w:rPr>
        <w:t>r</w:t>
      </w:r>
      <w:r w:rsidR="000E4183" w:rsidRPr="00FA33FB">
        <w:rPr>
          <w:b/>
          <w:i/>
        </w:rPr>
        <w:t>elevant service</w:t>
      </w:r>
      <w:r w:rsidR="000E4183" w:rsidRPr="00FA33FB">
        <w:t xml:space="preserve"> </w:t>
      </w:r>
      <w:r w:rsidR="00885EAB" w:rsidRPr="00046E67">
        <w:t xml:space="preserve">is defined in the </w:t>
      </w:r>
      <w:r w:rsidR="00D32F71">
        <w:t xml:space="preserve">Schedule 1 </w:t>
      </w:r>
      <w:r w:rsidR="00FA0587">
        <w:t>–</w:t>
      </w:r>
      <w:r w:rsidR="00D32F71">
        <w:t xml:space="preserve"> </w:t>
      </w:r>
      <w:r w:rsidR="00885EAB" w:rsidRPr="00046E67">
        <w:t>Dictionary</w:t>
      </w:r>
      <w:r w:rsidR="00FA0587">
        <w:t>.</w:t>
      </w:r>
    </w:p>
    <w:p w:rsidR="007C7DEE" w:rsidRPr="00301C54" w:rsidRDefault="007C7DEE" w:rsidP="00C96667">
      <w:pPr>
        <w:pStyle w:val="LV1"/>
      </w:pPr>
      <w:bookmarkStart w:id="18" w:name="_Ref411946955"/>
      <w:bookmarkStart w:id="19" w:name="_Ref411946997"/>
      <w:bookmarkStart w:id="20" w:name="_Ref412032503"/>
      <w:bookmarkStart w:id="21" w:name="_Toc426035922"/>
      <w:r w:rsidRPr="00301C54">
        <w:t xml:space="preserve">Factors that must </w:t>
      </w:r>
      <w:r w:rsidR="00D32F71">
        <w:t>exist</w:t>
      </w:r>
      <w:bookmarkEnd w:id="18"/>
      <w:bookmarkEnd w:id="19"/>
      <w:bookmarkEnd w:id="20"/>
      <w:bookmarkEnd w:id="21"/>
    </w:p>
    <w:p w:rsidR="007C7DEE" w:rsidRPr="00AA6D8B" w:rsidRDefault="00D33883" w:rsidP="006647B7">
      <w:pPr>
        <w:pStyle w:val="PlainIndent"/>
      </w:pPr>
      <w:bookmarkStart w:id="22" w:name="_Ref402530190"/>
      <w:r w:rsidRPr="00283A64">
        <w:t>At least one of the following factors must as a minimum exist before it can be said that a reasonable hypothesis has been raised connecting</w:t>
      </w:r>
      <w:r w:rsidR="007C7DEE" w:rsidRPr="00AA6D8B">
        <w:t xml:space="preserve"> </w:t>
      </w:r>
      <w:r w:rsidR="00FE118D" w:rsidRPr="00B54C69">
        <w:rPr>
          <w:bCs/>
          <w:lang w:val="en-US"/>
        </w:rPr>
        <w:t>malignant neoplasm of the oesophagus</w:t>
      </w:r>
      <w:r w:rsidR="008E4A16">
        <w:t xml:space="preserve"> </w:t>
      </w:r>
      <w:r w:rsidR="007C7DEE" w:rsidRPr="00AA6D8B">
        <w:t xml:space="preserve">or death from </w:t>
      </w:r>
      <w:r w:rsidR="00FE118D" w:rsidRPr="00B54C69">
        <w:rPr>
          <w:bCs/>
          <w:lang w:val="en-US"/>
        </w:rPr>
        <w:t>malignant neoplasm of the oesophagus</w:t>
      </w:r>
      <w:r w:rsidR="008E4A16">
        <w:t xml:space="preserve"> </w:t>
      </w:r>
      <w:r w:rsidR="007C7DEE" w:rsidRPr="00AA6D8B">
        <w:t>with the circumstances of a pers</w:t>
      </w:r>
      <w:r w:rsidR="002A1ECC" w:rsidRPr="00AA6D8B">
        <w:t>on’s relevant service</w:t>
      </w:r>
      <w:r w:rsidR="007C7DEE" w:rsidRPr="00AA6D8B">
        <w:t>:</w:t>
      </w:r>
      <w:bookmarkEnd w:id="22"/>
    </w:p>
    <w:p w:rsidR="00E63DA0" w:rsidRPr="00E63DA0" w:rsidRDefault="00E63DA0" w:rsidP="00620347">
      <w:pPr>
        <w:pStyle w:val="LV2"/>
        <w:rPr>
          <w:lang w:val="en-AU"/>
        </w:rPr>
      </w:pPr>
      <w:r w:rsidRPr="00E63DA0">
        <w:t xml:space="preserve">smoking at least 2.5 pack-years of cigarettes, or the equivalent thereof in other tobacco products, before the clinical onset of malignant neoplasm of the oesophagus, </w:t>
      </w:r>
      <w:r w:rsidR="00B52E84">
        <w:t>and</w:t>
      </w:r>
      <w:r w:rsidR="00FE118D">
        <w:t>:</w:t>
      </w:r>
    </w:p>
    <w:p w:rsidR="00E63DA0" w:rsidRPr="00E63DA0" w:rsidRDefault="00E63DA0" w:rsidP="00E63DA0">
      <w:pPr>
        <w:pStyle w:val="LV3"/>
      </w:pPr>
      <w:r w:rsidRPr="00E63DA0">
        <w:rPr>
          <w:lang w:val="en-US"/>
        </w:rPr>
        <w:t xml:space="preserve">smoking commenced at least five years before the clinical onset of malignant neoplasm of the oesophagus; and </w:t>
      </w:r>
    </w:p>
    <w:p w:rsidR="007C7DEE" w:rsidRPr="008D1B8B" w:rsidRDefault="00E63DA0" w:rsidP="00E63DA0">
      <w:pPr>
        <w:pStyle w:val="LV3"/>
      </w:pPr>
      <w:r w:rsidRPr="00E63DA0">
        <w:rPr>
          <w:lang w:val="en-US"/>
        </w:rPr>
        <w:t>where smoking has ceased, the clinical onset of malignant neoplasm of the oesophagus has occurred within 20 years of cessation;</w:t>
      </w:r>
    </w:p>
    <w:p w:rsidR="00885EAB" w:rsidRPr="00046E67" w:rsidRDefault="00046E67" w:rsidP="002717B2">
      <w:pPr>
        <w:pStyle w:val="NOTE"/>
      </w:pPr>
      <w:r>
        <w:t xml:space="preserve">Note: </w:t>
      </w:r>
      <w:r w:rsidR="00E63DA0" w:rsidRPr="00E63DA0">
        <w:rPr>
          <w:b/>
          <w:i/>
        </w:rPr>
        <w:t>pack-years of cigarettes, or the equivalent thereof in other tobacco products</w:t>
      </w:r>
      <w:r w:rsidR="00885EAB" w:rsidRPr="00046E67">
        <w:t xml:space="preserve"> is defined in the </w:t>
      </w:r>
      <w:r w:rsidR="00FA0587">
        <w:t xml:space="preserve">Schedule 1 - </w:t>
      </w:r>
      <w:r w:rsidR="00885EAB" w:rsidRPr="002717B2">
        <w:t>Dictionary</w:t>
      </w:r>
      <w:r w:rsidR="00885EAB" w:rsidRPr="00046E67">
        <w:t>.</w:t>
      </w:r>
    </w:p>
    <w:p w:rsidR="0034057D" w:rsidRDefault="0034057D" w:rsidP="00620347">
      <w:pPr>
        <w:pStyle w:val="LV2"/>
      </w:pPr>
      <w:r w:rsidRPr="00262EA3">
        <w:lastRenderedPageBreak/>
        <w:t xml:space="preserve">the oral use of smokeless tobacco on more days than not, for at least </w:t>
      </w:r>
      <w:r>
        <w:t>five</w:t>
      </w:r>
      <w:r w:rsidRPr="00262EA3">
        <w:t xml:space="preserve"> years before the clinical onset of malignant neoplasm of the oesophagus, and where the oral use of smokeless tobacco has ceased, the clinical onset of malignant neoplasm of the oesophagus has occurred within 15 years of cessation;</w:t>
      </w:r>
    </w:p>
    <w:p w:rsidR="0034057D" w:rsidRDefault="0034057D" w:rsidP="0034057D">
      <w:pPr>
        <w:pStyle w:val="NOTE"/>
      </w:pPr>
      <w:r>
        <w:t xml:space="preserve">Note: </w:t>
      </w:r>
      <w:r w:rsidRPr="0034057D">
        <w:rPr>
          <w:b/>
          <w:i/>
        </w:rPr>
        <w:tab/>
        <w:t>smokeless tobacco</w:t>
      </w:r>
      <w:r w:rsidRPr="00046E67">
        <w:t xml:space="preserve"> is defined in the </w:t>
      </w:r>
      <w:r>
        <w:t xml:space="preserve">Schedule 1 - </w:t>
      </w:r>
      <w:r w:rsidRPr="002717B2">
        <w:t>Dictionary</w:t>
      </w:r>
      <w:r w:rsidRPr="00046E67">
        <w:t>.</w:t>
      </w:r>
    </w:p>
    <w:p w:rsidR="0034057D" w:rsidRDefault="00A14BDE" w:rsidP="00620347">
      <w:pPr>
        <w:pStyle w:val="LV2"/>
      </w:pPr>
      <w:r w:rsidRPr="00262EA3">
        <w:t>having received a cumulative equivalent dose of at least 0.1 sievert of ionising radiation to the oesoph</w:t>
      </w:r>
      <w:r w:rsidR="00A44C06">
        <w:t>agus at least five</w:t>
      </w:r>
      <w:r w:rsidRPr="00262EA3">
        <w:t xml:space="preserve"> years before the clinical onset of malignant neoplasm of the oesophagus;</w:t>
      </w:r>
    </w:p>
    <w:p w:rsidR="00A14BDE" w:rsidRDefault="00A14BDE" w:rsidP="00A14BDE">
      <w:pPr>
        <w:pStyle w:val="NOTE"/>
      </w:pPr>
      <w:r>
        <w:t xml:space="preserve">Note: </w:t>
      </w:r>
      <w:r w:rsidRPr="0034057D">
        <w:rPr>
          <w:b/>
          <w:i/>
        </w:rPr>
        <w:tab/>
      </w:r>
      <w:r w:rsidR="0058129E" w:rsidRPr="0058129E">
        <w:rPr>
          <w:b/>
          <w:i/>
        </w:rPr>
        <w:t>cumulative equivalent dose</w:t>
      </w:r>
      <w:r w:rsidRPr="00046E67">
        <w:t xml:space="preserve"> is defined in the </w:t>
      </w:r>
      <w:r>
        <w:t xml:space="preserve">Schedule 1 - </w:t>
      </w:r>
      <w:r w:rsidRPr="002717B2">
        <w:t>Dictionary</w:t>
      </w:r>
      <w:r w:rsidRPr="00046E67">
        <w:t>.</w:t>
      </w:r>
    </w:p>
    <w:p w:rsidR="00620347" w:rsidRPr="007B78E7" w:rsidRDefault="00620347" w:rsidP="00620347">
      <w:pPr>
        <w:pStyle w:val="LV2"/>
      </w:pPr>
      <w:r w:rsidRPr="007B78E7">
        <w:t>inhaling respirable asbestos fibres in an enclosed space:</w:t>
      </w:r>
    </w:p>
    <w:p w:rsidR="00620347" w:rsidRPr="007B78E7" w:rsidRDefault="00620347" w:rsidP="00620347">
      <w:pPr>
        <w:pStyle w:val="LV3"/>
        <w:rPr>
          <w:lang w:val="en-US"/>
        </w:rPr>
      </w:pPr>
      <w:r w:rsidRPr="007B78E7">
        <w:rPr>
          <w:lang w:val="en-US"/>
        </w:rPr>
        <w:t>for a cumulative period of at least 1 000 hours before the clinical onset of malignant neoplasm of the oesophagus; and</w:t>
      </w:r>
    </w:p>
    <w:p w:rsidR="00620347" w:rsidRPr="007B78E7" w:rsidRDefault="00620347" w:rsidP="00620347">
      <w:pPr>
        <w:pStyle w:val="LV3"/>
        <w:rPr>
          <w:lang w:val="en-US"/>
        </w:rPr>
      </w:pPr>
      <w:r w:rsidRPr="007B78E7">
        <w:rPr>
          <w:lang w:val="en-US"/>
        </w:rPr>
        <w:t>at the time material containing respirable asbestos fibres was being applied, removed, dislodged, cut or drilled; and</w:t>
      </w:r>
    </w:p>
    <w:p w:rsidR="00620347" w:rsidRPr="00620347" w:rsidRDefault="00620347" w:rsidP="00620347">
      <w:pPr>
        <w:pStyle w:val="LV3"/>
      </w:pPr>
      <w:r w:rsidRPr="007B78E7">
        <w:tab/>
        <w:t>the first inhalation of respirable asbestos fibres commenced at least five years before the clinical onset of malignant neoplasm of the oesophagus;</w:t>
      </w:r>
    </w:p>
    <w:p w:rsidR="00084136" w:rsidRPr="007B78E7" w:rsidRDefault="00084136" w:rsidP="00084136">
      <w:pPr>
        <w:pStyle w:val="LV2"/>
      </w:pPr>
      <w:r w:rsidRPr="007B78E7">
        <w:t>inhaling respirable asbestos fibres in an open environment:</w:t>
      </w:r>
    </w:p>
    <w:p w:rsidR="00084136" w:rsidRPr="007B78E7" w:rsidRDefault="00084136" w:rsidP="00084136">
      <w:pPr>
        <w:pStyle w:val="LV3"/>
        <w:rPr>
          <w:lang w:val="en-US"/>
        </w:rPr>
      </w:pPr>
      <w:r w:rsidRPr="007B78E7">
        <w:rPr>
          <w:lang w:val="en-US"/>
        </w:rPr>
        <w:t>for a cumulative period of at least 3 000 hours before the clinical onset of malignant neoplasm of the oesophagus; and</w:t>
      </w:r>
    </w:p>
    <w:p w:rsidR="00084136" w:rsidRPr="007B78E7" w:rsidRDefault="00084136" w:rsidP="00084136">
      <w:pPr>
        <w:pStyle w:val="LV3"/>
        <w:rPr>
          <w:lang w:val="en-US"/>
        </w:rPr>
      </w:pPr>
      <w:r w:rsidRPr="007B78E7">
        <w:rPr>
          <w:lang w:val="en-US"/>
        </w:rPr>
        <w:t>at the time material containing respirable asbestos fibres was being applied, removed, dislodged, cut or drilled; and</w:t>
      </w:r>
    </w:p>
    <w:p w:rsidR="00620347" w:rsidRDefault="00084136" w:rsidP="00084136">
      <w:pPr>
        <w:pStyle w:val="LV3"/>
      </w:pPr>
      <w:r w:rsidRPr="007B78E7">
        <w:t>the first inhalation of respirable asbestos fibres commenced at least five years before the clinical onset of malignant neoplasm of the oesophagus;</w:t>
      </w:r>
    </w:p>
    <w:p w:rsidR="001C6CFB" w:rsidRDefault="00A313F8" w:rsidP="00620347">
      <w:pPr>
        <w:pStyle w:val="LV2"/>
      </w:pPr>
      <w:r w:rsidRPr="00262EA3">
        <w:t>for squamous cell or undifferentiated c</w:t>
      </w:r>
      <w:r>
        <w:t>arcinoma of the oesophagus only:</w:t>
      </w:r>
    </w:p>
    <w:p w:rsidR="00A313F8" w:rsidRDefault="00A313F8" w:rsidP="00A313F8">
      <w:pPr>
        <w:pStyle w:val="LV3"/>
      </w:pPr>
      <w:r w:rsidRPr="00262EA3">
        <w:t>drinking at least 180 kilograms of alcohol before the clinical onset of malignant neoplasm of the oesophagus;</w:t>
      </w:r>
    </w:p>
    <w:p w:rsidR="00A313F8" w:rsidRPr="00A313F8" w:rsidRDefault="00A313F8" w:rsidP="00A313F8">
      <w:pPr>
        <w:pStyle w:val="LV3"/>
      </w:pPr>
      <w:r w:rsidRPr="00262EA3">
        <w:rPr>
          <w:lang w:val="en-US"/>
        </w:rPr>
        <w:t>having a caustic burn of the oesophagus, at least ten years before the clinical onset of malignant neoplasm of the oesophagus;</w:t>
      </w:r>
    </w:p>
    <w:p w:rsidR="00A313F8" w:rsidRDefault="00A313F8" w:rsidP="00A313F8">
      <w:pPr>
        <w:pStyle w:val="LV3"/>
      </w:pPr>
      <w:r w:rsidRPr="00262EA3">
        <w:t>having Plummer-Vinson syndrome at the time of the clinical onset of malignant neoplasm of the oesophagus;</w:t>
      </w:r>
    </w:p>
    <w:p w:rsidR="00A313F8" w:rsidRDefault="00A313F8" w:rsidP="00A313F8">
      <w:pPr>
        <w:pStyle w:val="LV3"/>
      </w:pPr>
      <w:r w:rsidRPr="00262EA3">
        <w:t>drinking maté on more days than not for at least five years before the clinical onset of malignant neoplasm of the oesophagus</w:t>
      </w:r>
      <w:r w:rsidR="003A7900">
        <w:t>,</w:t>
      </w:r>
      <w:r w:rsidRPr="00262EA3">
        <w:t xml:space="preserve"> and where drinking maté has ceased, the clinical onset of malignant neoplasm of the oesophagus has occurred within 15 years of cessation;</w:t>
      </w:r>
      <w:r w:rsidR="009A7918">
        <w:t xml:space="preserve"> or</w:t>
      </w:r>
    </w:p>
    <w:p w:rsidR="0034057D" w:rsidRPr="00E576C6" w:rsidRDefault="00B54C69" w:rsidP="00B54C69">
      <w:pPr>
        <w:pStyle w:val="LV3"/>
      </w:pPr>
      <w:r w:rsidRPr="00B54C69">
        <w:rPr>
          <w:color w:val="000000"/>
        </w:rPr>
        <w:t xml:space="preserve">acquiring persistent infection of the epithelium of the oesophagus with a strain from the specified list of human </w:t>
      </w:r>
      <w:r w:rsidRPr="00B54C69">
        <w:rPr>
          <w:color w:val="000000"/>
        </w:rPr>
        <w:lastRenderedPageBreak/>
        <w:t xml:space="preserve">papilloma virus </w:t>
      </w:r>
      <w:r>
        <w:rPr>
          <w:color w:val="000000"/>
        </w:rPr>
        <w:t xml:space="preserve">(HPV) </w:t>
      </w:r>
      <w:r w:rsidRPr="00B54C69">
        <w:rPr>
          <w:color w:val="000000"/>
        </w:rPr>
        <w:t>strains before the clinical onset of malignant neoplasm of the oesophagus</w:t>
      </w:r>
      <w:r w:rsidR="0034057D" w:rsidRPr="00262EA3">
        <w:rPr>
          <w:color w:val="000000"/>
        </w:rPr>
        <w:t>;</w:t>
      </w:r>
    </w:p>
    <w:p w:rsidR="001C6CFB" w:rsidRPr="00046E67" w:rsidRDefault="001C6CFB" w:rsidP="001C6CFB">
      <w:pPr>
        <w:pStyle w:val="NOTE"/>
      </w:pPr>
      <w:r>
        <w:t xml:space="preserve">Note: </w:t>
      </w:r>
      <w:r w:rsidR="001B00F0">
        <w:rPr>
          <w:b/>
          <w:i/>
        </w:rPr>
        <w:t>alcohol</w:t>
      </w:r>
      <w:r w:rsidR="00B54C69">
        <w:t>,</w:t>
      </w:r>
      <w:r w:rsidR="001B00F0">
        <w:t xml:space="preserve"> </w:t>
      </w:r>
      <w:r w:rsidR="001B00F0">
        <w:rPr>
          <w:b/>
          <w:i/>
        </w:rPr>
        <w:t>Plummer-Vinson syndrome</w:t>
      </w:r>
      <w:r w:rsidR="009A7918">
        <w:t xml:space="preserve"> a</w:t>
      </w:r>
      <w:r w:rsidR="00B54C69">
        <w:t xml:space="preserve">nd </w:t>
      </w:r>
      <w:r w:rsidR="00B54C69" w:rsidRPr="00B54C69">
        <w:rPr>
          <w:b/>
          <w:i/>
        </w:rPr>
        <w:t>specified list of human papilloma virus (HPV) strains</w:t>
      </w:r>
      <w:r w:rsidR="00B54C69" w:rsidRPr="00B54C69">
        <w:t xml:space="preserve"> </w:t>
      </w:r>
      <w:r w:rsidR="00B54C69">
        <w:t>a</w:t>
      </w:r>
      <w:r w:rsidR="009A7918">
        <w:t>re</w:t>
      </w:r>
      <w:r w:rsidRPr="00046E67">
        <w:t xml:space="preserve"> defined in the </w:t>
      </w:r>
      <w:r>
        <w:t xml:space="preserve">Schedule 1 - </w:t>
      </w:r>
      <w:r w:rsidRPr="002717B2">
        <w:t>Dictionary</w:t>
      </w:r>
      <w:r w:rsidRPr="00046E67">
        <w:t>.</w:t>
      </w:r>
    </w:p>
    <w:p w:rsidR="00A313F8" w:rsidRPr="00A313F8" w:rsidRDefault="00A313F8" w:rsidP="00620347">
      <w:pPr>
        <w:pStyle w:val="LV2"/>
        <w:rPr>
          <w:lang w:val="en-AU"/>
        </w:rPr>
      </w:pPr>
      <w:bookmarkStart w:id="23" w:name="_Ref402530260"/>
      <w:bookmarkStart w:id="24" w:name="_Ref409598844"/>
      <w:r w:rsidRPr="00262EA3">
        <w:t>for adenocarcinoma or undifferentiated carcinoma of the</w:t>
      </w:r>
      <w:r>
        <w:t xml:space="preserve"> </w:t>
      </w:r>
      <w:r w:rsidRPr="00262EA3">
        <w:t>oesophagus only</w:t>
      </w:r>
      <w:r>
        <w:t>:</w:t>
      </w:r>
    </w:p>
    <w:p w:rsidR="004A6425" w:rsidRDefault="004A6425" w:rsidP="004A6425">
      <w:pPr>
        <w:pStyle w:val="LV3"/>
      </w:pPr>
      <w:r w:rsidRPr="00262EA3">
        <w:t xml:space="preserve">being obese for at least </w:t>
      </w:r>
      <w:r>
        <w:t>five</w:t>
      </w:r>
      <w:r w:rsidRPr="00262EA3">
        <w:t xml:space="preserve"> years within the 20 years before the clinical onset of malignant neoplasm of the oesophagus</w:t>
      </w:r>
      <w:r>
        <w:t xml:space="preserve">; </w:t>
      </w:r>
    </w:p>
    <w:p w:rsidR="00A313F8" w:rsidRDefault="0034057D" w:rsidP="00A313F8">
      <w:pPr>
        <w:pStyle w:val="LV3"/>
      </w:pPr>
      <w:r w:rsidRPr="00262EA3">
        <w:t xml:space="preserve">having </w:t>
      </w:r>
      <w:r>
        <w:t>Barrett's o</w:t>
      </w:r>
      <w:r w:rsidRPr="007B78E7">
        <w:t>esophagus</w:t>
      </w:r>
      <w:r w:rsidRPr="00262EA3">
        <w:t xml:space="preserve"> before the clinical onset of malignant neoplasm</w:t>
      </w:r>
      <w:r>
        <w:t xml:space="preserve"> </w:t>
      </w:r>
      <w:r w:rsidRPr="00262EA3">
        <w:t>of the oesophagus;</w:t>
      </w:r>
      <w:r w:rsidR="004A6425">
        <w:t xml:space="preserve"> or</w:t>
      </w:r>
    </w:p>
    <w:p w:rsidR="004A6425" w:rsidRDefault="004A6425" w:rsidP="004A6425">
      <w:pPr>
        <w:pStyle w:val="LV3"/>
      </w:pPr>
      <w:r w:rsidRPr="00262EA3">
        <w:t>having gastro-oesophageal reflux disease for at least the</w:t>
      </w:r>
      <w:r>
        <w:t xml:space="preserve"> </w:t>
      </w:r>
      <w:r w:rsidRPr="00262EA3">
        <w:t>five years before the clinical onset of malignant neoplasm</w:t>
      </w:r>
      <w:r>
        <w:t xml:space="preserve"> </w:t>
      </w:r>
      <w:r w:rsidRPr="00262EA3">
        <w:t>of the oesophagus;</w:t>
      </w:r>
    </w:p>
    <w:p w:rsidR="001B00F0" w:rsidRPr="00046E67" w:rsidRDefault="001B00F0" w:rsidP="001B00F0">
      <w:pPr>
        <w:pStyle w:val="NOTE"/>
      </w:pPr>
      <w:r>
        <w:t xml:space="preserve">Note: </w:t>
      </w:r>
      <w:r w:rsidR="004521C9" w:rsidRPr="004521C9">
        <w:rPr>
          <w:b/>
          <w:i/>
        </w:rPr>
        <w:t>Barrett's oesophagus</w:t>
      </w:r>
      <w:r w:rsidR="004521C9">
        <w:t xml:space="preserve"> and </w:t>
      </w:r>
      <w:r>
        <w:rPr>
          <w:b/>
          <w:i/>
        </w:rPr>
        <w:t>being obese</w:t>
      </w:r>
      <w:r w:rsidRPr="00046E67">
        <w:t xml:space="preserve"> </w:t>
      </w:r>
      <w:r w:rsidR="004521C9">
        <w:t>are</w:t>
      </w:r>
      <w:r w:rsidRPr="00046E67">
        <w:t xml:space="preserve"> defined in the </w:t>
      </w:r>
      <w:r>
        <w:t xml:space="preserve">Schedule 1 - </w:t>
      </w:r>
      <w:r w:rsidRPr="002717B2">
        <w:t>Dictionary</w:t>
      </w:r>
      <w:r w:rsidRPr="00046E67">
        <w:t>.</w:t>
      </w:r>
    </w:p>
    <w:p w:rsidR="004A6425" w:rsidRPr="00D927F5" w:rsidRDefault="004A6425" w:rsidP="004A6425">
      <w:pPr>
        <w:pStyle w:val="LV2"/>
        <w:rPr>
          <w:lang w:val="en-AU"/>
        </w:rPr>
      </w:pPr>
      <w:r w:rsidRPr="00262EA3">
        <w:t>having achalasia at the time of the clinical onset of malignant neoplasm of the oesophagus;</w:t>
      </w:r>
    </w:p>
    <w:p w:rsidR="004A6425" w:rsidRDefault="004A6425" w:rsidP="004A6425">
      <w:pPr>
        <w:pStyle w:val="NOTE"/>
      </w:pPr>
      <w:r>
        <w:t xml:space="preserve">Note: </w:t>
      </w:r>
      <w:r w:rsidRPr="0034057D">
        <w:rPr>
          <w:b/>
          <w:i/>
        </w:rPr>
        <w:tab/>
      </w:r>
      <w:r w:rsidRPr="00D927F5">
        <w:rPr>
          <w:b/>
          <w:i/>
        </w:rPr>
        <w:t>achalasia</w:t>
      </w:r>
      <w:r w:rsidRPr="00046E67">
        <w:t xml:space="preserve"> is defined in the </w:t>
      </w:r>
      <w:r>
        <w:t xml:space="preserve">Schedule 1 - </w:t>
      </w:r>
      <w:r w:rsidRPr="002717B2">
        <w:t>Dictionary</w:t>
      </w:r>
      <w:r w:rsidRPr="00046E67">
        <w:t>.</w:t>
      </w:r>
    </w:p>
    <w:p w:rsidR="004A6425" w:rsidRPr="00122A51" w:rsidRDefault="004A6425" w:rsidP="004A6425">
      <w:pPr>
        <w:pStyle w:val="LV2"/>
        <w:rPr>
          <w:lang w:val="en-AU"/>
        </w:rPr>
      </w:pPr>
      <w:r w:rsidRPr="00262EA3">
        <w:t>having pernicious anaemia for at least the five years before the</w:t>
      </w:r>
      <w:r>
        <w:t xml:space="preserve"> </w:t>
      </w:r>
      <w:r w:rsidRPr="00122A51">
        <w:t>clinical onset of malignant neoplasm of the oesophagus;</w:t>
      </w:r>
    </w:p>
    <w:p w:rsidR="004A6425" w:rsidRDefault="004A6425" w:rsidP="004A6425">
      <w:pPr>
        <w:pStyle w:val="NOTE"/>
      </w:pPr>
      <w:r>
        <w:t xml:space="preserve">Note: </w:t>
      </w:r>
      <w:r w:rsidRPr="0034057D">
        <w:rPr>
          <w:b/>
          <w:i/>
        </w:rPr>
        <w:tab/>
      </w:r>
      <w:r w:rsidRPr="00122A51">
        <w:rPr>
          <w:b/>
          <w:i/>
        </w:rPr>
        <w:t>pernicious anaemia</w:t>
      </w:r>
      <w:r w:rsidRPr="00046E67">
        <w:t xml:space="preserve"> is defined in the </w:t>
      </w:r>
      <w:r>
        <w:t xml:space="preserve">Schedule 1 - </w:t>
      </w:r>
      <w:r w:rsidRPr="002717B2">
        <w:t>Dictionary</w:t>
      </w:r>
      <w:r w:rsidRPr="00046E67">
        <w:t>.</w:t>
      </w:r>
    </w:p>
    <w:p w:rsidR="004A6425" w:rsidRPr="00122A51" w:rsidRDefault="004A6425" w:rsidP="004A6425">
      <w:pPr>
        <w:pStyle w:val="LV2"/>
        <w:rPr>
          <w:lang w:val="en-AU"/>
        </w:rPr>
      </w:pPr>
      <w:r w:rsidRPr="00262EA3">
        <w:t xml:space="preserve">chewing betel quid or areca nut on more days than not for at least </w:t>
      </w:r>
      <w:r>
        <w:t>five</w:t>
      </w:r>
      <w:r w:rsidRPr="00262EA3">
        <w:t xml:space="preserve"> years before the clinical onset of malignant neoplasm of the oesophagus, and where chewing betel quid or areca nut has ceased, the clinical onset</w:t>
      </w:r>
      <w:r>
        <w:t xml:space="preserve"> </w:t>
      </w:r>
      <w:r w:rsidRPr="00262EA3">
        <w:t xml:space="preserve">of malignant neoplasm of the oesophagus has occurred within </w:t>
      </w:r>
      <w:r>
        <w:t>15</w:t>
      </w:r>
      <w:r w:rsidRPr="00262EA3">
        <w:t xml:space="preserve"> years of cessation;</w:t>
      </w:r>
    </w:p>
    <w:p w:rsidR="004A6425" w:rsidRDefault="004A6425" w:rsidP="004A6425">
      <w:pPr>
        <w:pStyle w:val="LV2"/>
      </w:pPr>
      <w:r w:rsidRPr="00262EA3">
        <w:t>consuming an average daily intake of at least 100 grams per day of red</w:t>
      </w:r>
      <w:r>
        <w:t xml:space="preserve"> </w:t>
      </w:r>
      <w:r w:rsidRPr="00262EA3">
        <w:t>meat, for at least ten years within the 25 years before the clinical onset</w:t>
      </w:r>
      <w:r>
        <w:t xml:space="preserve"> </w:t>
      </w:r>
      <w:r w:rsidRPr="00262EA3">
        <w:t>of malignant neoplasm of the oesophagus;</w:t>
      </w:r>
    </w:p>
    <w:p w:rsidR="004A6425" w:rsidRDefault="004A6425" w:rsidP="004A6425">
      <w:pPr>
        <w:pStyle w:val="LV2"/>
      </w:pPr>
      <w:r w:rsidRPr="00262EA3">
        <w:t>consuming an average daily intake of at least 25 grams per day of</w:t>
      </w:r>
      <w:r>
        <w:t xml:space="preserve"> </w:t>
      </w:r>
      <w:r w:rsidRPr="00262EA3">
        <w:t>processed meat product, for at least ten years within the 25 years</w:t>
      </w:r>
      <w:r>
        <w:t xml:space="preserve"> </w:t>
      </w:r>
      <w:r w:rsidRPr="00262EA3">
        <w:t>before the clinical onset of malignant neoplasm of the oesophagus;</w:t>
      </w:r>
    </w:p>
    <w:p w:rsidR="004A6425" w:rsidRDefault="004A6425" w:rsidP="004A6425">
      <w:pPr>
        <w:pStyle w:val="NOTE"/>
      </w:pPr>
      <w:r>
        <w:t xml:space="preserve">Note: </w:t>
      </w:r>
      <w:r w:rsidRPr="0034057D">
        <w:rPr>
          <w:b/>
          <w:i/>
        </w:rPr>
        <w:tab/>
      </w:r>
      <w:r w:rsidRPr="0027539C">
        <w:rPr>
          <w:b/>
          <w:i/>
        </w:rPr>
        <w:t>processed meat product</w:t>
      </w:r>
      <w:r w:rsidRPr="00046E67">
        <w:t xml:space="preserve"> is defined in the </w:t>
      </w:r>
      <w:r>
        <w:t xml:space="preserve">Schedule 1 - </w:t>
      </w:r>
      <w:r w:rsidRPr="002717B2">
        <w:t>Dictionary</w:t>
      </w:r>
      <w:r w:rsidRPr="00046E67">
        <w:t>.</w:t>
      </w:r>
    </w:p>
    <w:p w:rsidR="00B92DB6" w:rsidRPr="00620347" w:rsidRDefault="00B92DB6" w:rsidP="00B92DB6">
      <w:pPr>
        <w:pStyle w:val="LV2"/>
        <w:rPr>
          <w:lang w:val="en-AU"/>
        </w:rPr>
      </w:pPr>
      <w:r>
        <w:t>c</w:t>
      </w:r>
      <w:r w:rsidRPr="00262EA3">
        <w:t xml:space="preserve">onsuming </w:t>
      </w:r>
      <w:r>
        <w:t xml:space="preserve">hot </w:t>
      </w:r>
      <w:r w:rsidRPr="00262EA3">
        <w:t>beverages on more days than not for at least ten years before the clinical onset of malignant neoplasm of the oesophagus, and where consuming hot beverages has ceased, the clinical onset</w:t>
      </w:r>
      <w:r>
        <w:t xml:space="preserve"> </w:t>
      </w:r>
      <w:r w:rsidRPr="00262EA3">
        <w:t>of malignant neoplasm of the oesophagus has occurred within ten years of cessation;</w:t>
      </w:r>
    </w:p>
    <w:p w:rsidR="00B92DB6" w:rsidRPr="00B92DB6" w:rsidRDefault="00B92DB6" w:rsidP="00B92DB6">
      <w:pPr>
        <w:pStyle w:val="NOTE"/>
      </w:pPr>
      <w:r>
        <w:t xml:space="preserve">Note: </w:t>
      </w:r>
      <w:r w:rsidRPr="0034057D">
        <w:rPr>
          <w:b/>
          <w:i/>
        </w:rPr>
        <w:tab/>
      </w:r>
      <w:r w:rsidRPr="00620347">
        <w:rPr>
          <w:b/>
          <w:i/>
        </w:rPr>
        <w:t>hot beverages</w:t>
      </w:r>
      <w:r w:rsidRPr="00046E67">
        <w:t xml:space="preserve"> is defined in the </w:t>
      </w:r>
      <w:r>
        <w:t xml:space="preserve">Schedule 1 - </w:t>
      </w:r>
      <w:r w:rsidRPr="002717B2">
        <w:t>Dictionary</w:t>
      </w:r>
      <w:r w:rsidRPr="00046E67">
        <w:t>.</w:t>
      </w:r>
    </w:p>
    <w:p w:rsidR="00B843C1" w:rsidRPr="00122A51" w:rsidRDefault="00B843C1" w:rsidP="00B843C1">
      <w:pPr>
        <w:pStyle w:val="LV2"/>
        <w:rPr>
          <w:lang w:val="en-AU"/>
        </w:rPr>
      </w:pPr>
      <w:r w:rsidRPr="00262EA3">
        <w:lastRenderedPageBreak/>
        <w:t>an inability to consume an average of at least 200 grams per day of any</w:t>
      </w:r>
      <w:r>
        <w:t xml:space="preserve"> </w:t>
      </w:r>
      <w:r w:rsidRPr="00262EA3">
        <w:t xml:space="preserve">combination of fruits and vegetables, for at least five </w:t>
      </w:r>
      <w:r>
        <w:t xml:space="preserve">consecutive </w:t>
      </w:r>
      <w:r w:rsidRPr="00262EA3">
        <w:t>years within the 25 years before the clinical onset of malignant neoplasm of the oesophagus;</w:t>
      </w:r>
      <w:r>
        <w:t xml:space="preserve"> </w:t>
      </w:r>
    </w:p>
    <w:p w:rsidR="00B843C1" w:rsidRPr="00122A51" w:rsidRDefault="00B843C1" w:rsidP="00B843C1">
      <w:pPr>
        <w:pStyle w:val="LV2"/>
        <w:rPr>
          <w:lang w:val="en-AU"/>
        </w:rPr>
      </w:pPr>
      <w:r w:rsidRPr="00262EA3">
        <w:t>having at least daily consumption of preserved vegetables for at least five years within the 25 years before the clinical onset of malignant neoplasm of the oesophagus;</w:t>
      </w:r>
      <w:r>
        <w:t xml:space="preserve"> </w:t>
      </w:r>
    </w:p>
    <w:p w:rsidR="00B843C1" w:rsidRPr="00B843C1" w:rsidRDefault="00B843C1" w:rsidP="00B843C1">
      <w:pPr>
        <w:pStyle w:val="NOTE"/>
      </w:pPr>
      <w:r>
        <w:t xml:space="preserve">Note: </w:t>
      </w:r>
      <w:r w:rsidRPr="0034057D">
        <w:rPr>
          <w:b/>
          <w:i/>
        </w:rPr>
        <w:tab/>
      </w:r>
      <w:r w:rsidRPr="00122A51">
        <w:rPr>
          <w:b/>
          <w:i/>
        </w:rPr>
        <w:t>preserved vegetables</w:t>
      </w:r>
      <w:r w:rsidRPr="00046E67">
        <w:t xml:space="preserve"> is defined in the </w:t>
      </w:r>
      <w:r>
        <w:t xml:space="preserve">Schedule 1 - </w:t>
      </w:r>
      <w:r w:rsidRPr="002717B2">
        <w:t>Dictionary</w:t>
      </w:r>
      <w:r w:rsidRPr="00046E67">
        <w:t>.</w:t>
      </w:r>
    </w:p>
    <w:p w:rsidR="00B843C1" w:rsidRDefault="00B843C1" w:rsidP="00620347">
      <w:pPr>
        <w:pStyle w:val="LV2"/>
      </w:pPr>
      <w:r w:rsidRPr="00620347">
        <w:t>inability to perform effective personal dental hygiene for a continuous period of at least three months, within the five years before the clinical onset of malignant neoplasm of the oesophagus;</w:t>
      </w:r>
    </w:p>
    <w:p w:rsidR="004A1FD7" w:rsidRDefault="004A1FD7" w:rsidP="004A1FD7">
      <w:pPr>
        <w:pStyle w:val="LV2"/>
      </w:pPr>
      <w:r w:rsidRPr="00262EA3">
        <w:rPr>
          <w:color w:val="000000"/>
        </w:rPr>
        <w:t>inhaling, ingesting or having cutaneous contact with tetrachloroethylene for a cumulative period of at least 1</w:t>
      </w:r>
      <w:r>
        <w:rPr>
          <w:color w:val="000000"/>
        </w:rPr>
        <w:t> </w:t>
      </w:r>
      <w:r w:rsidRPr="00262EA3">
        <w:rPr>
          <w:color w:val="000000"/>
        </w:rPr>
        <w:t>000 hours before the clinical onset of malignant neoplasm of the oesophagus, where the first exposure occurred at least ten years before the clinical onset of malignant neoplasm of the oesophagus;</w:t>
      </w:r>
      <w:r>
        <w:rPr>
          <w:color w:val="000000"/>
        </w:rPr>
        <w:t xml:space="preserve"> </w:t>
      </w:r>
    </w:p>
    <w:p w:rsidR="007C7DEE" w:rsidRPr="008D1B8B" w:rsidRDefault="007C7DEE" w:rsidP="00620347">
      <w:pPr>
        <w:pStyle w:val="LV2"/>
      </w:pPr>
      <w:r w:rsidRPr="008D1B8B">
        <w:t>inability to obtain appropriate clinical management for</w:t>
      </w:r>
      <w:bookmarkEnd w:id="23"/>
      <w:r w:rsidR="008E4A16">
        <w:t xml:space="preserve"> </w:t>
      </w:r>
      <w:r w:rsidR="00FE118D" w:rsidRPr="00B54C69">
        <w:rPr>
          <w:bCs/>
        </w:rPr>
        <w:t>malignant neoplasm of the oesophagus</w:t>
      </w:r>
      <w:r w:rsidR="00D5620B" w:rsidRPr="008D1B8B">
        <w:t>.</w:t>
      </w:r>
      <w:bookmarkEnd w:id="24"/>
    </w:p>
    <w:p w:rsidR="000C21A3" w:rsidRPr="00684C0E" w:rsidRDefault="00D32F71" w:rsidP="00C96667">
      <w:pPr>
        <w:pStyle w:val="LV1"/>
      </w:pPr>
      <w:bookmarkStart w:id="25" w:name="_Toc426035923"/>
      <w:bookmarkStart w:id="26" w:name="_Ref402530057"/>
      <w:r>
        <w:t>Relationship to s</w:t>
      </w:r>
      <w:r w:rsidR="000C21A3" w:rsidRPr="00684C0E">
        <w:t>ervice</w:t>
      </w:r>
      <w:bookmarkEnd w:id="25"/>
    </w:p>
    <w:p w:rsidR="00F03C06" w:rsidRPr="00187DE1" w:rsidRDefault="00F03C06" w:rsidP="00620347">
      <w:pPr>
        <w:pStyle w:val="LV2"/>
      </w:pPr>
      <w:r w:rsidRPr="00187DE1">
        <w:t xml:space="preserve">The existence </w:t>
      </w:r>
      <w:r w:rsidR="00D32F71">
        <w:t xml:space="preserve">in a person </w:t>
      </w:r>
      <w:r w:rsidRPr="00187DE1">
        <w:t xml:space="preserve">of any factor referred to in </w:t>
      </w:r>
      <w:r w:rsidR="00CC0B12">
        <w:t>section</w:t>
      </w:r>
      <w:r w:rsidR="00754617">
        <w:t xml:space="preserve"> 9</w:t>
      </w:r>
      <w:r w:rsidRPr="00187DE1">
        <w:t xml:space="preserve"> </w:t>
      </w:r>
      <w:r w:rsidR="008608B9">
        <w:t xml:space="preserve">must be related to the relevant service rendered by the person. </w:t>
      </w:r>
    </w:p>
    <w:bookmarkEnd w:id="26"/>
    <w:p w:rsidR="00CF2367" w:rsidRPr="00187DE1" w:rsidRDefault="00F03C06" w:rsidP="00620347">
      <w:pPr>
        <w:pStyle w:val="LV2"/>
      </w:pPr>
      <w:r w:rsidRPr="00187DE1">
        <w:t xml:space="preserve">The factor set out in </w:t>
      </w:r>
      <w:r w:rsidR="002077D6">
        <w:t>subsection</w:t>
      </w:r>
      <w:r w:rsidR="00754617">
        <w:t xml:space="preserve"> 9(</w:t>
      </w:r>
      <w:r w:rsidR="00FC3586">
        <w:t>18</w:t>
      </w:r>
      <w:r w:rsidR="00754617">
        <w:t xml:space="preserve">) </w:t>
      </w:r>
      <w:r w:rsidRPr="00187DE1">
        <w:t xml:space="preserve">applies only to material contribution to, or aggravation of, </w:t>
      </w:r>
      <w:r w:rsidR="00FE118D" w:rsidRPr="00B54C69">
        <w:rPr>
          <w:bCs/>
        </w:rPr>
        <w:t>malignant neoplasm of the oesophagus</w:t>
      </w:r>
      <w:r w:rsidR="008E4A16">
        <w:t xml:space="preserve"> </w:t>
      </w:r>
      <w:r w:rsidRPr="00187DE1">
        <w:t xml:space="preserve">where the person’s </w:t>
      </w:r>
      <w:r w:rsidR="00FE118D" w:rsidRPr="00B54C69">
        <w:rPr>
          <w:bCs/>
        </w:rPr>
        <w:t>malignant neoplasm of the oesophagus</w:t>
      </w:r>
      <w:r w:rsidR="00FE118D" w:rsidRPr="00187DE1">
        <w:t xml:space="preserve"> </w:t>
      </w:r>
      <w:r w:rsidRPr="00187DE1">
        <w:t xml:space="preserve">was suffered or contracted before or during (but did not arise out of) the person’s relevant service. </w:t>
      </w:r>
    </w:p>
    <w:p w:rsidR="00774897" w:rsidRPr="00301C54" w:rsidRDefault="00774897" w:rsidP="00EC7AE8">
      <w:pPr>
        <w:pStyle w:val="LV1"/>
        <w:keepNext/>
      </w:pPr>
      <w:bookmarkStart w:id="27" w:name="_Toc426035924"/>
      <w:r w:rsidRPr="00301C54">
        <w:t>Factors referring to an injury or disea</w:t>
      </w:r>
      <w:r w:rsidR="008B2204">
        <w:t>se covered by another Statement</w:t>
      </w:r>
      <w:r w:rsidRPr="00301C54">
        <w:t xml:space="preserve"> of Principles</w:t>
      </w:r>
      <w:bookmarkEnd w:id="27"/>
    </w:p>
    <w:p w:rsidR="00F03C06" w:rsidRPr="00E64EE4" w:rsidRDefault="00F03C06" w:rsidP="00EC7AE8">
      <w:pPr>
        <w:pStyle w:val="PlainIndent"/>
        <w:keepNext/>
      </w:pPr>
      <w:r w:rsidRPr="00E64EE4">
        <w:t>In this Statement of Principles:</w:t>
      </w:r>
    </w:p>
    <w:p w:rsidR="00F03C06" w:rsidRPr="00E64EE4" w:rsidRDefault="00F03C06" w:rsidP="00620347">
      <w:pPr>
        <w:pStyle w:val="LV2"/>
      </w:pPr>
      <w:r w:rsidRPr="00E64EE4">
        <w:t>if a f</w:t>
      </w:r>
      <w:r w:rsidR="00CC0B12">
        <w:t>actor referred to in section</w:t>
      </w:r>
      <w:r w:rsidR="00754617">
        <w:t xml:space="preserve"> 9</w:t>
      </w:r>
      <w:r w:rsidRPr="00E64EE4">
        <w:t xml:space="preserve"> applies in relation to a person; and </w:t>
      </w:r>
    </w:p>
    <w:p w:rsidR="00733269" w:rsidRPr="00E64EE4" w:rsidRDefault="00F03C06" w:rsidP="00620347">
      <w:pPr>
        <w:pStyle w:val="LV2"/>
      </w:pPr>
      <w:r w:rsidRPr="00E64EE4">
        <w:t xml:space="preserve">that factor </w:t>
      </w:r>
      <w:r w:rsidR="001648F7">
        <w:t xml:space="preserve">refers to an injury or disease </w:t>
      </w:r>
      <w:r w:rsidRPr="00E64EE4">
        <w:t>in respect of which a Statement of Principles has been de</w:t>
      </w:r>
      <w:r w:rsidR="00D33883">
        <w:t>termined under subsection 196B(2</w:t>
      </w:r>
      <w:r w:rsidRPr="00E64EE4">
        <w:t>) of the VEA</w:t>
      </w:r>
      <w:r w:rsidR="00B24368" w:rsidRPr="00E64EE4">
        <w:t>;</w:t>
      </w:r>
    </w:p>
    <w:p w:rsidR="00782F4E" w:rsidRPr="00E64EE4" w:rsidRDefault="00733269" w:rsidP="00D33883">
      <w:pPr>
        <w:pStyle w:val="PlainIndent"/>
      </w:pPr>
      <w:r w:rsidRPr="00E64EE4">
        <w:t xml:space="preserve">then </w:t>
      </w:r>
      <w:r w:rsidR="00F03C06" w:rsidRPr="00E64EE4">
        <w:t>the factors in that Statement of Principles apply in accordance with the terms of that Statement of Principles as in force from time to time.</w:t>
      </w:r>
    </w:p>
    <w:p w:rsidR="00081B7C" w:rsidRPr="00FA33FB" w:rsidRDefault="00081B7C" w:rsidP="00F97A62">
      <w:pPr>
        <w:pStyle w:val="PlainIndent"/>
        <w:sectPr w:rsidR="00081B7C" w:rsidRPr="00FA33FB" w:rsidSect="005E55B1">
          <w:footerReference w:type="even" r:id="rId14"/>
          <w:footerReference w:type="default" r:id="rId15"/>
          <w:footerReference w:type="first" r:id="rId16"/>
          <w:pgSz w:w="11907" w:h="16839" w:code="9"/>
          <w:pgMar w:top="1560" w:right="1797" w:bottom="1440" w:left="1797" w:header="720" w:footer="709" w:gutter="0"/>
          <w:pgNumType w:start="1"/>
          <w:cols w:space="708"/>
          <w:titlePg/>
          <w:docGrid w:linePitch="360"/>
        </w:sectPr>
      </w:pPr>
    </w:p>
    <w:p w:rsidR="00CF2367" w:rsidRPr="00FA33FB" w:rsidRDefault="00CF2367" w:rsidP="002A3436">
      <w:pPr>
        <w:pStyle w:val="SHHeader"/>
      </w:pPr>
      <w:bookmarkStart w:id="28" w:name="opcAmSched"/>
      <w:bookmarkStart w:id="29" w:name="opcCurrentFind"/>
      <w:bookmarkStart w:id="30" w:name="_Toc426035925"/>
      <w:r w:rsidRPr="00FA33FB">
        <w:rPr>
          <w:rStyle w:val="CharAmSchNo"/>
        </w:rPr>
        <w:lastRenderedPageBreak/>
        <w:t>Schedule</w:t>
      </w:r>
      <w:r w:rsidR="00FA33FB" w:rsidRPr="00FA33FB">
        <w:rPr>
          <w:rStyle w:val="CharAmSchNo"/>
        </w:rPr>
        <w:t> </w:t>
      </w:r>
      <w:r w:rsidRPr="00FA33FB">
        <w:rPr>
          <w:rStyle w:val="CharAmSchNo"/>
        </w:rPr>
        <w:t>1</w:t>
      </w:r>
      <w:r w:rsidR="00CB1DCB">
        <w:rPr>
          <w:rStyle w:val="CharAmSchNo"/>
        </w:rPr>
        <w:t xml:space="preserve"> </w:t>
      </w:r>
      <w:r w:rsidR="002650E6">
        <w:t>-</w:t>
      </w:r>
      <w:r w:rsidR="00CB1DCB">
        <w:t xml:space="preserve"> </w:t>
      </w:r>
      <w:r w:rsidR="00702C42" w:rsidRPr="00FA33FB">
        <w:rPr>
          <w:rStyle w:val="CharAmSchText"/>
        </w:rPr>
        <w:t>Dictionary</w:t>
      </w:r>
      <w:bookmarkEnd w:id="28"/>
      <w:bookmarkEnd w:id="29"/>
      <w:bookmarkEnd w:id="30"/>
      <w:r w:rsidRPr="00FA33FB">
        <w:rPr>
          <w:rStyle w:val="CharAmPartNo"/>
        </w:rPr>
        <w:t xml:space="preserve"> </w:t>
      </w:r>
      <w:r w:rsidRPr="00FA33FB">
        <w:rPr>
          <w:rStyle w:val="CharAmPartText"/>
        </w:rPr>
        <w:t xml:space="preserve"> </w:t>
      </w:r>
    </w:p>
    <w:p w:rsidR="00702C42" w:rsidRPr="003F39C0" w:rsidRDefault="00702C42" w:rsidP="003F39C0">
      <w:pPr>
        <w:pStyle w:val="NOTEScheduleonly"/>
      </w:pPr>
      <w:r w:rsidRPr="003F39C0">
        <w:t>Note:</w:t>
      </w:r>
      <w:r w:rsidR="00CC0B12">
        <w:t xml:space="preserve"> </w:t>
      </w:r>
      <w:r w:rsidRPr="003F39C0">
        <w:tab/>
        <w:t>See</w:t>
      </w:r>
      <w:r w:rsidR="00101F89" w:rsidRPr="003F39C0">
        <w:t xml:space="preserve"> Section</w:t>
      </w:r>
      <w:r w:rsidRPr="003F39C0">
        <w:t xml:space="preserve"> </w:t>
      </w:r>
      <w:r w:rsidR="004C1633">
        <w:t>6</w:t>
      </w:r>
    </w:p>
    <w:p w:rsidR="00BD3334" w:rsidRDefault="00702C42" w:rsidP="00516768">
      <w:pPr>
        <w:pStyle w:val="SH1"/>
      </w:pPr>
      <w:bookmarkStart w:id="31" w:name="_Toc405472918"/>
      <w:bookmarkStart w:id="32" w:name="_Toc426035926"/>
      <w:r w:rsidRPr="00D97BB3">
        <w:t>Definitions</w:t>
      </w:r>
      <w:bookmarkEnd w:id="31"/>
      <w:bookmarkEnd w:id="32"/>
    </w:p>
    <w:p w:rsidR="002820A7" w:rsidRPr="00516768" w:rsidRDefault="002820A7" w:rsidP="002820A7">
      <w:pPr>
        <w:pStyle w:val="SH2"/>
      </w:pPr>
      <w:r w:rsidRPr="00516768">
        <w:t>In this instrument:</w:t>
      </w:r>
    </w:p>
    <w:p w:rsidR="00D927F5" w:rsidRPr="00D927F5" w:rsidRDefault="00D927F5" w:rsidP="00D927F5">
      <w:pPr>
        <w:pStyle w:val="SH3"/>
      </w:pPr>
      <w:bookmarkStart w:id="33" w:name="_Ref402530810"/>
      <w:r w:rsidRPr="00D927F5">
        <w:rPr>
          <w:b/>
          <w:i/>
        </w:rPr>
        <w:t>achalasia</w:t>
      </w:r>
      <w:r w:rsidRPr="00D927F5">
        <w:t xml:space="preserve"> means failure of the lower oesophageal sphincter to relax with swallowing, due to degeneration of ganglion cells in the oesophageal wall.  The thoracic oesophagus also loses its normal peristaltic activity and becomes dilated.</w:t>
      </w:r>
    </w:p>
    <w:p w:rsidR="004A1FD7" w:rsidRDefault="004A1FD7" w:rsidP="004F4D52">
      <w:pPr>
        <w:pStyle w:val="SH3"/>
        <w:spacing w:after="100"/>
      </w:pPr>
      <w:r w:rsidRPr="00262EA3">
        <w:rPr>
          <w:b/>
          <w:i/>
        </w:rPr>
        <w:t>alcohol</w:t>
      </w:r>
      <w:r w:rsidRPr="00262EA3">
        <w:t xml:space="preserve"> is measured by the alcohol consumption calculations utilising the Australian Standard of </w:t>
      </w:r>
      <w:r>
        <w:t>ten</w:t>
      </w:r>
      <w:r w:rsidRPr="00262EA3">
        <w:t xml:space="preserve"> grams of alcohol per standard alcoholic drink</w:t>
      </w:r>
      <w:r>
        <w:t>.</w:t>
      </w:r>
    </w:p>
    <w:p w:rsidR="008908BE" w:rsidRPr="004A1FD7" w:rsidRDefault="008908BE" w:rsidP="008908BE">
      <w:pPr>
        <w:pStyle w:val="SH3"/>
      </w:pPr>
      <w:r>
        <w:rPr>
          <w:b/>
          <w:i/>
        </w:rPr>
        <w:t>Barrett'</w:t>
      </w:r>
      <w:r w:rsidRPr="008908BE">
        <w:rPr>
          <w:b/>
          <w:i/>
        </w:rPr>
        <w:t>s oesophagus</w:t>
      </w:r>
      <w:r w:rsidRPr="008908BE">
        <w:t xml:space="preserve"> means metaplasia of the epithelium of the lower oesophagus from the normal stratified squamous epithelium to abnormal columnar epithelium.</w:t>
      </w:r>
    </w:p>
    <w:p w:rsidR="004F4D52" w:rsidRDefault="004F4D52" w:rsidP="004F4D52">
      <w:pPr>
        <w:pStyle w:val="SH3"/>
        <w:spacing w:after="100"/>
      </w:pPr>
      <w:r w:rsidRPr="00A212F8">
        <w:rPr>
          <w:b/>
          <w:i/>
        </w:rPr>
        <w:t>being obese</w:t>
      </w:r>
      <w:r>
        <w:t xml:space="preserve"> means having a Body Mass Index (BMI) of 30 or greater.</w:t>
      </w:r>
    </w:p>
    <w:p w:rsidR="004F4D52" w:rsidRDefault="004F4D52" w:rsidP="004F4D52">
      <w:pPr>
        <w:pStyle w:val="SH3nospace"/>
        <w:spacing w:after="100"/>
      </w:pPr>
      <w:r>
        <w:t>BMI = W/H</w:t>
      </w:r>
      <w:r w:rsidRPr="00F65C69">
        <w:rPr>
          <w:vertAlign w:val="superscript"/>
        </w:rPr>
        <w:t>2</w:t>
      </w:r>
      <w:r>
        <w:t xml:space="preserve"> and where:</w:t>
      </w:r>
    </w:p>
    <w:p w:rsidR="004F4D52" w:rsidRDefault="004F4D52" w:rsidP="004F4D52">
      <w:pPr>
        <w:pStyle w:val="SH3nospace"/>
        <w:spacing w:after="100"/>
      </w:pPr>
      <w:r>
        <w:t xml:space="preserve">W is the person's weight in kilograms; and </w:t>
      </w:r>
    </w:p>
    <w:p w:rsidR="004F4D52" w:rsidRPr="00A212F8" w:rsidRDefault="004F4D52" w:rsidP="004F4D52">
      <w:pPr>
        <w:pStyle w:val="SH3nospace"/>
        <w:spacing w:after="100"/>
      </w:pPr>
      <w:r>
        <w:t>H is the person's height in metres.</w:t>
      </w:r>
    </w:p>
    <w:p w:rsidR="0058129E" w:rsidRDefault="0058129E" w:rsidP="0058129E">
      <w:pPr>
        <w:pStyle w:val="SH3"/>
      </w:pPr>
      <w:r w:rsidRPr="0058129E">
        <w:rPr>
          <w:b/>
          <w:i/>
        </w:rPr>
        <w:t>cumulative equivalent dose</w:t>
      </w:r>
      <w:r w:rsidRPr="0058129E">
        <w:t xml:space="preserve"> means the total dose of ionising radiation received by the particular organ or tissue.  The formula used to calculate the cumulative equivalent dose allows doses from multiple types of ionising radiation to be combined, by accounting for their differing biological effect. The unit of equivalent dose is the sievert.  For the purposes of this Statement of Principles, the calculation of cumulative equivalent dose excludes doses received from normal background radiation, but includes therapeutic radiation, diagnostic radiation, cosmic radiation at high altitude, radiation from occupation related sources and radiation from nuclear explosions or accidents</w:t>
      </w:r>
      <w:r w:rsidR="00620347">
        <w:t>.</w:t>
      </w:r>
    </w:p>
    <w:p w:rsidR="00620347" w:rsidRPr="0058129E" w:rsidRDefault="00620347" w:rsidP="0058129E">
      <w:pPr>
        <w:pStyle w:val="SH3"/>
      </w:pPr>
      <w:r>
        <w:rPr>
          <w:b/>
          <w:i/>
          <w:lang w:val="en-US"/>
        </w:rPr>
        <w:t>h</w:t>
      </w:r>
      <w:r w:rsidRPr="00262EA3">
        <w:rPr>
          <w:b/>
          <w:i/>
          <w:lang w:val="en-US"/>
        </w:rPr>
        <w:t>ot beverages</w:t>
      </w:r>
      <w:r w:rsidRPr="00262EA3">
        <w:rPr>
          <w:lang w:val="en-US"/>
        </w:rPr>
        <w:t xml:space="preserve"> </w:t>
      </w:r>
      <w:r>
        <w:rPr>
          <w:lang w:val="en-US"/>
        </w:rPr>
        <w:t xml:space="preserve">means beverages </w:t>
      </w:r>
      <w:r w:rsidRPr="00262EA3">
        <w:rPr>
          <w:lang w:val="en-US"/>
        </w:rPr>
        <w:t xml:space="preserve">that are consumed at </w:t>
      </w:r>
      <w:r>
        <w:rPr>
          <w:lang w:val="en-US"/>
        </w:rPr>
        <w:t xml:space="preserve">temperatures of at </w:t>
      </w:r>
      <w:r w:rsidRPr="00262EA3">
        <w:rPr>
          <w:lang w:val="en-US"/>
        </w:rPr>
        <w:t xml:space="preserve">least 60 degrees </w:t>
      </w:r>
      <w:r>
        <w:rPr>
          <w:lang w:val="en-US"/>
        </w:rPr>
        <w:t>C</w:t>
      </w:r>
      <w:r w:rsidRPr="00262EA3">
        <w:rPr>
          <w:lang w:val="en-US"/>
        </w:rPr>
        <w:t>el</w:t>
      </w:r>
      <w:r>
        <w:rPr>
          <w:lang w:val="en-US"/>
        </w:rPr>
        <w:t>s</w:t>
      </w:r>
      <w:r w:rsidRPr="00262EA3">
        <w:rPr>
          <w:lang w:val="en-US"/>
        </w:rPr>
        <w:t>ius.</w:t>
      </w:r>
    </w:p>
    <w:p w:rsidR="00E576C6" w:rsidRPr="00513D05" w:rsidRDefault="00FE118D" w:rsidP="00E576C6">
      <w:pPr>
        <w:pStyle w:val="SH3"/>
        <w:ind w:left="851" w:hanging="851"/>
      </w:pPr>
      <w:r w:rsidRPr="00FE118D">
        <w:rPr>
          <w:b/>
          <w:bCs/>
          <w:i/>
          <w:lang w:val="en-US"/>
        </w:rPr>
        <w:t>malignant neoplasm of the oesophagus</w:t>
      </w:r>
      <w:r w:rsidR="00E576C6" w:rsidRPr="00513D05">
        <w:t>—see subsection</w:t>
      </w:r>
      <w:r w:rsidR="00E576C6">
        <w:t xml:space="preserve"> 7(2).</w:t>
      </w:r>
    </w:p>
    <w:p w:rsidR="002820A7" w:rsidRDefault="002820A7" w:rsidP="002820A7">
      <w:pPr>
        <w:pStyle w:val="SH3"/>
        <w:ind w:left="851"/>
      </w:pPr>
      <w:r w:rsidRPr="00973808">
        <w:rPr>
          <w:b/>
          <w:i/>
        </w:rPr>
        <w:t>MRCA</w:t>
      </w:r>
      <w:r w:rsidRPr="00B90B8D">
        <w:rPr>
          <w:b/>
        </w:rPr>
        <w:t xml:space="preserve"> </w:t>
      </w:r>
      <w:r w:rsidRPr="00973808">
        <w:t>me</w:t>
      </w:r>
      <w:r w:rsidRPr="00024911">
        <w:rPr>
          <w:rStyle w:val="SH3nospaceChar"/>
        </w:rPr>
        <w:t>a</w:t>
      </w:r>
      <w:r w:rsidRPr="00973808">
        <w:t>ns</w:t>
      </w:r>
      <w:r w:rsidRPr="009C404D">
        <w:t xml:space="preserve"> the </w:t>
      </w:r>
      <w:r w:rsidRPr="00973808">
        <w:rPr>
          <w:i/>
        </w:rPr>
        <w:t>Military Rehabilitation and Compensation Act 2004</w:t>
      </w:r>
      <w:r w:rsidRPr="009C404D">
        <w:t>.</w:t>
      </w:r>
    </w:p>
    <w:p w:rsidR="00B52E84" w:rsidRDefault="00B52E84" w:rsidP="00B52E84">
      <w:pPr>
        <w:pStyle w:val="SH3"/>
      </w:pPr>
      <w:r w:rsidRPr="00B52E84">
        <w:rPr>
          <w:b/>
          <w:i/>
        </w:rPr>
        <w:t>pack-years of cigarettes, or the equivalent thereof in other tobacco products</w:t>
      </w:r>
      <w:r w:rsidRPr="00B52E84">
        <w:t xml:space="preserve"> means a calculation of consumption where one pack-year of cigarettes equals 20 tailor-made cigarettes per day for a period of one calendar year, or 7</w:t>
      </w:r>
      <w:r w:rsidR="00FE118D">
        <w:t> </w:t>
      </w:r>
      <w:r w:rsidRPr="00B52E84">
        <w:t>300 cigarettes.  One tailor-made cigarette approximates one gram of tobacco or one gram of cigar or pipe tobacco by weight.  One pack-year of tailor-made cigarettes equates to 7.3 kilograms of smoking tobacco by weight.  Tobacco products mean cigarettes, pipe tobacco or cigars, smo</w:t>
      </w:r>
      <w:r w:rsidR="00ED150D">
        <w:t>ked alone or in any combination.</w:t>
      </w:r>
    </w:p>
    <w:p w:rsidR="00FC3586" w:rsidRDefault="00FC3586" w:rsidP="00B52E84">
      <w:pPr>
        <w:pStyle w:val="SH3"/>
      </w:pPr>
      <w:r w:rsidRPr="00262EA3">
        <w:rPr>
          <w:b/>
          <w:i/>
        </w:rPr>
        <w:lastRenderedPageBreak/>
        <w:t>pernicious anaemia</w:t>
      </w:r>
      <w:r w:rsidRPr="00262EA3">
        <w:t xml:space="preserve"> means a type of megaloblastic anaemia usually seen in older adults, involving impaired intestinal absorption of vitamin B12 due to lack of availability of intrinsic factor.</w:t>
      </w:r>
      <w:r w:rsidR="003A7900">
        <w:t xml:space="preserve"> </w:t>
      </w:r>
      <w:r w:rsidRPr="00262EA3">
        <w:t xml:space="preserve"> It is characterised by pallor, </w:t>
      </w:r>
      <w:r>
        <w:t>a</w:t>
      </w:r>
      <w:r w:rsidRPr="00262EA3">
        <w:t>chlo</w:t>
      </w:r>
      <w:r w:rsidR="008332BF">
        <w:t>rh</w:t>
      </w:r>
      <w:r w:rsidRPr="00262EA3">
        <w:t>ydria, glossitis, gastric mucosal atrophy, weakness, antibodies against gastric parietal cells or intrinsic factor, and neurologic manifestations.</w:t>
      </w:r>
    </w:p>
    <w:p w:rsidR="0034057D" w:rsidRDefault="0034057D" w:rsidP="0034057D">
      <w:pPr>
        <w:pStyle w:val="SH3"/>
      </w:pPr>
      <w:r w:rsidRPr="0034057D">
        <w:rPr>
          <w:b/>
          <w:i/>
        </w:rPr>
        <w:t>Plummer-Vinson syndrome</w:t>
      </w:r>
      <w:r w:rsidRPr="0034057D">
        <w:t xml:space="preserve"> means the triad of dysphagia, iron deficient anaemia, and oesophageal webs. </w:t>
      </w:r>
      <w:r w:rsidR="00EF7139">
        <w:t xml:space="preserve"> </w:t>
      </w:r>
      <w:r w:rsidRPr="0034057D">
        <w:t>It is also known as Paterson-Kelly syn</w:t>
      </w:r>
      <w:r w:rsidR="00ED150D">
        <w:t>drome and sideropenic dysphagia.</w:t>
      </w:r>
    </w:p>
    <w:p w:rsidR="00122A51" w:rsidRDefault="00122A51" w:rsidP="00122A51">
      <w:pPr>
        <w:pStyle w:val="SH3"/>
      </w:pPr>
      <w:r w:rsidRPr="00122A51">
        <w:rPr>
          <w:b/>
          <w:i/>
        </w:rPr>
        <w:t>preserved vegetables</w:t>
      </w:r>
      <w:r w:rsidRPr="00122A51">
        <w:t xml:space="preserve"> means vegetables preserved by salting, fermenting or pickling.</w:t>
      </w:r>
    </w:p>
    <w:p w:rsidR="0027539C" w:rsidRDefault="0027539C" w:rsidP="00973736">
      <w:pPr>
        <w:pStyle w:val="SH3"/>
      </w:pPr>
      <w:r w:rsidRPr="00E0446C">
        <w:rPr>
          <w:b/>
          <w:i/>
        </w:rPr>
        <w:t>processed meat product</w:t>
      </w:r>
      <w:r>
        <w:t xml:space="preserve"> means preserved or cured meats, including ham,</w:t>
      </w:r>
      <w:r w:rsidR="00E0446C">
        <w:t xml:space="preserve"> </w:t>
      </w:r>
      <w:r>
        <w:t>frankfurters, salami and bacon.</w:t>
      </w:r>
    </w:p>
    <w:p w:rsidR="002820A7" w:rsidRPr="009C404D" w:rsidRDefault="002820A7" w:rsidP="002820A7">
      <w:pPr>
        <w:pStyle w:val="SH3"/>
        <w:spacing w:after="100"/>
        <w:ind w:left="851"/>
      </w:pPr>
      <w:r w:rsidRPr="00BC3C26">
        <w:rPr>
          <w:b/>
          <w:i/>
        </w:rPr>
        <w:t>relevant service</w:t>
      </w:r>
      <w:r w:rsidRPr="00BC3C26">
        <w:t xml:space="preserve"> means:</w:t>
      </w:r>
    </w:p>
    <w:p w:rsidR="002820A7" w:rsidRPr="00BC3C26" w:rsidRDefault="002820A7" w:rsidP="002820A7">
      <w:pPr>
        <w:numPr>
          <w:ilvl w:val="0"/>
          <w:numId w:val="20"/>
        </w:numPr>
        <w:spacing w:line="240" w:lineRule="auto"/>
        <w:ind w:left="1418" w:hanging="567"/>
        <w:jc w:val="both"/>
        <w:rPr>
          <w:sz w:val="24"/>
          <w:szCs w:val="24"/>
        </w:rPr>
      </w:pPr>
      <w:bookmarkStart w:id="34" w:name="_Ref402529607"/>
      <w:bookmarkEnd w:id="33"/>
      <w:r w:rsidRPr="00BC3C26">
        <w:rPr>
          <w:sz w:val="24"/>
          <w:szCs w:val="24"/>
        </w:rPr>
        <w:t xml:space="preserve">operational service under the VEA; </w:t>
      </w:r>
    </w:p>
    <w:p w:rsidR="002820A7" w:rsidRPr="00BC3C26" w:rsidRDefault="002820A7" w:rsidP="002820A7">
      <w:pPr>
        <w:numPr>
          <w:ilvl w:val="0"/>
          <w:numId w:val="20"/>
        </w:numPr>
        <w:spacing w:line="240" w:lineRule="auto"/>
        <w:ind w:left="1418" w:hanging="567"/>
        <w:jc w:val="both"/>
        <w:rPr>
          <w:sz w:val="24"/>
          <w:szCs w:val="24"/>
        </w:rPr>
      </w:pPr>
      <w:r w:rsidRPr="00BC3C26">
        <w:rPr>
          <w:sz w:val="24"/>
          <w:szCs w:val="24"/>
        </w:rPr>
        <w:t xml:space="preserve">peacekeeping service under the VEA; </w:t>
      </w:r>
    </w:p>
    <w:p w:rsidR="002820A7" w:rsidRPr="00BC3C26" w:rsidRDefault="002820A7" w:rsidP="002820A7">
      <w:pPr>
        <w:numPr>
          <w:ilvl w:val="0"/>
          <w:numId w:val="20"/>
        </w:numPr>
        <w:spacing w:line="240" w:lineRule="auto"/>
        <w:ind w:left="1418" w:hanging="567"/>
        <w:jc w:val="both"/>
        <w:rPr>
          <w:sz w:val="24"/>
          <w:szCs w:val="24"/>
        </w:rPr>
      </w:pPr>
      <w:r w:rsidRPr="00BC3C26">
        <w:rPr>
          <w:sz w:val="24"/>
          <w:szCs w:val="24"/>
        </w:rPr>
        <w:t xml:space="preserve">hazardous service under the VEA; </w:t>
      </w:r>
    </w:p>
    <w:p w:rsidR="002820A7" w:rsidRPr="00BC3C26" w:rsidRDefault="002820A7" w:rsidP="002820A7">
      <w:pPr>
        <w:numPr>
          <w:ilvl w:val="0"/>
          <w:numId w:val="20"/>
        </w:numPr>
        <w:spacing w:line="240" w:lineRule="auto"/>
        <w:ind w:left="1418" w:hanging="567"/>
        <w:jc w:val="both"/>
        <w:rPr>
          <w:sz w:val="24"/>
          <w:szCs w:val="24"/>
        </w:rPr>
      </w:pPr>
      <w:r w:rsidRPr="00BC3C26">
        <w:rPr>
          <w:sz w:val="24"/>
          <w:szCs w:val="24"/>
        </w:rPr>
        <w:t>British nuclear test defence service under the VEA;</w:t>
      </w:r>
    </w:p>
    <w:p w:rsidR="002820A7" w:rsidRPr="0098610E" w:rsidRDefault="002820A7" w:rsidP="002820A7">
      <w:pPr>
        <w:numPr>
          <w:ilvl w:val="0"/>
          <w:numId w:val="20"/>
        </w:numPr>
        <w:spacing w:line="240" w:lineRule="auto"/>
        <w:ind w:left="1418" w:hanging="567"/>
        <w:jc w:val="both"/>
        <w:rPr>
          <w:sz w:val="24"/>
          <w:szCs w:val="24"/>
        </w:rPr>
      </w:pPr>
      <w:r w:rsidRPr="0098610E">
        <w:rPr>
          <w:sz w:val="24"/>
          <w:szCs w:val="24"/>
        </w:rPr>
        <w:t>warlike service under the MRCA; or</w:t>
      </w:r>
    </w:p>
    <w:p w:rsidR="002820A7" w:rsidRPr="0098610E" w:rsidRDefault="002820A7" w:rsidP="002820A7">
      <w:pPr>
        <w:numPr>
          <w:ilvl w:val="0"/>
          <w:numId w:val="20"/>
        </w:numPr>
        <w:spacing w:line="240" w:lineRule="auto"/>
        <w:ind w:left="1418" w:hanging="567"/>
        <w:jc w:val="both"/>
        <w:rPr>
          <w:sz w:val="24"/>
          <w:szCs w:val="24"/>
        </w:rPr>
      </w:pPr>
      <w:r w:rsidRPr="0098610E">
        <w:rPr>
          <w:sz w:val="24"/>
          <w:szCs w:val="24"/>
        </w:rPr>
        <w:t xml:space="preserve">non-warlike service under the MRCA. </w:t>
      </w:r>
    </w:p>
    <w:p w:rsidR="0034057D" w:rsidRPr="0034057D" w:rsidRDefault="0034057D" w:rsidP="0034057D">
      <w:pPr>
        <w:pStyle w:val="SH3"/>
      </w:pPr>
      <w:r w:rsidRPr="0034057D">
        <w:rPr>
          <w:b/>
          <w:i/>
        </w:rPr>
        <w:t>smokeless tobacco</w:t>
      </w:r>
      <w:r w:rsidRPr="0034057D">
        <w:t xml:space="preserve"> means tobacco products without combustion or pyrolysis at the time of use, including chewing tobacco and tobacco snuff.</w:t>
      </w:r>
    </w:p>
    <w:p w:rsidR="00B54C69" w:rsidRPr="00B54C69" w:rsidRDefault="00B54C69" w:rsidP="00B54C69">
      <w:pPr>
        <w:pStyle w:val="SH3"/>
      </w:pPr>
      <w:r w:rsidRPr="00B54C69">
        <w:rPr>
          <w:b/>
          <w:i/>
        </w:rPr>
        <w:t>specified list of human papilloma virus (HPV) strains</w:t>
      </w:r>
      <w:r w:rsidRPr="00B54C69">
        <w:t xml:space="preserve"> means HPV type 6, 11, 16, 18, </w:t>
      </w:r>
      <w:r w:rsidR="008A758A">
        <w:t xml:space="preserve">30, </w:t>
      </w:r>
      <w:r w:rsidRPr="00B54C69">
        <w:t>31</w:t>
      </w:r>
      <w:r w:rsidR="008A758A">
        <w:t xml:space="preserve"> or</w:t>
      </w:r>
      <w:r w:rsidRPr="00B54C69">
        <w:t xml:space="preserve"> 33</w:t>
      </w:r>
      <w:r w:rsidR="008A758A">
        <w:t>.</w:t>
      </w:r>
    </w:p>
    <w:p w:rsidR="002820A7" w:rsidRPr="009C404D" w:rsidRDefault="002820A7" w:rsidP="002820A7">
      <w:pPr>
        <w:pStyle w:val="SH3"/>
        <w:ind w:left="851" w:hanging="851"/>
      </w:pPr>
      <w:r>
        <w:rPr>
          <w:b/>
          <w:i/>
        </w:rPr>
        <w:t>t</w:t>
      </w:r>
      <w:r w:rsidRPr="00973808">
        <w:rPr>
          <w:b/>
          <w:i/>
        </w:rPr>
        <w:t>erminal event</w:t>
      </w:r>
      <w:r w:rsidRPr="009C404D">
        <w:t xml:space="preserve"> means the proximate or ultimate cause of death and includes</w:t>
      </w:r>
      <w:bookmarkEnd w:id="34"/>
      <w:r w:rsidRPr="009C404D">
        <w:t xml:space="preserve"> the following:</w:t>
      </w:r>
    </w:p>
    <w:p w:rsidR="002820A7" w:rsidRPr="00513D05" w:rsidRDefault="002820A7" w:rsidP="002820A7">
      <w:pPr>
        <w:pStyle w:val="SH4"/>
        <w:ind w:left="1418"/>
      </w:pPr>
      <w:r>
        <w:tab/>
      </w:r>
      <w:r w:rsidRPr="00513D05">
        <w:t>pneumonia;</w:t>
      </w:r>
    </w:p>
    <w:p w:rsidR="002820A7" w:rsidRPr="00513D05" w:rsidRDefault="002820A7" w:rsidP="002820A7">
      <w:pPr>
        <w:pStyle w:val="SH4"/>
        <w:ind w:left="1418"/>
      </w:pPr>
      <w:r w:rsidRPr="00513D05">
        <w:tab/>
        <w:t>respiratory failure;</w:t>
      </w:r>
    </w:p>
    <w:p w:rsidR="002820A7" w:rsidRPr="00513D05" w:rsidRDefault="002820A7" w:rsidP="002820A7">
      <w:pPr>
        <w:pStyle w:val="SH4"/>
        <w:ind w:left="1418"/>
      </w:pPr>
      <w:r w:rsidRPr="00513D05">
        <w:tab/>
        <w:t>cardiac arrest;</w:t>
      </w:r>
    </w:p>
    <w:p w:rsidR="002820A7" w:rsidRPr="00513D05" w:rsidRDefault="002820A7" w:rsidP="002820A7">
      <w:pPr>
        <w:pStyle w:val="SH4"/>
        <w:ind w:left="1418"/>
      </w:pPr>
      <w:r w:rsidRPr="00513D05">
        <w:tab/>
        <w:t>circulatory failure;</w:t>
      </w:r>
      <w:r w:rsidR="00B574A3">
        <w:t xml:space="preserve"> or</w:t>
      </w:r>
    </w:p>
    <w:p w:rsidR="002820A7" w:rsidRPr="00BD3334" w:rsidRDefault="002820A7" w:rsidP="002820A7">
      <w:pPr>
        <w:pStyle w:val="SH4"/>
        <w:ind w:left="1418"/>
      </w:pPr>
      <w:r w:rsidRPr="00513D05">
        <w:tab/>
        <w:t>cessation of brain function.</w:t>
      </w:r>
    </w:p>
    <w:p w:rsidR="00802137" w:rsidRPr="0019084F" w:rsidRDefault="002820A7" w:rsidP="002820A7">
      <w:pPr>
        <w:pStyle w:val="SH3"/>
        <w:ind w:left="851" w:hanging="851"/>
      </w:pPr>
      <w:r w:rsidRPr="00CB1DCB">
        <w:rPr>
          <w:b/>
          <w:i/>
        </w:rPr>
        <w:t>VEA</w:t>
      </w:r>
      <w:r w:rsidRPr="0019084F">
        <w:t xml:space="preserve"> means the </w:t>
      </w:r>
      <w:r w:rsidRPr="0019084F">
        <w:rPr>
          <w:i/>
        </w:rPr>
        <w:t>Veterans</w:t>
      </w:r>
      <w:r w:rsidR="00B37126">
        <w:rPr>
          <w:i/>
        </w:rPr>
        <w:t>'</w:t>
      </w:r>
      <w:r w:rsidRPr="0019084F">
        <w:rPr>
          <w:i/>
        </w:rPr>
        <w:t xml:space="preserve"> Entitlements Act 1986</w:t>
      </w:r>
      <w:r w:rsidRPr="0019084F">
        <w:t>.</w:t>
      </w:r>
    </w:p>
    <w:p w:rsidR="00CF2367" w:rsidRPr="00FA33FB" w:rsidRDefault="00CF2367" w:rsidP="00CF2367"/>
    <w:p w:rsidR="00CF2367" w:rsidRPr="00FA33FB" w:rsidRDefault="00CF2367" w:rsidP="00CF2367">
      <w:pPr>
        <w:sectPr w:rsidR="00CF2367" w:rsidRPr="00FA33FB" w:rsidSect="00FA33FB">
          <w:headerReference w:type="even" r:id="rId17"/>
          <w:headerReference w:type="default" r:id="rId18"/>
          <w:footerReference w:type="even" r:id="rId19"/>
          <w:footerReference w:type="default" r:id="rId20"/>
          <w:headerReference w:type="first" r:id="rId21"/>
          <w:footerReference w:type="first" r:id="rId22"/>
          <w:pgSz w:w="11907" w:h="16839" w:code="9"/>
          <w:pgMar w:top="1440" w:right="1797" w:bottom="1440" w:left="1797" w:header="720" w:footer="709" w:gutter="0"/>
          <w:cols w:space="720"/>
          <w:docGrid w:linePitch="299"/>
        </w:sectPr>
      </w:pPr>
    </w:p>
    <w:p w:rsidR="00F02383" w:rsidRDefault="00F02383" w:rsidP="003F4535">
      <w:pPr>
        <w:rPr>
          <w:b/>
          <w:i/>
        </w:rPr>
      </w:pPr>
    </w:p>
    <w:p w:rsidR="00222A7B" w:rsidRDefault="00222A7B">
      <w:pPr>
        <w:spacing w:line="240" w:lineRule="auto"/>
        <w:rPr>
          <w:b/>
          <w:i/>
        </w:rPr>
      </w:pPr>
      <w:r>
        <w:rPr>
          <w:b/>
          <w:i/>
        </w:rPr>
        <w:br w:type="page"/>
      </w:r>
    </w:p>
    <w:p w:rsidR="001A0F57" w:rsidRPr="001778F8" w:rsidRDefault="001A0F57" w:rsidP="001A0F57">
      <w:pPr>
        <w:pStyle w:val="ENotesHeading1"/>
      </w:pPr>
      <w:r>
        <w:lastRenderedPageBreak/>
        <w:t>Endnotes</w:t>
      </w:r>
    </w:p>
    <w:p w:rsidR="001A0F57" w:rsidRPr="00BC57F4" w:rsidRDefault="001A0F57" w:rsidP="001A0F57">
      <w:pPr>
        <w:pStyle w:val="ENotesHeading2"/>
      </w:pPr>
      <w:r w:rsidRPr="00BC57F4">
        <w:t>Endnote 1—About the endnotes</w:t>
      </w:r>
    </w:p>
    <w:p w:rsidR="001A0F57" w:rsidRPr="00042EA7" w:rsidRDefault="001A0F57" w:rsidP="001A0F57">
      <w:pPr>
        <w:spacing w:after="120"/>
      </w:pPr>
      <w:r w:rsidRPr="00042EA7">
        <w:t>The endnotes provide information about this compilation and the compiled law.</w:t>
      </w:r>
    </w:p>
    <w:p w:rsidR="001A0F57" w:rsidRPr="00042EA7" w:rsidRDefault="001A0F57" w:rsidP="001A0F57">
      <w:pPr>
        <w:spacing w:after="120"/>
      </w:pPr>
      <w:r w:rsidRPr="00042EA7">
        <w:t>The following endnotes are included in every compilation:</w:t>
      </w:r>
    </w:p>
    <w:p w:rsidR="001A0F57" w:rsidRPr="00042EA7" w:rsidRDefault="001A0F57" w:rsidP="001A0F57">
      <w:r w:rsidRPr="00042EA7">
        <w:t>Endnote 1—About the endnotes</w:t>
      </w:r>
    </w:p>
    <w:p w:rsidR="001A0F57" w:rsidRPr="00042EA7" w:rsidRDefault="001A0F57" w:rsidP="001A0F57">
      <w:r w:rsidRPr="00042EA7">
        <w:t>Endnote 2—Abbreviation key</w:t>
      </w:r>
    </w:p>
    <w:p w:rsidR="001A0F57" w:rsidRPr="00042EA7" w:rsidRDefault="001A0F57" w:rsidP="001A0F57">
      <w:r w:rsidRPr="00042EA7">
        <w:t>Endnote 3—Legislation history</w:t>
      </w:r>
    </w:p>
    <w:p w:rsidR="001A0F57" w:rsidRPr="00042EA7" w:rsidRDefault="001A0F57" w:rsidP="001A0F57">
      <w:pPr>
        <w:spacing w:after="120"/>
      </w:pPr>
      <w:r w:rsidRPr="00042EA7">
        <w:t>Endnote 4—Amendment history</w:t>
      </w:r>
    </w:p>
    <w:p w:rsidR="001A0F57" w:rsidRPr="00042EA7" w:rsidRDefault="001A0F57" w:rsidP="001A0F57">
      <w:r w:rsidRPr="00042EA7">
        <w:rPr>
          <w:b/>
        </w:rPr>
        <w:t>Abbreviation key—Endnote 2</w:t>
      </w:r>
    </w:p>
    <w:p w:rsidR="001A0F57" w:rsidRPr="00042EA7" w:rsidRDefault="001A0F57" w:rsidP="001A0F57">
      <w:pPr>
        <w:spacing w:after="120"/>
      </w:pPr>
      <w:r w:rsidRPr="00042EA7">
        <w:t>The abbreviation key sets out abbreviations that may be used in the endnotes.</w:t>
      </w:r>
    </w:p>
    <w:p w:rsidR="001A0F57" w:rsidRPr="00042EA7" w:rsidRDefault="001A0F57" w:rsidP="001A0F57">
      <w:pPr>
        <w:rPr>
          <w:b/>
        </w:rPr>
      </w:pPr>
      <w:r w:rsidRPr="00042EA7">
        <w:rPr>
          <w:b/>
        </w:rPr>
        <w:t>Legislation history and amendment history—Endnotes 3 and 4</w:t>
      </w:r>
    </w:p>
    <w:p w:rsidR="001A0F57" w:rsidRPr="00042EA7" w:rsidRDefault="001A0F57" w:rsidP="001A0F57">
      <w:pPr>
        <w:spacing w:after="120"/>
      </w:pPr>
      <w:r w:rsidRPr="00042EA7">
        <w:t>Amending laws are annotated in the legislation history and amendment history.</w:t>
      </w:r>
    </w:p>
    <w:p w:rsidR="001A0F57" w:rsidRPr="00042EA7" w:rsidRDefault="001A0F57" w:rsidP="001A0F57">
      <w:pPr>
        <w:spacing w:after="120"/>
      </w:pPr>
      <w:r w:rsidRPr="00042EA7">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rsidR="001A0F57" w:rsidRPr="00042EA7" w:rsidRDefault="001A0F57" w:rsidP="001A0F57">
      <w:pPr>
        <w:spacing w:after="120"/>
      </w:pPr>
      <w:r w:rsidRPr="00042EA7">
        <w:t>The amendment history in endnote 4 provides information about amendments at the provision (generally section or equivalent) level. It also includes information about any provision of the compiled law that has been repealed in accordance with a provision of the law.</w:t>
      </w:r>
    </w:p>
    <w:p w:rsidR="001A0F57" w:rsidRPr="00042EA7" w:rsidRDefault="001A0F57" w:rsidP="001A0F57">
      <w:pPr>
        <w:keepNext/>
      </w:pPr>
      <w:r w:rsidRPr="00042EA7">
        <w:rPr>
          <w:b/>
        </w:rPr>
        <w:t>Misdescribed amendments</w:t>
      </w:r>
    </w:p>
    <w:p w:rsidR="001A0F57" w:rsidRPr="00042EA7" w:rsidRDefault="001A0F57" w:rsidP="001A0F57">
      <w:pPr>
        <w:spacing w:after="120"/>
      </w:pPr>
      <w:r w:rsidRPr="00042EA7">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rsidR="001A0F57" w:rsidRPr="00C337CB" w:rsidRDefault="001A0F57" w:rsidP="001A0F57">
      <w:pPr>
        <w:spacing w:before="120"/>
      </w:pPr>
      <w:r w:rsidRPr="00C337CB">
        <w:t>If a misdescribed amendment cannot be given effect as intended, the abbreviation “(md not incorp)” is added to the details of the amendment included in the amendment history.</w:t>
      </w:r>
      <w:r>
        <w:t xml:space="preserve">  </w:t>
      </w:r>
    </w:p>
    <w:p w:rsidR="001A0F57" w:rsidRDefault="001A0F57">
      <w:pPr>
        <w:spacing w:line="240" w:lineRule="auto"/>
        <w:rPr>
          <w:b/>
          <w:i/>
        </w:rPr>
      </w:pPr>
      <w:r>
        <w:rPr>
          <w:b/>
          <w:i/>
        </w:rPr>
        <w:br w:type="page"/>
      </w:r>
    </w:p>
    <w:p w:rsidR="001A0F57" w:rsidRPr="00BC57F4" w:rsidRDefault="001A0F57" w:rsidP="001A0F57">
      <w:pPr>
        <w:pStyle w:val="ENotesHeading2"/>
        <w:pageBreakBefore/>
        <w:outlineLvl w:val="9"/>
      </w:pPr>
      <w:r w:rsidRPr="00BC57F4">
        <w:lastRenderedPageBreak/>
        <w:t>Endnote 2—Abbreviation key</w:t>
      </w:r>
    </w:p>
    <w:tbl>
      <w:tblPr>
        <w:tblW w:w="7939" w:type="dxa"/>
        <w:tblInd w:w="108" w:type="dxa"/>
        <w:tblLayout w:type="fixed"/>
        <w:tblLook w:val="0000" w:firstRow="0" w:lastRow="0" w:firstColumn="0" w:lastColumn="0" w:noHBand="0" w:noVBand="0"/>
      </w:tblPr>
      <w:tblGrid>
        <w:gridCol w:w="4253"/>
        <w:gridCol w:w="3686"/>
      </w:tblGrid>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ad = added or inserted</w:t>
            </w:r>
          </w:p>
        </w:tc>
        <w:tc>
          <w:tcPr>
            <w:tcW w:w="3686" w:type="dxa"/>
            <w:shd w:val="clear" w:color="auto" w:fill="auto"/>
          </w:tcPr>
          <w:p w:rsidR="00A62CFF" w:rsidRPr="008E7D28" w:rsidRDefault="00A62CFF" w:rsidP="00973736">
            <w:pPr>
              <w:spacing w:before="60"/>
              <w:ind w:left="34"/>
              <w:rPr>
                <w:sz w:val="20"/>
              </w:rPr>
            </w:pPr>
            <w:r w:rsidRPr="008E7D28">
              <w:rPr>
                <w:sz w:val="20"/>
              </w:rPr>
              <w:t>o = order(s)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am = amended</w:t>
            </w:r>
          </w:p>
        </w:tc>
        <w:tc>
          <w:tcPr>
            <w:tcW w:w="3686" w:type="dxa"/>
            <w:shd w:val="clear" w:color="auto" w:fill="auto"/>
          </w:tcPr>
          <w:p w:rsidR="00A62CFF" w:rsidRPr="008E7D28" w:rsidRDefault="00A62CFF" w:rsidP="00973736">
            <w:pPr>
              <w:spacing w:before="60"/>
              <w:ind w:left="34"/>
              <w:rPr>
                <w:sz w:val="20"/>
              </w:rPr>
            </w:pPr>
            <w:r w:rsidRPr="008E7D28">
              <w:rPr>
                <w:sz w:val="20"/>
              </w:rPr>
              <w:t>Ord = Ordinance</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amdt = amendment</w:t>
            </w:r>
          </w:p>
        </w:tc>
        <w:tc>
          <w:tcPr>
            <w:tcW w:w="3686" w:type="dxa"/>
            <w:shd w:val="clear" w:color="auto" w:fill="auto"/>
          </w:tcPr>
          <w:p w:rsidR="00A62CFF" w:rsidRPr="008E7D28" w:rsidRDefault="00A62CFF" w:rsidP="00973736">
            <w:pPr>
              <w:spacing w:before="60"/>
              <w:ind w:left="34"/>
              <w:rPr>
                <w:sz w:val="20"/>
              </w:rPr>
            </w:pPr>
            <w:r w:rsidRPr="008E7D28">
              <w:rPr>
                <w:sz w:val="20"/>
              </w:rPr>
              <w:t>orig = original</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c = clause(s)</w:t>
            </w:r>
          </w:p>
        </w:tc>
        <w:tc>
          <w:tcPr>
            <w:tcW w:w="3686" w:type="dxa"/>
            <w:shd w:val="clear" w:color="auto" w:fill="auto"/>
          </w:tcPr>
          <w:p w:rsidR="00A62CFF" w:rsidRPr="008E7D28" w:rsidRDefault="00A62CFF" w:rsidP="00973736">
            <w:pPr>
              <w:spacing w:before="60"/>
              <w:ind w:left="34"/>
              <w:rPr>
                <w:sz w:val="20"/>
              </w:rPr>
            </w:pPr>
            <w:r w:rsidRPr="008E7D28">
              <w:rPr>
                <w:sz w:val="20"/>
              </w:rPr>
              <w:t>par = paragraph(s)/subparagraph(s)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C[x] = Compilation No. x</w:t>
            </w:r>
          </w:p>
        </w:tc>
        <w:tc>
          <w:tcPr>
            <w:tcW w:w="3686" w:type="dxa"/>
            <w:shd w:val="clear" w:color="auto" w:fill="auto"/>
          </w:tcPr>
          <w:p w:rsidR="00A62CFF" w:rsidRPr="008E7D28" w:rsidRDefault="00A62CFF" w:rsidP="00973736">
            <w:pPr>
              <w:ind w:left="34"/>
              <w:rPr>
                <w:sz w:val="20"/>
              </w:rPr>
            </w:pPr>
            <w:r w:rsidRPr="008E7D28">
              <w:rPr>
                <w:sz w:val="20"/>
              </w:rPr>
              <w:t xml:space="preserve">    /sub</w:t>
            </w:r>
            <w:r>
              <w:rPr>
                <w:sz w:val="20"/>
              </w:rPr>
              <w:noBreakHyphen/>
            </w:r>
            <w:r w:rsidRPr="008E7D28">
              <w:rPr>
                <w:sz w:val="20"/>
              </w:rPr>
              <w:t>subparagraph(s)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Ch = Chapter(s)</w:t>
            </w:r>
          </w:p>
        </w:tc>
        <w:tc>
          <w:tcPr>
            <w:tcW w:w="3686" w:type="dxa"/>
            <w:shd w:val="clear" w:color="auto" w:fill="auto"/>
          </w:tcPr>
          <w:p w:rsidR="00A62CFF" w:rsidRPr="008E7D28" w:rsidRDefault="00A62CFF" w:rsidP="00973736">
            <w:pPr>
              <w:spacing w:before="60"/>
              <w:ind w:left="34"/>
              <w:rPr>
                <w:sz w:val="20"/>
              </w:rPr>
            </w:pPr>
            <w:r w:rsidRPr="008E7D28">
              <w:rPr>
                <w:sz w:val="20"/>
              </w:rPr>
              <w:t>pres = present</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def = definition(s)</w:t>
            </w:r>
          </w:p>
        </w:tc>
        <w:tc>
          <w:tcPr>
            <w:tcW w:w="3686" w:type="dxa"/>
            <w:shd w:val="clear" w:color="auto" w:fill="auto"/>
          </w:tcPr>
          <w:p w:rsidR="00A62CFF" w:rsidRPr="008E7D28" w:rsidRDefault="00A62CFF" w:rsidP="00973736">
            <w:pPr>
              <w:spacing w:before="60"/>
              <w:ind w:left="34"/>
              <w:rPr>
                <w:sz w:val="20"/>
              </w:rPr>
            </w:pPr>
            <w:r w:rsidRPr="008E7D28">
              <w:rPr>
                <w:sz w:val="20"/>
              </w:rPr>
              <w:t>prev = previous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Dict = Dictionary</w:t>
            </w:r>
          </w:p>
        </w:tc>
        <w:tc>
          <w:tcPr>
            <w:tcW w:w="3686" w:type="dxa"/>
            <w:shd w:val="clear" w:color="auto" w:fill="auto"/>
          </w:tcPr>
          <w:p w:rsidR="00A62CFF" w:rsidRPr="008E7D28" w:rsidRDefault="00A62CFF" w:rsidP="00973736">
            <w:pPr>
              <w:spacing w:before="60"/>
              <w:ind w:left="34"/>
              <w:rPr>
                <w:sz w:val="20"/>
              </w:rPr>
            </w:pPr>
            <w:r w:rsidRPr="008E7D28">
              <w:rPr>
                <w:sz w:val="20"/>
              </w:rPr>
              <w:t>(prev…) = previously</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disallowed = disallowed by Parliament</w:t>
            </w:r>
          </w:p>
        </w:tc>
        <w:tc>
          <w:tcPr>
            <w:tcW w:w="3686" w:type="dxa"/>
            <w:shd w:val="clear" w:color="auto" w:fill="auto"/>
          </w:tcPr>
          <w:p w:rsidR="00A62CFF" w:rsidRPr="008E7D28" w:rsidRDefault="00A62CFF" w:rsidP="00973736">
            <w:pPr>
              <w:spacing w:before="60"/>
              <w:ind w:left="34"/>
              <w:rPr>
                <w:sz w:val="20"/>
              </w:rPr>
            </w:pPr>
            <w:r w:rsidRPr="008E7D28">
              <w:rPr>
                <w:sz w:val="20"/>
              </w:rPr>
              <w:t>Pt = Part(s)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Div = Division(s)</w:t>
            </w:r>
          </w:p>
        </w:tc>
        <w:tc>
          <w:tcPr>
            <w:tcW w:w="3686" w:type="dxa"/>
            <w:shd w:val="clear" w:color="auto" w:fill="auto"/>
          </w:tcPr>
          <w:p w:rsidR="00A62CFF" w:rsidRPr="008E7D28" w:rsidRDefault="00A62CFF" w:rsidP="00973736">
            <w:pPr>
              <w:spacing w:before="60"/>
              <w:ind w:left="34"/>
              <w:rPr>
                <w:sz w:val="20"/>
              </w:rPr>
            </w:pPr>
            <w:r w:rsidRPr="008E7D28">
              <w:rPr>
                <w:sz w:val="20"/>
              </w:rPr>
              <w:t>r = regulation(s)/rule(s)</w:t>
            </w:r>
          </w:p>
        </w:tc>
      </w:tr>
      <w:tr w:rsidR="00A62CFF" w:rsidRPr="008E7D28" w:rsidTr="00973736">
        <w:tc>
          <w:tcPr>
            <w:tcW w:w="4253" w:type="dxa"/>
            <w:shd w:val="clear" w:color="auto" w:fill="auto"/>
          </w:tcPr>
          <w:p w:rsidR="00A62CFF" w:rsidRPr="008E7D28" w:rsidRDefault="00A62CFF" w:rsidP="00A62CFF">
            <w:pPr>
              <w:spacing w:before="60"/>
              <w:rPr>
                <w:sz w:val="20"/>
              </w:rPr>
            </w:pPr>
            <w:r>
              <w:rPr>
                <w:sz w:val="20"/>
              </w:rPr>
              <w:t>ed = editorial change</w:t>
            </w:r>
          </w:p>
        </w:tc>
        <w:tc>
          <w:tcPr>
            <w:tcW w:w="3686" w:type="dxa"/>
            <w:shd w:val="clear" w:color="auto" w:fill="auto"/>
          </w:tcPr>
          <w:p w:rsidR="00A62CFF" w:rsidRPr="008E7D28" w:rsidRDefault="00A62CFF" w:rsidP="00973736">
            <w:pPr>
              <w:spacing w:before="60"/>
              <w:ind w:left="34"/>
              <w:rPr>
                <w:sz w:val="20"/>
              </w:rPr>
            </w:pPr>
            <w:r w:rsidRPr="008E7D28">
              <w:rPr>
                <w:sz w:val="20"/>
              </w:rPr>
              <w:t>reloc = relocated</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exp = expires/expired or ceases/ceased to have</w:t>
            </w:r>
          </w:p>
        </w:tc>
        <w:tc>
          <w:tcPr>
            <w:tcW w:w="3686" w:type="dxa"/>
            <w:shd w:val="clear" w:color="auto" w:fill="auto"/>
          </w:tcPr>
          <w:p w:rsidR="00A62CFF" w:rsidRPr="008E7D28" w:rsidRDefault="00A62CFF" w:rsidP="00973736">
            <w:pPr>
              <w:spacing w:before="60"/>
              <w:ind w:left="34"/>
              <w:rPr>
                <w:sz w:val="20"/>
              </w:rPr>
            </w:pPr>
            <w:r w:rsidRPr="008E7D28">
              <w:rPr>
                <w:sz w:val="20"/>
              </w:rPr>
              <w:t>renum = renumbered</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 xml:space="preserve">    effect</w:t>
            </w:r>
          </w:p>
        </w:tc>
        <w:tc>
          <w:tcPr>
            <w:tcW w:w="3686" w:type="dxa"/>
            <w:shd w:val="clear" w:color="auto" w:fill="auto"/>
          </w:tcPr>
          <w:p w:rsidR="00A62CFF" w:rsidRPr="008E7D28" w:rsidRDefault="00A62CFF" w:rsidP="00973736">
            <w:pPr>
              <w:spacing w:before="60"/>
              <w:ind w:left="34"/>
              <w:rPr>
                <w:sz w:val="20"/>
              </w:rPr>
            </w:pPr>
            <w:r w:rsidRPr="008E7D28">
              <w:rPr>
                <w:sz w:val="20"/>
              </w:rPr>
              <w:t>rep = repealed</w:t>
            </w:r>
          </w:p>
        </w:tc>
      </w:tr>
      <w:tr w:rsidR="00A62CFF" w:rsidRPr="008E7D28" w:rsidTr="00973736">
        <w:tc>
          <w:tcPr>
            <w:tcW w:w="4253" w:type="dxa"/>
            <w:shd w:val="clear" w:color="auto" w:fill="auto"/>
          </w:tcPr>
          <w:p w:rsidR="00A62CFF" w:rsidRPr="008E7D28" w:rsidRDefault="00A62CFF" w:rsidP="00973736">
            <w:pPr>
              <w:ind w:left="34"/>
              <w:rPr>
                <w:sz w:val="20"/>
              </w:rPr>
            </w:pPr>
            <w:r w:rsidRPr="008E7D28">
              <w:rPr>
                <w:sz w:val="20"/>
              </w:rPr>
              <w:t xml:space="preserve">F = Federal Register of </w:t>
            </w:r>
            <w:r>
              <w:rPr>
                <w:sz w:val="20"/>
              </w:rPr>
              <w:t>Legislation</w:t>
            </w:r>
          </w:p>
        </w:tc>
        <w:tc>
          <w:tcPr>
            <w:tcW w:w="3686" w:type="dxa"/>
            <w:shd w:val="clear" w:color="auto" w:fill="auto"/>
          </w:tcPr>
          <w:p w:rsidR="00A62CFF" w:rsidRPr="008E7D28" w:rsidRDefault="00A62CFF" w:rsidP="00973736">
            <w:pPr>
              <w:spacing w:before="60"/>
              <w:ind w:left="34"/>
              <w:rPr>
                <w:sz w:val="20"/>
              </w:rPr>
            </w:pPr>
            <w:r w:rsidRPr="008E7D28">
              <w:rPr>
                <w:sz w:val="20"/>
              </w:rPr>
              <w:t>rs = repealed and substituted</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gaz = gazette</w:t>
            </w:r>
          </w:p>
        </w:tc>
        <w:tc>
          <w:tcPr>
            <w:tcW w:w="3686" w:type="dxa"/>
            <w:shd w:val="clear" w:color="auto" w:fill="auto"/>
          </w:tcPr>
          <w:p w:rsidR="00A62CFF" w:rsidRPr="008E7D28" w:rsidRDefault="00A62CFF" w:rsidP="00973736">
            <w:pPr>
              <w:spacing w:before="60"/>
              <w:ind w:left="34"/>
              <w:rPr>
                <w:sz w:val="20"/>
              </w:rPr>
            </w:pPr>
            <w:r w:rsidRPr="008E7D28">
              <w:rPr>
                <w:sz w:val="20"/>
              </w:rPr>
              <w:t>s = section(s)/subsection(s)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Pr>
                <w:sz w:val="20"/>
              </w:rPr>
              <w:t xml:space="preserve">LA = </w:t>
            </w:r>
            <w:r w:rsidRPr="009C3FDA">
              <w:rPr>
                <w:i/>
                <w:sz w:val="20"/>
              </w:rPr>
              <w:t>Legislation Act 2003</w:t>
            </w:r>
          </w:p>
        </w:tc>
        <w:tc>
          <w:tcPr>
            <w:tcW w:w="3686" w:type="dxa"/>
            <w:shd w:val="clear" w:color="auto" w:fill="auto"/>
          </w:tcPr>
          <w:p w:rsidR="00A62CFF" w:rsidRPr="008E7D28" w:rsidRDefault="00A62CFF" w:rsidP="00973736">
            <w:pPr>
              <w:spacing w:before="60"/>
              <w:ind w:left="34"/>
              <w:rPr>
                <w:sz w:val="20"/>
              </w:rPr>
            </w:pPr>
            <w:r w:rsidRPr="008E7D28">
              <w:rPr>
                <w:sz w:val="20"/>
              </w:rPr>
              <w:t>Sch = Schedule(s)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 xml:space="preserve">LIA = </w:t>
            </w:r>
            <w:r w:rsidRPr="008E7D28">
              <w:rPr>
                <w:i/>
                <w:sz w:val="20"/>
              </w:rPr>
              <w:t>Legislative Instruments Act 2003</w:t>
            </w:r>
          </w:p>
        </w:tc>
        <w:tc>
          <w:tcPr>
            <w:tcW w:w="3686" w:type="dxa"/>
            <w:shd w:val="clear" w:color="auto" w:fill="auto"/>
          </w:tcPr>
          <w:p w:rsidR="00A62CFF" w:rsidRPr="008E7D28" w:rsidRDefault="00A62CFF" w:rsidP="00973736">
            <w:pPr>
              <w:spacing w:before="60"/>
              <w:ind w:left="34"/>
              <w:rPr>
                <w:sz w:val="20"/>
              </w:rPr>
            </w:pPr>
            <w:r w:rsidRPr="008E7D28">
              <w:rPr>
                <w:sz w:val="20"/>
              </w:rPr>
              <w:t>Sdiv = Subdivision(s)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(md) = misdescribed amendment can be given</w:t>
            </w:r>
          </w:p>
        </w:tc>
        <w:tc>
          <w:tcPr>
            <w:tcW w:w="3686" w:type="dxa"/>
            <w:shd w:val="clear" w:color="auto" w:fill="auto"/>
          </w:tcPr>
          <w:p w:rsidR="00A62CFF" w:rsidRPr="008E7D28" w:rsidRDefault="00A62CFF" w:rsidP="00973736">
            <w:pPr>
              <w:spacing w:before="60"/>
              <w:ind w:left="34"/>
              <w:rPr>
                <w:sz w:val="20"/>
              </w:rPr>
            </w:pPr>
            <w:r w:rsidRPr="008E7D28">
              <w:rPr>
                <w:sz w:val="20"/>
              </w:rPr>
              <w:t>SLI = Select Legislative Instrument</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 xml:space="preserve">    effect</w:t>
            </w:r>
          </w:p>
        </w:tc>
        <w:tc>
          <w:tcPr>
            <w:tcW w:w="3686" w:type="dxa"/>
            <w:shd w:val="clear" w:color="auto" w:fill="auto"/>
          </w:tcPr>
          <w:p w:rsidR="00A62CFF" w:rsidRPr="008E7D28" w:rsidRDefault="00A62CFF" w:rsidP="00973736">
            <w:pPr>
              <w:spacing w:before="60"/>
              <w:ind w:left="34"/>
              <w:rPr>
                <w:sz w:val="20"/>
              </w:rPr>
            </w:pPr>
            <w:r w:rsidRPr="008E7D28">
              <w:rPr>
                <w:sz w:val="20"/>
              </w:rPr>
              <w:t>SR = Statutory Rules</w:t>
            </w:r>
          </w:p>
        </w:tc>
      </w:tr>
      <w:tr w:rsidR="00A62CFF" w:rsidRPr="008E7D28" w:rsidTr="00973736">
        <w:tc>
          <w:tcPr>
            <w:tcW w:w="4253" w:type="dxa"/>
            <w:shd w:val="clear" w:color="auto" w:fill="auto"/>
          </w:tcPr>
          <w:p w:rsidR="00A62CFF" w:rsidRPr="008E7D28" w:rsidRDefault="00A62CFF" w:rsidP="00973736">
            <w:pPr>
              <w:ind w:left="34"/>
              <w:rPr>
                <w:sz w:val="20"/>
              </w:rPr>
            </w:pPr>
            <w:r w:rsidRPr="008E7D28">
              <w:rPr>
                <w:sz w:val="20"/>
              </w:rPr>
              <w:t>(md not incorp) = misdescribed amendment</w:t>
            </w:r>
          </w:p>
        </w:tc>
        <w:tc>
          <w:tcPr>
            <w:tcW w:w="3686" w:type="dxa"/>
            <w:shd w:val="clear" w:color="auto" w:fill="auto"/>
          </w:tcPr>
          <w:p w:rsidR="00A62CFF" w:rsidRPr="008E7D28" w:rsidRDefault="00A62CFF" w:rsidP="00973736">
            <w:pPr>
              <w:spacing w:before="60"/>
              <w:ind w:left="34"/>
              <w:rPr>
                <w:sz w:val="20"/>
              </w:rPr>
            </w:pPr>
            <w:r w:rsidRPr="008E7D28">
              <w:rPr>
                <w:sz w:val="20"/>
              </w:rPr>
              <w:t>Sub</w:t>
            </w:r>
            <w:r>
              <w:rPr>
                <w:sz w:val="20"/>
              </w:rPr>
              <w:noBreakHyphen/>
            </w:r>
            <w:r w:rsidRPr="008E7D28">
              <w:rPr>
                <w:sz w:val="20"/>
              </w:rPr>
              <w:t>Ch = Sub</w:t>
            </w:r>
            <w:r>
              <w:rPr>
                <w:sz w:val="20"/>
              </w:rPr>
              <w:noBreakHyphen/>
            </w:r>
            <w:r w:rsidRPr="008E7D28">
              <w:rPr>
                <w:sz w:val="20"/>
              </w:rPr>
              <w:t>Chapter(s)</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 xml:space="preserve">    cannot be given effect</w:t>
            </w:r>
          </w:p>
        </w:tc>
        <w:tc>
          <w:tcPr>
            <w:tcW w:w="3686" w:type="dxa"/>
            <w:shd w:val="clear" w:color="auto" w:fill="auto"/>
          </w:tcPr>
          <w:p w:rsidR="00A62CFF" w:rsidRPr="008E7D28" w:rsidRDefault="00A62CFF" w:rsidP="00973736">
            <w:pPr>
              <w:spacing w:before="60"/>
              <w:ind w:left="34"/>
              <w:rPr>
                <w:sz w:val="20"/>
              </w:rPr>
            </w:pPr>
            <w:r w:rsidRPr="008E7D28">
              <w:rPr>
                <w:sz w:val="20"/>
              </w:rPr>
              <w:t>SubPt = Subpart(s)</w:t>
            </w:r>
          </w:p>
        </w:tc>
      </w:tr>
      <w:tr w:rsidR="00A62CFF" w:rsidRPr="008E7D28" w:rsidTr="00973736">
        <w:tc>
          <w:tcPr>
            <w:tcW w:w="4253" w:type="dxa"/>
            <w:shd w:val="clear" w:color="auto" w:fill="auto"/>
          </w:tcPr>
          <w:p w:rsidR="00A62CFF" w:rsidRPr="008E7D28" w:rsidRDefault="00A62CFF" w:rsidP="00973736">
            <w:pPr>
              <w:ind w:left="34"/>
              <w:rPr>
                <w:sz w:val="20"/>
              </w:rPr>
            </w:pPr>
            <w:r w:rsidRPr="008E7D28">
              <w:rPr>
                <w:sz w:val="20"/>
              </w:rPr>
              <w:t>mod = modified/modification</w:t>
            </w:r>
          </w:p>
        </w:tc>
        <w:tc>
          <w:tcPr>
            <w:tcW w:w="3686" w:type="dxa"/>
            <w:shd w:val="clear" w:color="auto" w:fill="auto"/>
          </w:tcPr>
          <w:p w:rsidR="00A62CFF" w:rsidRPr="008E7D28" w:rsidRDefault="00A62CFF" w:rsidP="00973736">
            <w:pPr>
              <w:spacing w:before="60"/>
              <w:ind w:left="34"/>
              <w:rPr>
                <w:sz w:val="20"/>
              </w:rPr>
            </w:pPr>
            <w:r w:rsidRPr="008E7D28">
              <w:rPr>
                <w:sz w:val="20"/>
                <w:u w:val="single"/>
              </w:rPr>
              <w:t>underlining</w:t>
            </w:r>
            <w:r w:rsidRPr="008E7D28">
              <w:rPr>
                <w:sz w:val="20"/>
              </w:rPr>
              <w:t xml:space="preserve"> = whole or part not</w:t>
            </w:r>
          </w:p>
        </w:tc>
      </w:tr>
      <w:tr w:rsidR="00A62CFF" w:rsidRPr="008E7D28" w:rsidTr="00973736">
        <w:tc>
          <w:tcPr>
            <w:tcW w:w="4253" w:type="dxa"/>
            <w:shd w:val="clear" w:color="auto" w:fill="auto"/>
          </w:tcPr>
          <w:p w:rsidR="00A62CFF" w:rsidRPr="008E7D28" w:rsidRDefault="00A62CFF" w:rsidP="00973736">
            <w:pPr>
              <w:spacing w:before="60"/>
              <w:ind w:left="34"/>
              <w:rPr>
                <w:sz w:val="20"/>
              </w:rPr>
            </w:pPr>
            <w:r w:rsidRPr="008E7D28">
              <w:rPr>
                <w:sz w:val="20"/>
              </w:rPr>
              <w:t>No. = Number(s)</w:t>
            </w:r>
          </w:p>
        </w:tc>
        <w:tc>
          <w:tcPr>
            <w:tcW w:w="3686" w:type="dxa"/>
            <w:shd w:val="clear" w:color="auto" w:fill="auto"/>
          </w:tcPr>
          <w:p w:rsidR="00A62CFF" w:rsidRPr="008E7D28" w:rsidRDefault="00A62CFF" w:rsidP="00973736">
            <w:pPr>
              <w:spacing w:before="60"/>
              <w:ind w:left="34"/>
              <w:rPr>
                <w:sz w:val="20"/>
              </w:rPr>
            </w:pPr>
            <w:r w:rsidRPr="008E7D28">
              <w:rPr>
                <w:sz w:val="20"/>
              </w:rPr>
              <w:t xml:space="preserve">    commenced or to be commenced</w:t>
            </w:r>
          </w:p>
        </w:tc>
      </w:tr>
    </w:tbl>
    <w:p w:rsidR="001A0F57" w:rsidRPr="00BC57F4" w:rsidRDefault="001A0F57" w:rsidP="001A0F57">
      <w:pPr>
        <w:pStyle w:val="Tabletext"/>
      </w:pPr>
    </w:p>
    <w:p w:rsidR="00973736" w:rsidRDefault="00973736">
      <w:pPr>
        <w:spacing w:line="240" w:lineRule="auto"/>
        <w:rPr>
          <w:b/>
          <w:i/>
        </w:rPr>
      </w:pPr>
      <w:r>
        <w:rPr>
          <w:b/>
          <w:i/>
        </w:rPr>
        <w:br w:type="page"/>
      </w:r>
    </w:p>
    <w:p w:rsidR="00973736" w:rsidRDefault="00973736" w:rsidP="00973736">
      <w:pPr>
        <w:pStyle w:val="ENotesHeading2"/>
        <w:pageBreakBefore/>
      </w:pPr>
      <w:r>
        <w:lastRenderedPageBreak/>
        <w:t>Endnote 3—Legislation history</w:t>
      </w:r>
    </w:p>
    <w:p w:rsidR="00973736" w:rsidRDefault="00973736" w:rsidP="00973736">
      <w:pPr>
        <w:pStyle w:val="Tabletext"/>
      </w:pPr>
    </w:p>
    <w:tbl>
      <w:tblPr>
        <w:tblW w:w="7224"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06"/>
        <w:gridCol w:w="1806"/>
        <w:gridCol w:w="1806"/>
        <w:gridCol w:w="1806"/>
      </w:tblGrid>
      <w:tr w:rsidR="00A155C6" w:rsidRPr="0098546F" w:rsidTr="00104784">
        <w:trPr>
          <w:cantSplit/>
          <w:tblHeader/>
        </w:trPr>
        <w:tc>
          <w:tcPr>
            <w:tcW w:w="1806" w:type="dxa"/>
            <w:tcBorders>
              <w:top w:val="single" w:sz="12" w:space="0" w:color="auto"/>
              <w:bottom w:val="single" w:sz="12" w:space="0" w:color="auto"/>
            </w:tcBorders>
            <w:shd w:val="clear" w:color="auto" w:fill="auto"/>
          </w:tcPr>
          <w:p w:rsidR="00A155C6" w:rsidRPr="00E117A3" w:rsidRDefault="00A155C6" w:rsidP="00104784">
            <w:pPr>
              <w:pStyle w:val="ENoteTableHeading"/>
            </w:pPr>
            <w:r>
              <w:t>Name</w:t>
            </w:r>
          </w:p>
        </w:tc>
        <w:tc>
          <w:tcPr>
            <w:tcW w:w="1806" w:type="dxa"/>
            <w:tcBorders>
              <w:top w:val="single" w:sz="12" w:space="0" w:color="auto"/>
              <w:bottom w:val="single" w:sz="12" w:space="0" w:color="auto"/>
            </w:tcBorders>
            <w:shd w:val="clear" w:color="auto" w:fill="auto"/>
          </w:tcPr>
          <w:p w:rsidR="00A155C6" w:rsidRPr="00E117A3" w:rsidRDefault="00A155C6" w:rsidP="00104784">
            <w:pPr>
              <w:pStyle w:val="ENoteTableHeading"/>
            </w:pPr>
            <w:r>
              <w:t>Registration</w:t>
            </w:r>
          </w:p>
        </w:tc>
        <w:tc>
          <w:tcPr>
            <w:tcW w:w="1806" w:type="dxa"/>
            <w:tcBorders>
              <w:top w:val="single" w:sz="12" w:space="0" w:color="auto"/>
              <w:bottom w:val="single" w:sz="12" w:space="0" w:color="auto"/>
            </w:tcBorders>
            <w:shd w:val="clear" w:color="auto" w:fill="auto"/>
          </w:tcPr>
          <w:p w:rsidR="00A155C6" w:rsidRPr="00E117A3" w:rsidRDefault="00A155C6" w:rsidP="00104784">
            <w:pPr>
              <w:pStyle w:val="ENoteTableHeading"/>
            </w:pPr>
            <w:r>
              <w:t>Commencement</w:t>
            </w:r>
          </w:p>
        </w:tc>
        <w:tc>
          <w:tcPr>
            <w:tcW w:w="1806" w:type="dxa"/>
            <w:tcBorders>
              <w:top w:val="single" w:sz="12" w:space="0" w:color="auto"/>
              <w:bottom w:val="single" w:sz="12" w:space="0" w:color="auto"/>
            </w:tcBorders>
            <w:shd w:val="clear" w:color="auto" w:fill="auto"/>
          </w:tcPr>
          <w:p w:rsidR="00A155C6" w:rsidRPr="00E117A3" w:rsidRDefault="00A155C6" w:rsidP="00104784">
            <w:pPr>
              <w:pStyle w:val="ENoteTableHeading"/>
            </w:pPr>
            <w:r w:rsidRPr="00E117A3">
              <w:t>Application, saving and transitional provisions</w:t>
            </w:r>
          </w:p>
        </w:tc>
      </w:tr>
      <w:tr w:rsidR="00A155C6" w:rsidRPr="00E117A3" w:rsidTr="00104784">
        <w:trPr>
          <w:cantSplit/>
        </w:trPr>
        <w:tc>
          <w:tcPr>
            <w:tcW w:w="1806" w:type="dxa"/>
            <w:tcBorders>
              <w:top w:val="single" w:sz="12" w:space="0" w:color="auto"/>
              <w:bottom w:val="single" w:sz="4" w:space="0" w:color="auto"/>
            </w:tcBorders>
            <w:shd w:val="clear" w:color="auto" w:fill="auto"/>
          </w:tcPr>
          <w:p w:rsidR="00A155C6" w:rsidRDefault="00A155C6" w:rsidP="00104784">
            <w:pPr>
              <w:pStyle w:val="ENoteTableText"/>
              <w:rPr>
                <w:rFonts w:ascii="Arial" w:hAnsi="Arial" w:cs="Arial"/>
                <w:i/>
                <w:sz w:val="18"/>
                <w:szCs w:val="18"/>
              </w:rPr>
            </w:pPr>
            <w:r w:rsidRPr="009F460D">
              <w:rPr>
                <w:rFonts w:ascii="Arial" w:hAnsi="Arial" w:cs="Arial"/>
                <w:i/>
                <w:sz w:val="18"/>
                <w:szCs w:val="18"/>
              </w:rPr>
              <w:t>Statement of Principles concerning ma</w:t>
            </w:r>
            <w:r>
              <w:rPr>
                <w:rFonts w:ascii="Arial" w:hAnsi="Arial" w:cs="Arial"/>
                <w:i/>
                <w:sz w:val="18"/>
                <w:szCs w:val="18"/>
              </w:rPr>
              <w:t>lignant neoplasm of the oesophagus</w:t>
            </w:r>
            <w:r w:rsidR="00104784">
              <w:rPr>
                <w:rFonts w:ascii="Arial" w:hAnsi="Arial" w:cs="Arial"/>
                <w:i/>
                <w:sz w:val="18"/>
                <w:szCs w:val="18"/>
              </w:rPr>
              <w:t xml:space="preserve"> (Reasonable Hypothesis)</w:t>
            </w:r>
            <w:r w:rsidR="00F67206">
              <w:rPr>
                <w:rFonts w:ascii="Arial" w:hAnsi="Arial" w:cs="Arial"/>
                <w:i/>
                <w:sz w:val="18"/>
                <w:szCs w:val="18"/>
              </w:rPr>
              <w:t xml:space="preserve"> No. 120</w:t>
            </w:r>
            <w:r w:rsidRPr="009F460D">
              <w:rPr>
                <w:rFonts w:ascii="Arial" w:hAnsi="Arial" w:cs="Arial"/>
                <w:i/>
                <w:sz w:val="18"/>
                <w:szCs w:val="18"/>
              </w:rPr>
              <w:t xml:space="preserve"> of 201</w:t>
            </w:r>
            <w:r w:rsidR="00F67206">
              <w:rPr>
                <w:rFonts w:ascii="Arial" w:hAnsi="Arial" w:cs="Arial"/>
                <w:i/>
                <w:sz w:val="18"/>
                <w:szCs w:val="18"/>
              </w:rPr>
              <w:t>5</w:t>
            </w:r>
          </w:p>
          <w:p w:rsidR="00A155C6" w:rsidRPr="009F460D" w:rsidRDefault="00A155C6" w:rsidP="00104784">
            <w:pPr>
              <w:pStyle w:val="ENoteTableText"/>
              <w:rPr>
                <w:rFonts w:ascii="Arial" w:hAnsi="Arial" w:cs="Arial"/>
                <w:sz w:val="18"/>
                <w:szCs w:val="18"/>
              </w:rPr>
            </w:pPr>
          </w:p>
        </w:tc>
        <w:tc>
          <w:tcPr>
            <w:tcW w:w="1806" w:type="dxa"/>
            <w:tcBorders>
              <w:top w:val="single" w:sz="12" w:space="0" w:color="auto"/>
              <w:bottom w:val="single" w:sz="4" w:space="0" w:color="auto"/>
            </w:tcBorders>
            <w:shd w:val="clear" w:color="auto" w:fill="auto"/>
          </w:tcPr>
          <w:p w:rsidR="002325B1" w:rsidRDefault="002325B1" w:rsidP="00104784">
            <w:pPr>
              <w:pStyle w:val="TableOfStatRules"/>
              <w:rPr>
                <w:rFonts w:cs="Arial"/>
                <w:szCs w:val="18"/>
              </w:rPr>
            </w:pPr>
          </w:p>
          <w:p w:rsidR="00A155C6" w:rsidRPr="009F460D" w:rsidRDefault="00F67206" w:rsidP="002325B1">
            <w:pPr>
              <w:pStyle w:val="TableOfStatRules"/>
              <w:spacing w:before="0"/>
              <w:rPr>
                <w:rFonts w:cs="Arial"/>
                <w:szCs w:val="18"/>
              </w:rPr>
            </w:pPr>
            <w:r>
              <w:rPr>
                <w:rFonts w:cs="Arial"/>
                <w:szCs w:val="18"/>
              </w:rPr>
              <w:t>22 October 2015</w:t>
            </w:r>
          </w:p>
          <w:p w:rsidR="00A155C6" w:rsidRPr="009F460D" w:rsidRDefault="00A155C6" w:rsidP="00104784">
            <w:pPr>
              <w:pStyle w:val="TableOfStatRules"/>
              <w:rPr>
                <w:rFonts w:cs="Arial"/>
                <w:szCs w:val="18"/>
              </w:rPr>
            </w:pPr>
          </w:p>
          <w:p w:rsidR="00A155C6" w:rsidRPr="009F460D" w:rsidRDefault="00A155C6" w:rsidP="00F67206">
            <w:pPr>
              <w:pStyle w:val="ENoteTableText"/>
              <w:rPr>
                <w:rFonts w:ascii="Arial" w:hAnsi="Arial" w:cs="Arial"/>
                <w:sz w:val="18"/>
                <w:szCs w:val="18"/>
              </w:rPr>
            </w:pPr>
            <w:r w:rsidRPr="009F460D">
              <w:rPr>
                <w:rFonts w:ascii="Arial" w:hAnsi="Arial" w:cs="Arial"/>
                <w:sz w:val="18"/>
                <w:szCs w:val="18"/>
              </w:rPr>
              <w:t>F201</w:t>
            </w:r>
            <w:r w:rsidR="00F67206">
              <w:rPr>
                <w:rFonts w:ascii="Arial" w:hAnsi="Arial" w:cs="Arial"/>
                <w:sz w:val="18"/>
                <w:szCs w:val="18"/>
              </w:rPr>
              <w:t>5</w:t>
            </w:r>
            <w:r w:rsidRPr="009F460D">
              <w:rPr>
                <w:rFonts w:ascii="Arial" w:hAnsi="Arial" w:cs="Arial"/>
                <w:sz w:val="18"/>
                <w:szCs w:val="18"/>
              </w:rPr>
              <w:t>L0</w:t>
            </w:r>
            <w:r w:rsidR="00F67206">
              <w:rPr>
                <w:rFonts w:ascii="Arial" w:hAnsi="Arial" w:cs="Arial"/>
                <w:sz w:val="18"/>
                <w:szCs w:val="18"/>
              </w:rPr>
              <w:t>1685</w:t>
            </w:r>
          </w:p>
        </w:tc>
        <w:tc>
          <w:tcPr>
            <w:tcW w:w="1806" w:type="dxa"/>
            <w:tcBorders>
              <w:top w:val="single" w:sz="12" w:space="0" w:color="auto"/>
              <w:bottom w:val="single" w:sz="4" w:space="0" w:color="auto"/>
            </w:tcBorders>
            <w:shd w:val="clear" w:color="auto" w:fill="auto"/>
          </w:tcPr>
          <w:p w:rsidR="002325B1" w:rsidRDefault="002325B1" w:rsidP="00104784">
            <w:pPr>
              <w:pStyle w:val="TableOfStatRules"/>
              <w:rPr>
                <w:rFonts w:cs="Arial"/>
                <w:szCs w:val="18"/>
              </w:rPr>
            </w:pPr>
          </w:p>
          <w:p w:rsidR="00A155C6" w:rsidRPr="009F460D" w:rsidRDefault="00F67206" w:rsidP="002325B1">
            <w:pPr>
              <w:pStyle w:val="TableOfStatRules"/>
              <w:spacing w:before="0"/>
              <w:rPr>
                <w:rFonts w:cs="Arial"/>
                <w:szCs w:val="18"/>
              </w:rPr>
            </w:pPr>
            <w:bookmarkStart w:id="35" w:name="_GoBack"/>
            <w:bookmarkEnd w:id="35"/>
            <w:r>
              <w:rPr>
                <w:rFonts w:cs="Arial"/>
                <w:szCs w:val="18"/>
              </w:rPr>
              <w:t>16 November 2015</w:t>
            </w:r>
          </w:p>
          <w:p w:rsidR="00A155C6" w:rsidRPr="009F460D" w:rsidRDefault="00A155C6" w:rsidP="00104784">
            <w:pPr>
              <w:pStyle w:val="TableOfStatRules"/>
              <w:rPr>
                <w:rFonts w:cs="Arial"/>
                <w:szCs w:val="18"/>
              </w:rPr>
            </w:pPr>
          </w:p>
          <w:p w:rsidR="00A155C6" w:rsidRPr="009F460D" w:rsidRDefault="00A155C6" w:rsidP="00104784">
            <w:pPr>
              <w:pStyle w:val="TableOfStatRules"/>
              <w:rPr>
                <w:rFonts w:cs="Arial"/>
                <w:szCs w:val="18"/>
              </w:rPr>
            </w:pPr>
          </w:p>
        </w:tc>
        <w:tc>
          <w:tcPr>
            <w:tcW w:w="1806" w:type="dxa"/>
            <w:tcBorders>
              <w:top w:val="single" w:sz="12" w:space="0" w:color="auto"/>
              <w:bottom w:val="single" w:sz="4" w:space="0" w:color="auto"/>
            </w:tcBorders>
            <w:shd w:val="clear" w:color="auto" w:fill="auto"/>
          </w:tcPr>
          <w:p w:rsidR="00A155C6" w:rsidRPr="009F460D" w:rsidRDefault="00A155C6" w:rsidP="00104784">
            <w:pPr>
              <w:pStyle w:val="ENoteTableText"/>
              <w:rPr>
                <w:rFonts w:ascii="Arial" w:hAnsi="Arial" w:cs="Arial"/>
                <w:sz w:val="18"/>
                <w:szCs w:val="18"/>
              </w:rPr>
            </w:pPr>
          </w:p>
        </w:tc>
      </w:tr>
      <w:tr w:rsidR="00A155C6" w:rsidTr="00104784">
        <w:trPr>
          <w:cantSplit/>
        </w:trPr>
        <w:tc>
          <w:tcPr>
            <w:tcW w:w="1806" w:type="dxa"/>
            <w:tcBorders>
              <w:bottom w:val="single" w:sz="12" w:space="0" w:color="auto"/>
            </w:tcBorders>
            <w:shd w:val="clear" w:color="auto" w:fill="auto"/>
          </w:tcPr>
          <w:p w:rsidR="00A155C6" w:rsidRDefault="00A155C6" w:rsidP="00104784">
            <w:pPr>
              <w:pStyle w:val="ENoteTableText"/>
              <w:rPr>
                <w:rFonts w:ascii="Arial" w:hAnsi="Arial" w:cs="Arial"/>
                <w:i/>
                <w:sz w:val="18"/>
                <w:szCs w:val="18"/>
              </w:rPr>
            </w:pPr>
            <w:r w:rsidRPr="009F460D">
              <w:rPr>
                <w:rFonts w:ascii="Arial" w:hAnsi="Arial" w:cs="Arial"/>
                <w:i/>
                <w:sz w:val="18"/>
                <w:szCs w:val="18"/>
              </w:rPr>
              <w:t xml:space="preserve">Amendment Statement of Principles concerning malignant neoplasm of the </w:t>
            </w:r>
            <w:r>
              <w:rPr>
                <w:rFonts w:ascii="Arial" w:hAnsi="Arial" w:cs="Arial"/>
                <w:i/>
                <w:sz w:val="18"/>
                <w:szCs w:val="18"/>
              </w:rPr>
              <w:t>oesophagus</w:t>
            </w:r>
            <w:r w:rsidR="00616A0A">
              <w:rPr>
                <w:rFonts w:ascii="Arial" w:hAnsi="Arial" w:cs="Arial"/>
                <w:i/>
                <w:sz w:val="18"/>
                <w:szCs w:val="18"/>
              </w:rPr>
              <w:t xml:space="preserve"> (Reasonable Hypothesis)</w:t>
            </w:r>
            <w:r w:rsidRPr="009F460D">
              <w:rPr>
                <w:rFonts w:ascii="Arial" w:hAnsi="Arial" w:cs="Arial"/>
                <w:i/>
                <w:sz w:val="18"/>
                <w:szCs w:val="18"/>
              </w:rPr>
              <w:t xml:space="preserve"> No. </w:t>
            </w:r>
            <w:r>
              <w:rPr>
                <w:rFonts w:ascii="Arial" w:hAnsi="Arial" w:cs="Arial"/>
                <w:i/>
                <w:sz w:val="18"/>
                <w:szCs w:val="18"/>
              </w:rPr>
              <w:t>21</w:t>
            </w:r>
            <w:r w:rsidRPr="009F460D">
              <w:rPr>
                <w:rFonts w:ascii="Arial" w:hAnsi="Arial" w:cs="Arial"/>
                <w:i/>
                <w:sz w:val="18"/>
                <w:szCs w:val="18"/>
              </w:rPr>
              <w:t xml:space="preserve"> of </w:t>
            </w:r>
            <w:r>
              <w:rPr>
                <w:rFonts w:ascii="Arial" w:hAnsi="Arial" w:cs="Arial"/>
                <w:i/>
                <w:sz w:val="18"/>
                <w:szCs w:val="18"/>
              </w:rPr>
              <w:t>2017</w:t>
            </w:r>
          </w:p>
          <w:p w:rsidR="00A155C6" w:rsidRPr="009F460D" w:rsidRDefault="00A155C6" w:rsidP="00104784">
            <w:pPr>
              <w:pStyle w:val="ENoteTableText"/>
              <w:rPr>
                <w:rFonts w:ascii="Arial" w:hAnsi="Arial" w:cs="Arial"/>
                <w:sz w:val="18"/>
                <w:szCs w:val="18"/>
              </w:rPr>
            </w:pPr>
          </w:p>
        </w:tc>
        <w:tc>
          <w:tcPr>
            <w:tcW w:w="1806" w:type="dxa"/>
            <w:tcBorders>
              <w:bottom w:val="single" w:sz="12" w:space="0" w:color="auto"/>
            </w:tcBorders>
            <w:shd w:val="clear" w:color="auto" w:fill="auto"/>
          </w:tcPr>
          <w:p w:rsidR="002325B1" w:rsidRDefault="002325B1" w:rsidP="00104784">
            <w:pPr>
              <w:pStyle w:val="TableOfStatRules"/>
              <w:rPr>
                <w:rFonts w:cs="Arial"/>
                <w:szCs w:val="18"/>
              </w:rPr>
            </w:pPr>
          </w:p>
          <w:p w:rsidR="00A155C6" w:rsidRPr="009F460D" w:rsidRDefault="00A155C6" w:rsidP="00104784">
            <w:pPr>
              <w:pStyle w:val="TableOfStatRules"/>
              <w:rPr>
                <w:rFonts w:cs="Arial"/>
                <w:szCs w:val="18"/>
              </w:rPr>
            </w:pPr>
            <w:r>
              <w:rPr>
                <w:rFonts w:cs="Arial"/>
                <w:szCs w:val="18"/>
              </w:rPr>
              <w:t>4 January 2017</w:t>
            </w:r>
          </w:p>
          <w:p w:rsidR="00A155C6" w:rsidRPr="009F460D" w:rsidRDefault="00A155C6" w:rsidP="00104784">
            <w:pPr>
              <w:pStyle w:val="TableOfStatRules"/>
              <w:rPr>
                <w:rFonts w:cs="Arial"/>
                <w:szCs w:val="18"/>
              </w:rPr>
            </w:pPr>
          </w:p>
          <w:p w:rsidR="00A155C6" w:rsidRPr="009F460D" w:rsidRDefault="00A155C6" w:rsidP="00104784">
            <w:pPr>
              <w:pStyle w:val="TableOfStatRules"/>
              <w:rPr>
                <w:rFonts w:cs="Arial"/>
                <w:szCs w:val="18"/>
              </w:rPr>
            </w:pPr>
            <w:r w:rsidRPr="009F460D">
              <w:rPr>
                <w:rFonts w:cs="Arial"/>
                <w:szCs w:val="18"/>
              </w:rPr>
              <w:t>F201</w:t>
            </w:r>
            <w:r w:rsidR="00F67206">
              <w:rPr>
                <w:rFonts w:cs="Arial"/>
                <w:szCs w:val="18"/>
              </w:rPr>
              <w:t>7L00018</w:t>
            </w:r>
          </w:p>
          <w:p w:rsidR="00A155C6" w:rsidRPr="009F460D" w:rsidRDefault="00A155C6" w:rsidP="00104784">
            <w:pPr>
              <w:pStyle w:val="ENoteTableText"/>
              <w:rPr>
                <w:rFonts w:ascii="Arial" w:hAnsi="Arial" w:cs="Arial"/>
                <w:sz w:val="18"/>
                <w:szCs w:val="18"/>
              </w:rPr>
            </w:pPr>
          </w:p>
        </w:tc>
        <w:tc>
          <w:tcPr>
            <w:tcW w:w="1806" w:type="dxa"/>
            <w:tcBorders>
              <w:bottom w:val="single" w:sz="12" w:space="0" w:color="auto"/>
            </w:tcBorders>
            <w:shd w:val="clear" w:color="auto" w:fill="auto"/>
          </w:tcPr>
          <w:p w:rsidR="002325B1" w:rsidRDefault="002325B1" w:rsidP="00104784">
            <w:pPr>
              <w:pStyle w:val="ENoteTableText"/>
              <w:rPr>
                <w:rFonts w:ascii="Arial" w:hAnsi="Arial" w:cs="Arial"/>
                <w:sz w:val="18"/>
                <w:szCs w:val="18"/>
              </w:rPr>
            </w:pPr>
          </w:p>
          <w:p w:rsidR="00A155C6" w:rsidRPr="009F460D" w:rsidRDefault="00A155C6" w:rsidP="002325B1">
            <w:pPr>
              <w:pStyle w:val="ENoteTableText"/>
              <w:spacing w:before="0"/>
              <w:rPr>
                <w:rFonts w:ascii="Arial" w:hAnsi="Arial" w:cs="Arial"/>
                <w:sz w:val="18"/>
                <w:szCs w:val="18"/>
              </w:rPr>
            </w:pPr>
            <w:r>
              <w:rPr>
                <w:rFonts w:ascii="Arial" w:hAnsi="Arial" w:cs="Arial"/>
                <w:sz w:val="18"/>
                <w:szCs w:val="18"/>
              </w:rPr>
              <w:t>23 January 2017</w:t>
            </w:r>
          </w:p>
        </w:tc>
        <w:tc>
          <w:tcPr>
            <w:tcW w:w="1806" w:type="dxa"/>
            <w:tcBorders>
              <w:bottom w:val="single" w:sz="12" w:space="0" w:color="auto"/>
            </w:tcBorders>
            <w:shd w:val="clear" w:color="auto" w:fill="auto"/>
          </w:tcPr>
          <w:p w:rsidR="00A155C6" w:rsidRPr="009F460D" w:rsidRDefault="00A155C6" w:rsidP="00104784">
            <w:pPr>
              <w:pStyle w:val="ENoteTableText"/>
              <w:rPr>
                <w:rFonts w:ascii="Arial" w:hAnsi="Arial" w:cs="Arial"/>
                <w:sz w:val="18"/>
                <w:szCs w:val="18"/>
              </w:rPr>
            </w:pPr>
          </w:p>
        </w:tc>
      </w:tr>
    </w:tbl>
    <w:p w:rsidR="00973736" w:rsidRDefault="00973736" w:rsidP="00973736"/>
    <w:p w:rsidR="00973736" w:rsidRDefault="00973736">
      <w:pPr>
        <w:spacing w:line="240" w:lineRule="auto"/>
      </w:pPr>
      <w:r>
        <w:br w:type="page"/>
      </w:r>
    </w:p>
    <w:p w:rsidR="00973736" w:rsidRDefault="00973736" w:rsidP="00973736">
      <w:pPr>
        <w:pStyle w:val="ENotesHeading2"/>
        <w:pageBreakBefore/>
      </w:pPr>
      <w:r>
        <w:lastRenderedPageBreak/>
        <w:t>Endnote 4—Amendment history</w:t>
      </w:r>
    </w:p>
    <w:p w:rsidR="00973736" w:rsidRDefault="00973736" w:rsidP="00973736">
      <w:pPr>
        <w:pStyle w:val="Tabletext"/>
      </w:pPr>
    </w:p>
    <w:tbl>
      <w:tblPr>
        <w:tblW w:w="7082" w:type="dxa"/>
        <w:tblInd w:w="113" w:type="dxa"/>
        <w:tblLayout w:type="fixed"/>
        <w:tblLook w:val="0000" w:firstRow="0" w:lastRow="0" w:firstColumn="0" w:lastColumn="0" w:noHBand="0" w:noVBand="0"/>
      </w:tblPr>
      <w:tblGrid>
        <w:gridCol w:w="2139"/>
        <w:gridCol w:w="4943"/>
      </w:tblGrid>
      <w:tr w:rsidR="00A155C6" w:rsidRPr="0098546F" w:rsidTr="00104784">
        <w:trPr>
          <w:cantSplit/>
          <w:tblHeader/>
        </w:trPr>
        <w:tc>
          <w:tcPr>
            <w:tcW w:w="2139" w:type="dxa"/>
            <w:tcBorders>
              <w:top w:val="single" w:sz="12" w:space="0" w:color="auto"/>
              <w:bottom w:val="single" w:sz="12" w:space="0" w:color="auto"/>
            </w:tcBorders>
            <w:shd w:val="clear" w:color="auto" w:fill="auto"/>
          </w:tcPr>
          <w:p w:rsidR="00A155C6" w:rsidRPr="00E117A3" w:rsidRDefault="00A155C6" w:rsidP="00104784">
            <w:pPr>
              <w:pStyle w:val="ENoteTableHeading"/>
            </w:pPr>
            <w:r w:rsidRPr="00E117A3">
              <w:t>Provision affected</w:t>
            </w:r>
          </w:p>
        </w:tc>
        <w:tc>
          <w:tcPr>
            <w:tcW w:w="4943" w:type="dxa"/>
            <w:tcBorders>
              <w:top w:val="single" w:sz="12" w:space="0" w:color="auto"/>
              <w:bottom w:val="single" w:sz="12" w:space="0" w:color="auto"/>
            </w:tcBorders>
            <w:shd w:val="clear" w:color="auto" w:fill="auto"/>
          </w:tcPr>
          <w:p w:rsidR="00A155C6" w:rsidRPr="00E117A3" w:rsidRDefault="00A155C6" w:rsidP="00104784">
            <w:pPr>
              <w:pStyle w:val="ENoteTableHeading"/>
            </w:pPr>
            <w:r w:rsidRPr="00E117A3">
              <w:t>How affected</w:t>
            </w:r>
          </w:p>
        </w:tc>
      </w:tr>
      <w:tr w:rsidR="00A155C6" w:rsidRPr="00E117A3" w:rsidTr="00104784">
        <w:trPr>
          <w:cantSplit/>
        </w:trPr>
        <w:tc>
          <w:tcPr>
            <w:tcW w:w="2139" w:type="dxa"/>
            <w:tcBorders>
              <w:top w:val="single" w:sz="12" w:space="0" w:color="auto"/>
              <w:bottom w:val="single" w:sz="4" w:space="0" w:color="auto"/>
            </w:tcBorders>
            <w:shd w:val="clear" w:color="auto" w:fill="auto"/>
          </w:tcPr>
          <w:p w:rsidR="00A155C6" w:rsidRDefault="00A155C6" w:rsidP="00104784">
            <w:pPr>
              <w:pStyle w:val="TableOfAmend"/>
            </w:pPr>
            <w:r>
              <w:t>Clause 9(3)………..……</w:t>
            </w:r>
          </w:p>
        </w:tc>
        <w:tc>
          <w:tcPr>
            <w:tcW w:w="4943" w:type="dxa"/>
            <w:tcBorders>
              <w:top w:val="single" w:sz="12" w:space="0" w:color="auto"/>
              <w:bottom w:val="single" w:sz="4" w:space="0" w:color="auto"/>
            </w:tcBorders>
            <w:shd w:val="clear" w:color="auto" w:fill="auto"/>
          </w:tcPr>
          <w:p w:rsidR="00A155C6" w:rsidRDefault="00A155C6" w:rsidP="00A155C6">
            <w:pPr>
              <w:pStyle w:val="TableOfAmend"/>
            </w:pPr>
            <w:r>
              <w:t>rs. Instrument No. 21 of 2017</w:t>
            </w:r>
          </w:p>
        </w:tc>
      </w:tr>
    </w:tbl>
    <w:p w:rsidR="00973736" w:rsidRDefault="00973736" w:rsidP="00973736">
      <w:pPr>
        <w:pStyle w:val="Tabletext"/>
      </w:pPr>
    </w:p>
    <w:p w:rsidR="00973736" w:rsidRDefault="00973736" w:rsidP="00973736">
      <w:pPr>
        <w:sectPr w:rsidR="00973736" w:rsidSect="00973736">
          <w:headerReference w:type="even" r:id="rId23"/>
          <w:headerReference w:type="default" r:id="rId24"/>
          <w:footerReference w:type="even" r:id="rId25"/>
          <w:footerReference w:type="default" r:id="rId26"/>
          <w:type w:val="continuous"/>
          <w:pgSz w:w="11907" w:h="16839" w:code="9"/>
          <w:pgMar w:top="1440" w:right="1797" w:bottom="1440" w:left="1797" w:header="720" w:footer="709" w:gutter="0"/>
          <w:cols w:space="708"/>
          <w:docGrid w:linePitch="360"/>
        </w:sectPr>
      </w:pPr>
    </w:p>
    <w:p w:rsidR="00973736" w:rsidRPr="00152412" w:rsidRDefault="00973736" w:rsidP="00973736"/>
    <w:p w:rsidR="00973736" w:rsidRDefault="00973736" w:rsidP="00973736"/>
    <w:p w:rsidR="00AF6B58" w:rsidRDefault="00AF6B58" w:rsidP="003F4535">
      <w:pPr>
        <w:rPr>
          <w:b/>
          <w:i/>
        </w:rPr>
      </w:pPr>
    </w:p>
    <w:sectPr w:rsidR="00AF6B58" w:rsidSect="00FA33FB">
      <w:headerReference w:type="even" r:id="rId27"/>
      <w:headerReference w:type="default" r:id="rId28"/>
      <w:footerReference w:type="even" r:id="rId29"/>
      <w:footerReference w:type="default" r:id="rId30"/>
      <w:headerReference w:type="first" r:id="rId31"/>
      <w:footerReference w:type="first" r:id="rId32"/>
      <w:type w:val="continuous"/>
      <w:pgSz w:w="11907" w:h="16839" w:code="9"/>
      <w:pgMar w:top="2233" w:right="1797" w:bottom="1440" w:left="1797" w:header="720"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784" w:rsidRDefault="00104784" w:rsidP="00715914">
      <w:pPr>
        <w:spacing w:line="240" w:lineRule="auto"/>
      </w:pPr>
      <w:r>
        <w:separator/>
      </w:r>
    </w:p>
  </w:endnote>
  <w:endnote w:type="continuationSeparator" w:id="0">
    <w:p w:rsidR="00104784" w:rsidRDefault="00104784" w:rsidP="00715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Default="00104784" w:rsidP="00973736">
    <w:pPr>
      <w:pStyle w:val="Footer"/>
      <w:pBdr>
        <w:top w:val="single" w:sz="4" w:space="1" w:color="auto"/>
      </w:pBd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5846"/>
      <w:gridCol w:w="1242"/>
    </w:tblGrid>
    <w:tr w:rsidR="00104784" w:rsidRPr="00C01863" w:rsidTr="00D77774">
      <w:tc>
        <w:tcPr>
          <w:tcW w:w="1384" w:type="dxa"/>
          <w:tcBorders>
            <w:top w:val="nil"/>
            <w:left w:val="nil"/>
            <w:bottom w:val="nil"/>
            <w:right w:val="nil"/>
          </w:tcBorders>
          <w:shd w:val="clear" w:color="auto" w:fill="auto"/>
        </w:tcPr>
        <w:p w:rsidR="00104784" w:rsidRPr="00C01863" w:rsidRDefault="00104784" w:rsidP="00973736">
          <w:pPr>
            <w:spacing w:line="0" w:lineRule="atLeast"/>
            <w:rPr>
              <w:sz w:val="18"/>
            </w:rPr>
          </w:pPr>
        </w:p>
      </w:tc>
      <w:tc>
        <w:tcPr>
          <w:tcW w:w="5846" w:type="dxa"/>
          <w:tcBorders>
            <w:top w:val="nil"/>
            <w:left w:val="nil"/>
            <w:bottom w:val="nil"/>
            <w:right w:val="nil"/>
          </w:tcBorders>
          <w:shd w:val="clear" w:color="auto" w:fill="auto"/>
        </w:tcPr>
        <w:p w:rsidR="00104784" w:rsidRDefault="00104784" w:rsidP="00973736">
          <w:pPr>
            <w:spacing w:line="0" w:lineRule="atLeast"/>
            <w:jc w:val="center"/>
            <w:rPr>
              <w:i/>
              <w:sz w:val="18"/>
            </w:rPr>
          </w:pPr>
          <w:r w:rsidRPr="00E55F66">
            <w:rPr>
              <w:i/>
              <w:sz w:val="18"/>
            </w:rPr>
            <w:t>Statement of Principles concer</w:t>
          </w:r>
          <w:r>
            <w:rPr>
              <w:i/>
              <w:sz w:val="18"/>
            </w:rPr>
            <w:t xml:space="preserve">ning </w:t>
          </w:r>
        </w:p>
        <w:p w:rsidR="00104784" w:rsidRDefault="00104784" w:rsidP="00973736">
          <w:pPr>
            <w:spacing w:line="0" w:lineRule="atLeast"/>
            <w:jc w:val="center"/>
            <w:rPr>
              <w:i/>
              <w:sz w:val="18"/>
              <w:szCs w:val="18"/>
            </w:rPr>
          </w:pPr>
          <w:r>
            <w:rPr>
              <w:i/>
              <w:sz w:val="18"/>
              <w:szCs w:val="18"/>
            </w:rPr>
            <w:t xml:space="preserve">Malignant Neoplasm Of The Oesophagus (Reasonable Hypothesis) </w:t>
          </w:r>
        </w:p>
        <w:p w:rsidR="00104784" w:rsidRPr="005E7FC2" w:rsidRDefault="00104784" w:rsidP="00973736">
          <w:pPr>
            <w:spacing w:line="0" w:lineRule="atLeast"/>
            <w:jc w:val="center"/>
            <w:rPr>
              <w:i/>
              <w:sz w:val="18"/>
            </w:rPr>
          </w:pPr>
          <w:r>
            <w:rPr>
              <w:i/>
              <w:sz w:val="18"/>
            </w:rPr>
            <w:t xml:space="preserve">(No. </w:t>
          </w:r>
          <w:r>
            <w:rPr>
              <w:bCs/>
              <w:i/>
              <w:sz w:val="18"/>
              <w:szCs w:val="18"/>
              <w:lang w:val="en-US"/>
            </w:rPr>
            <w:t>120</w:t>
          </w:r>
          <w:r w:rsidRPr="007C5CE0">
            <w:rPr>
              <w:i/>
              <w:sz w:val="18"/>
              <w:szCs w:val="18"/>
            </w:rPr>
            <w:t xml:space="preserve"> of </w:t>
          </w:r>
          <w:r w:rsidRPr="007C5CE0">
            <w:rPr>
              <w:i/>
              <w:sz w:val="18"/>
              <w:szCs w:val="18"/>
            </w:rPr>
            <w:fldChar w:fldCharType="begin"/>
          </w:r>
          <w:r w:rsidRPr="007C5CE0">
            <w:rPr>
              <w:i/>
              <w:sz w:val="18"/>
              <w:szCs w:val="18"/>
            </w:rPr>
            <w:instrText xml:space="preserve"> REF year \* Charformat \* MERGEFORMAT </w:instrText>
          </w:r>
          <w:r w:rsidRPr="007C5CE0">
            <w:rPr>
              <w:i/>
              <w:sz w:val="18"/>
              <w:szCs w:val="18"/>
            </w:rPr>
            <w:fldChar w:fldCharType="separate"/>
          </w:r>
          <w:r w:rsidRPr="009C58C8">
            <w:rPr>
              <w:i/>
              <w:sz w:val="18"/>
              <w:szCs w:val="18"/>
            </w:rPr>
            <w:t>2015</w:t>
          </w:r>
          <w:r w:rsidRPr="007C5CE0">
            <w:rPr>
              <w:i/>
              <w:sz w:val="18"/>
              <w:szCs w:val="18"/>
            </w:rPr>
            <w:fldChar w:fldCharType="end"/>
          </w:r>
          <w:r w:rsidRPr="00E55F66">
            <w:rPr>
              <w:i/>
              <w:sz w:val="18"/>
            </w:rPr>
            <w:t>)</w:t>
          </w:r>
        </w:p>
      </w:tc>
      <w:tc>
        <w:tcPr>
          <w:tcW w:w="1242" w:type="dxa"/>
          <w:tcBorders>
            <w:top w:val="nil"/>
            <w:left w:val="nil"/>
            <w:bottom w:val="nil"/>
            <w:right w:val="nil"/>
          </w:tcBorders>
          <w:shd w:val="clear" w:color="auto" w:fill="auto"/>
        </w:tcPr>
        <w:p w:rsidR="00104784" w:rsidRPr="00C01863" w:rsidRDefault="00104784" w:rsidP="00973736">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2325B1">
            <w:rPr>
              <w:i/>
              <w:noProof/>
              <w:sz w:val="18"/>
            </w:rPr>
            <w:t>12</w:t>
          </w:r>
          <w:r w:rsidRPr="00C01863">
            <w:rPr>
              <w:i/>
              <w:sz w:val="18"/>
            </w:rPr>
            <w:fldChar w:fldCharType="end"/>
          </w:r>
        </w:p>
      </w:tc>
    </w:tr>
    <w:tr w:rsidR="00104784" w:rsidRPr="00C01863" w:rsidTr="00D77774">
      <w:tc>
        <w:tcPr>
          <w:tcW w:w="1384" w:type="dxa"/>
          <w:tcBorders>
            <w:top w:val="nil"/>
            <w:left w:val="nil"/>
            <w:bottom w:val="nil"/>
            <w:right w:val="nil"/>
          </w:tcBorders>
          <w:shd w:val="clear" w:color="auto" w:fill="auto"/>
        </w:tcPr>
        <w:p w:rsidR="00104784" w:rsidRPr="00C01863" w:rsidRDefault="00104784" w:rsidP="00973736">
          <w:pPr>
            <w:spacing w:line="0" w:lineRule="atLeast"/>
            <w:rPr>
              <w:sz w:val="18"/>
            </w:rPr>
          </w:pPr>
        </w:p>
      </w:tc>
      <w:tc>
        <w:tcPr>
          <w:tcW w:w="5846" w:type="dxa"/>
          <w:tcBorders>
            <w:top w:val="nil"/>
            <w:left w:val="nil"/>
            <w:bottom w:val="nil"/>
            <w:right w:val="nil"/>
          </w:tcBorders>
          <w:shd w:val="clear" w:color="auto" w:fill="auto"/>
        </w:tcPr>
        <w:p w:rsidR="00104784" w:rsidRPr="00E55F66" w:rsidRDefault="00104784" w:rsidP="00973736">
          <w:pPr>
            <w:spacing w:line="0" w:lineRule="atLeast"/>
            <w:jc w:val="center"/>
            <w:rPr>
              <w:i/>
              <w:sz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1986</w:t>
          </w:r>
        </w:p>
      </w:tc>
      <w:tc>
        <w:tcPr>
          <w:tcW w:w="1242" w:type="dxa"/>
          <w:tcBorders>
            <w:top w:val="nil"/>
            <w:left w:val="nil"/>
            <w:bottom w:val="nil"/>
            <w:right w:val="nil"/>
          </w:tcBorders>
          <w:shd w:val="clear" w:color="auto" w:fill="auto"/>
        </w:tcPr>
        <w:p w:rsidR="00104784" w:rsidRPr="00C01863" w:rsidRDefault="00104784" w:rsidP="00973736">
          <w:pPr>
            <w:spacing w:line="0" w:lineRule="atLeast"/>
            <w:jc w:val="right"/>
            <w:rPr>
              <w:i/>
              <w:sz w:val="18"/>
            </w:rPr>
          </w:pPr>
        </w:p>
      </w:tc>
    </w:tr>
  </w:tbl>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0"/>
      <w:gridCol w:w="2920"/>
      <w:gridCol w:w="3645"/>
    </w:tblGrid>
    <w:tr w:rsidR="00104784" w:rsidRPr="00130F37" w:rsidTr="00973736">
      <w:tc>
        <w:tcPr>
          <w:tcW w:w="2190" w:type="dxa"/>
        </w:tcPr>
        <w:p w:rsidR="00104784" w:rsidRPr="00130F37" w:rsidRDefault="00104784" w:rsidP="00A44C06">
          <w:pPr>
            <w:spacing w:before="120"/>
            <w:rPr>
              <w:sz w:val="16"/>
              <w:szCs w:val="16"/>
            </w:rPr>
          </w:pPr>
          <w:r w:rsidRPr="00130F37">
            <w:rPr>
              <w:sz w:val="16"/>
              <w:szCs w:val="16"/>
            </w:rPr>
            <w:t xml:space="preserve">Compilation No. </w:t>
          </w:r>
          <w:r>
            <w:rPr>
              <w:sz w:val="16"/>
              <w:szCs w:val="16"/>
            </w:rPr>
            <w:t>1</w:t>
          </w:r>
        </w:p>
      </w:tc>
      <w:tc>
        <w:tcPr>
          <w:tcW w:w="2920" w:type="dxa"/>
        </w:tcPr>
        <w:p w:rsidR="00104784" w:rsidRPr="00130F37" w:rsidRDefault="00104784" w:rsidP="00973736">
          <w:pPr>
            <w:spacing w:before="120"/>
            <w:jc w:val="center"/>
            <w:rPr>
              <w:sz w:val="16"/>
              <w:szCs w:val="16"/>
            </w:rPr>
          </w:pPr>
        </w:p>
      </w:tc>
      <w:tc>
        <w:tcPr>
          <w:tcW w:w="3645" w:type="dxa"/>
        </w:tcPr>
        <w:p w:rsidR="00104784" w:rsidRPr="00130F37" w:rsidRDefault="00104784" w:rsidP="00454CD0">
          <w:pPr>
            <w:spacing w:before="120"/>
            <w:jc w:val="right"/>
            <w:rPr>
              <w:sz w:val="16"/>
              <w:szCs w:val="16"/>
            </w:rPr>
          </w:pPr>
          <w:r w:rsidRPr="00130F37">
            <w:rPr>
              <w:sz w:val="16"/>
              <w:szCs w:val="16"/>
            </w:rPr>
            <w:t xml:space="preserve">Compilation date: </w:t>
          </w:r>
          <w:r>
            <w:rPr>
              <w:sz w:val="16"/>
              <w:szCs w:val="16"/>
            </w:rPr>
            <w:t>23/01/2017</w:t>
          </w:r>
        </w:p>
      </w:tc>
    </w:tr>
  </w:tbl>
  <w:p w:rsidR="00104784" w:rsidRPr="00ED79B6" w:rsidRDefault="00104784" w:rsidP="00973736">
    <w:pPr>
      <w:rPr>
        <w:i/>
        <w:sz w:val="1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5846"/>
      <w:gridCol w:w="1242"/>
    </w:tblGrid>
    <w:tr w:rsidR="00104784" w:rsidRPr="00C01863" w:rsidTr="00567687">
      <w:tc>
        <w:tcPr>
          <w:tcW w:w="1384" w:type="dxa"/>
          <w:tcBorders>
            <w:top w:val="nil"/>
            <w:left w:val="nil"/>
            <w:bottom w:val="nil"/>
            <w:right w:val="nil"/>
          </w:tcBorders>
          <w:shd w:val="clear" w:color="auto" w:fill="auto"/>
        </w:tcPr>
        <w:p w:rsidR="00104784" w:rsidRPr="00C01863" w:rsidRDefault="00104784" w:rsidP="009141EB">
          <w:pPr>
            <w:spacing w:line="0" w:lineRule="atLeast"/>
            <w:rPr>
              <w:sz w:val="18"/>
            </w:rPr>
          </w:pPr>
        </w:p>
      </w:tc>
      <w:tc>
        <w:tcPr>
          <w:tcW w:w="5846" w:type="dxa"/>
          <w:tcBorders>
            <w:top w:val="nil"/>
            <w:left w:val="nil"/>
            <w:bottom w:val="nil"/>
            <w:right w:val="nil"/>
          </w:tcBorders>
          <w:shd w:val="clear" w:color="auto" w:fill="auto"/>
        </w:tcPr>
        <w:p w:rsidR="00104784" w:rsidRDefault="00104784" w:rsidP="009141EB">
          <w:pPr>
            <w:spacing w:line="0" w:lineRule="atLeast"/>
            <w:jc w:val="center"/>
            <w:rPr>
              <w:i/>
              <w:sz w:val="18"/>
            </w:rPr>
          </w:pPr>
          <w:r w:rsidRPr="00E55F66">
            <w:rPr>
              <w:i/>
              <w:sz w:val="18"/>
            </w:rPr>
            <w:t>Statement of Principles concer</w:t>
          </w:r>
          <w:r>
            <w:rPr>
              <w:i/>
              <w:sz w:val="18"/>
            </w:rPr>
            <w:t xml:space="preserve">ning </w:t>
          </w:r>
        </w:p>
        <w:p w:rsidR="00104784" w:rsidRDefault="00104784" w:rsidP="009141EB">
          <w:pPr>
            <w:spacing w:line="0" w:lineRule="atLeast"/>
            <w:jc w:val="center"/>
            <w:rPr>
              <w:i/>
              <w:sz w:val="18"/>
              <w:szCs w:val="18"/>
            </w:rPr>
          </w:pPr>
          <w:r>
            <w:rPr>
              <w:i/>
              <w:sz w:val="18"/>
              <w:szCs w:val="18"/>
            </w:rPr>
            <w:t xml:space="preserve">Malignant Neoplasm Of The Oesophagus (Reasonable Hypothesis) </w:t>
          </w:r>
        </w:p>
        <w:p w:rsidR="00104784" w:rsidRPr="005E7FC2" w:rsidRDefault="00104784" w:rsidP="009141EB">
          <w:pPr>
            <w:spacing w:line="0" w:lineRule="atLeast"/>
            <w:jc w:val="center"/>
            <w:rPr>
              <w:i/>
              <w:sz w:val="18"/>
            </w:rPr>
          </w:pPr>
          <w:r>
            <w:rPr>
              <w:i/>
              <w:sz w:val="18"/>
            </w:rPr>
            <w:t xml:space="preserve">(No. </w:t>
          </w:r>
          <w:r>
            <w:rPr>
              <w:bCs/>
              <w:i/>
              <w:sz w:val="18"/>
              <w:szCs w:val="18"/>
              <w:lang w:val="en-US"/>
            </w:rPr>
            <w:t>120</w:t>
          </w:r>
          <w:r w:rsidRPr="007C5CE0">
            <w:rPr>
              <w:i/>
              <w:sz w:val="18"/>
              <w:szCs w:val="18"/>
            </w:rPr>
            <w:t xml:space="preserve"> of </w:t>
          </w:r>
          <w:r w:rsidRPr="007C5CE0">
            <w:rPr>
              <w:i/>
              <w:sz w:val="18"/>
              <w:szCs w:val="18"/>
            </w:rPr>
            <w:fldChar w:fldCharType="begin"/>
          </w:r>
          <w:r w:rsidRPr="007C5CE0">
            <w:rPr>
              <w:i/>
              <w:sz w:val="18"/>
              <w:szCs w:val="18"/>
            </w:rPr>
            <w:instrText xml:space="preserve"> REF year \* Charformat \* MERGEFORMAT </w:instrText>
          </w:r>
          <w:r w:rsidRPr="007C5CE0">
            <w:rPr>
              <w:i/>
              <w:sz w:val="18"/>
              <w:szCs w:val="18"/>
            </w:rPr>
            <w:fldChar w:fldCharType="separate"/>
          </w:r>
          <w:r w:rsidRPr="009C58C8">
            <w:rPr>
              <w:i/>
              <w:sz w:val="18"/>
              <w:szCs w:val="18"/>
            </w:rPr>
            <w:t>2015</w:t>
          </w:r>
          <w:r w:rsidRPr="007C5CE0">
            <w:rPr>
              <w:i/>
              <w:sz w:val="18"/>
              <w:szCs w:val="18"/>
            </w:rPr>
            <w:fldChar w:fldCharType="end"/>
          </w:r>
          <w:r w:rsidRPr="00E55F66">
            <w:rPr>
              <w:i/>
              <w:sz w:val="18"/>
            </w:rPr>
            <w:t>)</w:t>
          </w:r>
        </w:p>
      </w:tc>
      <w:tc>
        <w:tcPr>
          <w:tcW w:w="1242" w:type="dxa"/>
          <w:tcBorders>
            <w:top w:val="nil"/>
            <w:left w:val="nil"/>
            <w:bottom w:val="nil"/>
            <w:right w:val="nil"/>
          </w:tcBorders>
          <w:shd w:val="clear" w:color="auto" w:fill="auto"/>
        </w:tcPr>
        <w:p w:rsidR="00104784" w:rsidRPr="00C01863" w:rsidRDefault="00104784" w:rsidP="009141EB">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2325B1">
            <w:rPr>
              <w:i/>
              <w:noProof/>
              <w:sz w:val="18"/>
            </w:rPr>
            <w:t>13</w:t>
          </w:r>
          <w:r w:rsidRPr="00C01863">
            <w:rPr>
              <w:i/>
              <w:sz w:val="18"/>
            </w:rPr>
            <w:fldChar w:fldCharType="end"/>
          </w:r>
        </w:p>
      </w:tc>
    </w:tr>
    <w:tr w:rsidR="00104784" w:rsidRPr="00C01863" w:rsidTr="00567687">
      <w:tc>
        <w:tcPr>
          <w:tcW w:w="1384" w:type="dxa"/>
          <w:tcBorders>
            <w:top w:val="nil"/>
            <w:left w:val="nil"/>
            <w:bottom w:val="nil"/>
            <w:right w:val="nil"/>
          </w:tcBorders>
          <w:shd w:val="clear" w:color="auto" w:fill="auto"/>
        </w:tcPr>
        <w:p w:rsidR="00104784" w:rsidRPr="00C01863" w:rsidRDefault="00104784" w:rsidP="009141EB">
          <w:pPr>
            <w:spacing w:line="0" w:lineRule="atLeast"/>
            <w:rPr>
              <w:sz w:val="18"/>
            </w:rPr>
          </w:pPr>
        </w:p>
      </w:tc>
      <w:tc>
        <w:tcPr>
          <w:tcW w:w="5846" w:type="dxa"/>
          <w:tcBorders>
            <w:top w:val="nil"/>
            <w:left w:val="nil"/>
            <w:bottom w:val="nil"/>
            <w:right w:val="nil"/>
          </w:tcBorders>
          <w:shd w:val="clear" w:color="auto" w:fill="auto"/>
        </w:tcPr>
        <w:p w:rsidR="00104784" w:rsidRPr="00E55F66" w:rsidRDefault="00104784" w:rsidP="009141EB">
          <w:pPr>
            <w:spacing w:line="0" w:lineRule="atLeast"/>
            <w:jc w:val="center"/>
            <w:rPr>
              <w:i/>
              <w:sz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1986</w:t>
          </w:r>
        </w:p>
      </w:tc>
      <w:tc>
        <w:tcPr>
          <w:tcW w:w="1242" w:type="dxa"/>
          <w:tcBorders>
            <w:top w:val="nil"/>
            <w:left w:val="nil"/>
            <w:bottom w:val="nil"/>
            <w:right w:val="nil"/>
          </w:tcBorders>
          <w:shd w:val="clear" w:color="auto" w:fill="auto"/>
        </w:tcPr>
        <w:p w:rsidR="00104784" w:rsidRPr="00C01863" w:rsidRDefault="00104784" w:rsidP="009141EB">
          <w:pPr>
            <w:spacing w:line="0" w:lineRule="atLeast"/>
            <w:jc w:val="right"/>
            <w:rPr>
              <w:i/>
              <w:sz w:val="18"/>
            </w:rPr>
          </w:pPr>
        </w:p>
      </w:tc>
    </w:tr>
  </w:tbl>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0"/>
      <w:gridCol w:w="2920"/>
      <w:gridCol w:w="3645"/>
    </w:tblGrid>
    <w:tr w:rsidR="00104784" w:rsidRPr="00130F37" w:rsidTr="00567687">
      <w:tc>
        <w:tcPr>
          <w:tcW w:w="2190" w:type="dxa"/>
        </w:tcPr>
        <w:p w:rsidR="00104784" w:rsidRPr="00130F37" w:rsidRDefault="00104784" w:rsidP="009141EB">
          <w:pPr>
            <w:spacing w:before="120"/>
            <w:rPr>
              <w:sz w:val="16"/>
              <w:szCs w:val="16"/>
            </w:rPr>
          </w:pPr>
          <w:r w:rsidRPr="00130F37">
            <w:rPr>
              <w:sz w:val="16"/>
              <w:szCs w:val="16"/>
            </w:rPr>
            <w:t xml:space="preserve">Compilation No. </w:t>
          </w:r>
          <w:r>
            <w:rPr>
              <w:sz w:val="16"/>
              <w:szCs w:val="16"/>
            </w:rPr>
            <w:t>1</w:t>
          </w:r>
        </w:p>
      </w:tc>
      <w:tc>
        <w:tcPr>
          <w:tcW w:w="2920" w:type="dxa"/>
        </w:tcPr>
        <w:p w:rsidR="00104784" w:rsidRPr="00130F37" w:rsidRDefault="00104784" w:rsidP="009141EB">
          <w:pPr>
            <w:spacing w:before="120"/>
            <w:jc w:val="center"/>
            <w:rPr>
              <w:sz w:val="16"/>
              <w:szCs w:val="16"/>
            </w:rPr>
          </w:pPr>
        </w:p>
      </w:tc>
      <w:tc>
        <w:tcPr>
          <w:tcW w:w="3645" w:type="dxa"/>
        </w:tcPr>
        <w:p w:rsidR="00104784" w:rsidRPr="00130F37" w:rsidRDefault="00104784" w:rsidP="00454CD0">
          <w:pPr>
            <w:spacing w:before="120"/>
            <w:jc w:val="right"/>
            <w:rPr>
              <w:sz w:val="16"/>
              <w:szCs w:val="16"/>
            </w:rPr>
          </w:pPr>
          <w:r w:rsidRPr="00130F37">
            <w:rPr>
              <w:sz w:val="16"/>
              <w:szCs w:val="16"/>
            </w:rPr>
            <w:t xml:space="preserve">Compilation date: </w:t>
          </w:r>
          <w:r>
            <w:rPr>
              <w:sz w:val="16"/>
              <w:szCs w:val="16"/>
            </w:rPr>
            <w:t>23/01/2017</w:t>
          </w:r>
        </w:p>
      </w:tc>
    </w:tr>
  </w:tbl>
  <w:p w:rsidR="00104784" w:rsidRPr="00ED79B6" w:rsidRDefault="00104784" w:rsidP="009141EB">
    <w:pPr>
      <w:rPr>
        <w:i/>
        <w:sz w:val="18"/>
      </w:rPr>
    </w:pPr>
  </w:p>
  <w:p w:rsidR="00104784" w:rsidRPr="00ED79B6" w:rsidRDefault="00104784" w:rsidP="00973736">
    <w:pPr>
      <w:rPr>
        <w:i/>
        <w:sz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D79B6" w:rsidRDefault="00104784" w:rsidP="007500C8">
    <w:pPr>
      <w:rPr>
        <w:i/>
        <w:sz w:val="1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33C1C" w:rsidRDefault="00104784" w:rsidP="00CF2367">
    <w:pPr>
      <w:pBdr>
        <w:top w:val="single" w:sz="6" w:space="1" w:color="auto"/>
      </w:pBdr>
      <w:spacing w:before="120" w:line="0" w:lineRule="atLeast"/>
      <w:rPr>
        <w:sz w:val="16"/>
        <w:szCs w:val="16"/>
      </w:rPr>
    </w:pPr>
    <w:r>
      <w:rPr>
        <w:noProof/>
        <w:lang w:eastAsia="en-AU"/>
      </w:rPr>
      <mc:AlternateContent>
        <mc:Choice Requires="wps">
          <w:drawing>
            <wp:anchor distT="0" distB="0" distL="114300" distR="114300" simplePos="0" relativeHeight="251658240" behindDoc="1" locked="0" layoutInCell="1" allowOverlap="1" wp14:anchorId="515843BF" wp14:editId="422BE5A8">
              <wp:simplePos x="0" y="0"/>
              <wp:positionH relativeFrom="column">
                <wp:align>center</wp:align>
              </wp:positionH>
              <wp:positionV relativeFrom="page">
                <wp:posOffset>10079990</wp:posOffset>
              </wp:positionV>
              <wp:extent cx="4410075" cy="400050"/>
              <wp:effectExtent l="0" t="0" r="952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400050"/>
                      </a:xfrm>
                      <a:prstGeom prst="rect">
                        <a:avLst/>
                      </a:prstGeom>
                      <a:solidFill>
                        <a:srgbClr val="FFFFFF"/>
                      </a:solid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rsidR="00104784" w:rsidRPr="00284719" w:rsidRDefault="00104784" w:rsidP="00284719">
                          <w:pPr>
                            <w:jc w:val="center"/>
                            <w:rPr>
                              <w:rFonts w:ascii="Arial" w:hAnsi="Arial" w:cs="Arial"/>
                              <w:b/>
                              <w:sz w:val="40"/>
                            </w:rPr>
                          </w:pPr>
                          <w:r w:rsidRPr="00284719">
                            <w:rPr>
                              <w:rFonts w:ascii="Arial" w:hAnsi="Arial" w:cs="Arial"/>
                              <w:b/>
                              <w:sz w:val="40"/>
                            </w:rPr>
                            <w:fldChar w:fldCharType="begin"/>
                          </w:r>
                          <w:r w:rsidRPr="00284719">
                            <w:rPr>
                              <w:rFonts w:ascii="Arial" w:hAnsi="Arial" w:cs="Arial"/>
                              <w:b/>
                              <w:sz w:val="40"/>
                            </w:rPr>
                            <w:instrText xml:space="preserve"> DOCPROPERTY  DLM  </w:instrText>
                          </w:r>
                          <w:r w:rsidRPr="00284719">
                            <w:rPr>
                              <w:rFonts w:ascii="Arial" w:hAnsi="Arial" w:cs="Arial"/>
                              <w:b/>
                              <w:sz w:val="40"/>
                            </w:rPr>
                            <w:fldChar w:fldCharType="separate"/>
                          </w:r>
                          <w:r>
                            <w:rPr>
                              <w:rFonts w:ascii="Arial" w:hAnsi="Arial" w:cs="Arial"/>
                              <w:bCs/>
                              <w:sz w:val="40"/>
                              <w:lang w:val="en-US"/>
                            </w:rPr>
                            <w:t>Error! Unknown document property name.</w:t>
                          </w:r>
                          <w:r w:rsidRPr="00284719">
                            <w:rPr>
                              <w:rFonts w:ascii="Arial" w:hAnsi="Arial" w:cs="Arial"/>
                              <w:b/>
                              <w:sz w:val="40"/>
                            </w:rPr>
                            <w:fldChar w:fldCharType="end"/>
                          </w:r>
                          <w:r w:rsidRPr="00284719">
                            <w:rPr>
                              <w:rFonts w:ascii="Arial" w:hAnsi="Arial" w:cs="Arial"/>
                              <w:b/>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843BF" id="_x0000_t202" coordsize="21600,21600" o:spt="202" path="m,l,21600r21600,l21600,xe">
              <v:stroke joinstyle="miter"/>
              <v:path gradientshapeok="t" o:connecttype="rect"/>
            </v:shapetype>
            <v:shape id="Text Box 24" o:spid="_x0000_s1027" type="#_x0000_t202" style="position:absolute;margin-left:0;margin-top:793.7pt;width:347.25pt;height:31.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" stroked="f">
              <v:stroke joinstyle="round"/>
              <v:path arrowok="t"/>
              <v:textbox>
                <w:txbxContent>
                  <w:p w:rsidR="00567687" w:rsidRPr="00284719" w:rsidRDefault="00567687" w:rsidP="00284719">
                    <w:pPr>
                      <w:jc w:val="center"/>
                      <w:rPr>
                        <w:rFonts w:ascii="Arial" w:hAnsi="Arial" w:cs="Arial"/>
                        <w:b/>
                        <w:sz w:val="40"/>
                      </w:rPr>
                    </w:pPr>
                    <w:r w:rsidRPr="00284719">
                      <w:rPr>
                        <w:rFonts w:ascii="Arial" w:hAnsi="Arial" w:cs="Arial"/>
                        <w:b/>
                        <w:sz w:val="40"/>
                      </w:rPr>
                      <w:fldChar w:fldCharType="begin"/>
                    </w:r>
                    <w:r w:rsidRPr="00284719">
                      <w:rPr>
                        <w:rFonts w:ascii="Arial" w:hAnsi="Arial" w:cs="Arial"/>
                        <w:b/>
                        <w:sz w:val="40"/>
                      </w:rPr>
                      <w:instrText xml:space="preserve"> DOCPROPERTY  DLM  </w:instrText>
                    </w:r>
                    <w:r w:rsidRPr="00284719">
                      <w:rPr>
                        <w:rFonts w:ascii="Arial" w:hAnsi="Arial" w:cs="Arial"/>
                        <w:b/>
                        <w:sz w:val="40"/>
                      </w:rPr>
                      <w:fldChar w:fldCharType="separate"/>
                    </w:r>
                    <w:r w:rsidR="009C58C8">
                      <w:rPr>
                        <w:rFonts w:ascii="Arial" w:hAnsi="Arial" w:cs="Arial"/>
                        <w:bCs/>
                        <w:sz w:val="40"/>
                        <w:lang w:val="en-US"/>
                      </w:rPr>
                      <w:t>Error! Unknown document property name.</w:t>
                    </w:r>
                    <w:r w:rsidRPr="00284719">
                      <w:rPr>
                        <w:rFonts w:ascii="Arial" w:hAnsi="Arial" w:cs="Arial"/>
                        <w:b/>
                        <w:sz w:val="40"/>
                      </w:rPr>
                      <w:fldChar w:fldCharType="end"/>
                    </w:r>
                    <w:r w:rsidRPr="00284719">
                      <w:rPr>
                        <w:rFonts w:ascii="Arial" w:hAnsi="Arial" w:cs="Arial"/>
                        <w:b/>
                        <w:sz w:val="40"/>
                      </w:rPr>
                      <w:t xml:space="preserve"> </w:t>
                    </w:r>
                  </w:p>
                </w:txbxContent>
              </v:textbox>
              <w10:wrap anchory="page"/>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6258"/>
      <w:gridCol w:w="699"/>
    </w:tblGrid>
    <w:tr w:rsidR="00104784" w:rsidRPr="00C01863" w:rsidTr="00C01863">
      <w:tc>
        <w:tcPr>
          <w:tcW w:w="1384" w:type="dxa"/>
          <w:tcBorders>
            <w:top w:val="nil"/>
            <w:left w:val="nil"/>
            <w:bottom w:val="nil"/>
            <w:right w:val="nil"/>
          </w:tcBorders>
          <w:shd w:val="clear" w:color="auto" w:fill="auto"/>
        </w:tcPr>
        <w:p w:rsidR="00104784" w:rsidRPr="00C01863" w:rsidRDefault="00104784" w:rsidP="00C01863">
          <w:pPr>
            <w:spacing w:line="0" w:lineRule="atLeast"/>
            <w:rPr>
              <w:sz w:val="18"/>
            </w:rPr>
          </w:pPr>
        </w:p>
      </w:tc>
      <w:tc>
        <w:tcPr>
          <w:tcW w:w="6379" w:type="dxa"/>
          <w:tcBorders>
            <w:top w:val="nil"/>
            <w:left w:val="nil"/>
            <w:bottom w:val="nil"/>
            <w:right w:val="nil"/>
          </w:tcBorders>
          <w:shd w:val="clear" w:color="auto" w:fill="auto"/>
        </w:tcPr>
        <w:p w:rsidR="00104784" w:rsidRPr="00C01863" w:rsidRDefault="00104784" w:rsidP="00C01863">
          <w:pPr>
            <w:spacing w:line="0" w:lineRule="atLeast"/>
            <w:jc w:val="center"/>
            <w:rPr>
              <w:sz w:val="18"/>
            </w:rPr>
          </w:pPr>
          <w:r w:rsidRPr="00C01863">
            <w:rPr>
              <w:i/>
              <w:sz w:val="18"/>
            </w:rPr>
            <w:fldChar w:fldCharType="begin"/>
          </w:r>
          <w:r w:rsidRPr="00C01863">
            <w:rPr>
              <w:i/>
              <w:sz w:val="18"/>
            </w:rPr>
            <w:instrText xml:space="preserve"> DOCPROPERTY ShortT </w:instrText>
          </w:r>
          <w:r w:rsidRPr="00C01863">
            <w:rPr>
              <w:i/>
              <w:sz w:val="18"/>
            </w:rPr>
            <w:fldChar w:fldCharType="separate"/>
          </w:r>
          <w:r>
            <w:rPr>
              <w:b/>
              <w:bCs/>
              <w:i/>
              <w:sz w:val="18"/>
              <w:lang w:val="en-US"/>
            </w:rPr>
            <w:t>Error! Unknown document property name.</w:t>
          </w:r>
          <w:r w:rsidRPr="00C01863">
            <w:rPr>
              <w:i/>
              <w:sz w:val="18"/>
            </w:rPr>
            <w:fldChar w:fldCharType="end"/>
          </w:r>
        </w:p>
      </w:tc>
      <w:tc>
        <w:tcPr>
          <w:tcW w:w="709" w:type="dxa"/>
          <w:tcBorders>
            <w:top w:val="nil"/>
            <w:left w:val="nil"/>
            <w:bottom w:val="nil"/>
            <w:right w:val="nil"/>
          </w:tcBorders>
          <w:shd w:val="clear" w:color="auto" w:fill="auto"/>
        </w:tcPr>
        <w:p w:rsidR="00104784" w:rsidRPr="00C01863" w:rsidRDefault="00104784"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Pr>
              <w:i/>
              <w:noProof/>
              <w:sz w:val="18"/>
            </w:rPr>
            <w:t>5</w:t>
          </w:r>
          <w:r w:rsidRPr="00C01863">
            <w:rPr>
              <w:i/>
              <w:sz w:val="18"/>
            </w:rPr>
            <w:fldChar w:fldCharType="end"/>
          </w:r>
        </w:p>
      </w:tc>
    </w:tr>
    <w:tr w:rsidR="00104784" w:rsidRPr="00C01863" w:rsidTr="00C018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p w:rsidR="00104784" w:rsidRPr="00C01863" w:rsidRDefault="00104784" w:rsidP="00CF2367">
          <w:pPr>
            <w:rPr>
              <w:sz w:val="18"/>
            </w:rPr>
          </w:pPr>
          <w:r w:rsidRPr="00C01863">
            <w:rPr>
              <w:i/>
              <w:noProof/>
              <w:sz w:val="18"/>
            </w:rPr>
            <w:t>I14KM212.v02.docx</w:t>
          </w:r>
          <w:r w:rsidRPr="00C01863">
            <w:rPr>
              <w:i/>
              <w:sz w:val="18"/>
            </w:rPr>
            <w:t xml:space="preserve"> </w:t>
          </w:r>
          <w:r w:rsidRPr="00C01863">
            <w:rPr>
              <w:i/>
              <w:noProof/>
              <w:sz w:val="18"/>
            </w:rPr>
            <w:t>4/12/2014 4:13 PM</w:t>
          </w:r>
        </w:p>
      </w:tc>
    </w:tr>
  </w:tbl>
  <w:p w:rsidR="00104784" w:rsidRPr="00ED79B6" w:rsidRDefault="00104784" w:rsidP="00472DBE">
    <w:pPr>
      <w:rPr>
        <w:i/>
        <w:sz w:val="1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33C1C" w:rsidRDefault="00104784" w:rsidP="007500C8">
    <w:pPr>
      <w:pBdr>
        <w:top w:val="single" w:sz="6" w:space="1" w:color="auto"/>
      </w:pBdr>
      <w:spacing w:line="0" w:lineRule="atLeast"/>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9"/>
      <w:gridCol w:w="709"/>
    </w:tblGrid>
    <w:tr w:rsidR="00104784" w:rsidRPr="00C01863" w:rsidTr="00C01863">
      <w:tc>
        <w:tcPr>
          <w:tcW w:w="1384" w:type="dxa"/>
          <w:tcBorders>
            <w:top w:val="nil"/>
            <w:left w:val="nil"/>
            <w:bottom w:val="nil"/>
            <w:right w:val="nil"/>
          </w:tcBorders>
          <w:shd w:val="clear" w:color="auto" w:fill="auto"/>
        </w:tcPr>
        <w:p w:rsidR="00104784" w:rsidRPr="00C01863" w:rsidRDefault="00104784" w:rsidP="00C01863">
          <w:pPr>
            <w:spacing w:line="0" w:lineRule="atLeast"/>
            <w:rPr>
              <w:sz w:val="18"/>
            </w:rPr>
          </w:pPr>
        </w:p>
      </w:tc>
      <w:tc>
        <w:tcPr>
          <w:tcW w:w="6379" w:type="dxa"/>
          <w:tcBorders>
            <w:top w:val="nil"/>
            <w:left w:val="nil"/>
            <w:bottom w:val="nil"/>
            <w:right w:val="nil"/>
          </w:tcBorders>
          <w:shd w:val="clear" w:color="auto" w:fill="auto"/>
        </w:tcPr>
        <w:p w:rsidR="00104784" w:rsidRPr="00C01863" w:rsidRDefault="00104784" w:rsidP="00C01863">
          <w:pPr>
            <w:spacing w:line="0" w:lineRule="atLeast"/>
            <w:jc w:val="center"/>
            <w:rPr>
              <w:sz w:val="18"/>
            </w:rPr>
          </w:pPr>
          <w:r w:rsidRPr="00C01863">
            <w:rPr>
              <w:i/>
              <w:sz w:val="18"/>
            </w:rPr>
            <w:fldChar w:fldCharType="begin"/>
          </w:r>
          <w:r w:rsidRPr="00C01863">
            <w:rPr>
              <w:i/>
              <w:sz w:val="18"/>
            </w:rPr>
            <w:instrText xml:space="preserve"> DOCPROPERTY ShortT </w:instrText>
          </w:r>
          <w:r w:rsidRPr="00C01863">
            <w:rPr>
              <w:i/>
              <w:sz w:val="18"/>
            </w:rPr>
            <w:fldChar w:fldCharType="separate"/>
          </w:r>
          <w:r>
            <w:rPr>
              <w:b/>
              <w:bCs/>
              <w:i/>
              <w:sz w:val="18"/>
              <w:lang w:val="en-US"/>
            </w:rPr>
            <w:t>Error! Unknown document property name.</w:t>
          </w:r>
          <w:r w:rsidRPr="00C01863">
            <w:rPr>
              <w:i/>
              <w:sz w:val="18"/>
            </w:rPr>
            <w:fldChar w:fldCharType="end"/>
          </w:r>
        </w:p>
      </w:tc>
      <w:tc>
        <w:tcPr>
          <w:tcW w:w="709" w:type="dxa"/>
          <w:tcBorders>
            <w:top w:val="nil"/>
            <w:left w:val="nil"/>
            <w:bottom w:val="nil"/>
            <w:right w:val="nil"/>
          </w:tcBorders>
          <w:shd w:val="clear" w:color="auto" w:fill="auto"/>
        </w:tcPr>
        <w:p w:rsidR="00104784" w:rsidRPr="00C01863" w:rsidRDefault="00104784"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Pr>
              <w:i/>
              <w:noProof/>
              <w:sz w:val="18"/>
            </w:rPr>
            <w:t>5</w:t>
          </w:r>
          <w:r w:rsidRPr="00C01863">
            <w:rPr>
              <w:i/>
              <w:sz w:val="18"/>
            </w:rPr>
            <w:fldChar w:fldCharType="end"/>
          </w:r>
        </w:p>
      </w:tc>
    </w:tr>
    <w:tr w:rsidR="00104784" w:rsidRPr="00C01863" w:rsidTr="00C018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p w:rsidR="00104784" w:rsidRPr="00C01863" w:rsidRDefault="00104784" w:rsidP="00CF2367">
          <w:pPr>
            <w:rPr>
              <w:sz w:val="18"/>
            </w:rPr>
          </w:pPr>
          <w:r w:rsidRPr="00C01863">
            <w:rPr>
              <w:i/>
              <w:noProof/>
              <w:sz w:val="18"/>
            </w:rPr>
            <w:t>I14KM212.v02.docx</w:t>
          </w:r>
          <w:r w:rsidRPr="00C01863">
            <w:rPr>
              <w:i/>
              <w:sz w:val="18"/>
            </w:rPr>
            <w:t xml:space="preserve"> </w:t>
          </w:r>
          <w:r w:rsidRPr="00C01863">
            <w:rPr>
              <w:i/>
              <w:noProof/>
              <w:sz w:val="18"/>
            </w:rPr>
            <w:t>4/12/2014 4:13 PM</w:t>
          </w:r>
        </w:p>
      </w:tc>
    </w:tr>
  </w:tbl>
  <w:p w:rsidR="00104784" w:rsidRPr="00ED79B6" w:rsidRDefault="00104784" w:rsidP="007500C8">
    <w:pPr>
      <w:rPr>
        <w: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33C1C" w:rsidRDefault="00104784" w:rsidP="00973736">
    <w:pPr>
      <w:pBdr>
        <w:top w:val="single" w:sz="6" w:space="1" w:color="auto"/>
      </w:pBdr>
      <w:spacing w:before="120" w:line="0" w:lineRule="atLeast"/>
      <w:rPr>
        <w:sz w:val="16"/>
        <w:szCs w:val="16"/>
      </w:rPr>
    </w:pPr>
  </w:p>
  <w:p w:rsidR="00104784" w:rsidRPr="00F85C9A" w:rsidRDefault="00104784" w:rsidP="009737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Default="00104784" w:rsidP="00973736">
    <w:pPr>
      <w:pStyle w:val="Footer"/>
      <w:spacing w:before="120"/>
    </w:pPr>
    <w:r w:rsidRPr="00CB7761">
      <w:t>Prepared by</w:t>
    </w:r>
    <w:r>
      <w:t xml:space="preserve"> the Repatriation Medical Authority Secretariat, Brisbane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33C1C" w:rsidRDefault="00104784" w:rsidP="00CF2367">
    <w:pPr>
      <w:pBdr>
        <w:top w:val="single" w:sz="6" w:space="1" w:color="auto"/>
      </w:pBdr>
      <w:spacing w:before="120" w:line="0" w:lineRule="atLeast"/>
      <w:rPr>
        <w:sz w:val="16"/>
        <w:szCs w:val="1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5670"/>
      <w:gridCol w:w="1384"/>
    </w:tblGrid>
    <w:tr w:rsidR="00104784" w:rsidRPr="00C01863" w:rsidTr="00D77774">
      <w:tc>
        <w:tcPr>
          <w:tcW w:w="1418" w:type="dxa"/>
          <w:tcBorders>
            <w:top w:val="nil"/>
            <w:left w:val="nil"/>
            <w:bottom w:val="nil"/>
            <w:right w:val="nil"/>
          </w:tcBorders>
          <w:shd w:val="clear" w:color="auto" w:fill="auto"/>
        </w:tcPr>
        <w:p w:rsidR="00104784" w:rsidRPr="00C01863" w:rsidRDefault="00104784" w:rsidP="00C01863">
          <w:pPr>
            <w:spacing w:line="0" w:lineRule="atLeast"/>
            <w:rPr>
              <w:sz w:val="18"/>
            </w:rPr>
          </w:pPr>
        </w:p>
      </w:tc>
      <w:tc>
        <w:tcPr>
          <w:tcW w:w="5670" w:type="dxa"/>
          <w:tcBorders>
            <w:top w:val="nil"/>
            <w:left w:val="nil"/>
            <w:bottom w:val="nil"/>
            <w:right w:val="nil"/>
          </w:tcBorders>
          <w:shd w:val="clear" w:color="auto" w:fill="auto"/>
        </w:tcPr>
        <w:p w:rsidR="00104784" w:rsidRDefault="00104784" w:rsidP="00A02752">
          <w:pPr>
            <w:spacing w:line="0" w:lineRule="atLeast"/>
            <w:jc w:val="center"/>
            <w:rPr>
              <w:i/>
              <w:sz w:val="18"/>
            </w:rPr>
          </w:pPr>
          <w:r w:rsidRPr="00E55F66">
            <w:rPr>
              <w:i/>
              <w:sz w:val="18"/>
            </w:rPr>
            <w:t>Statement of Principles concer</w:t>
          </w:r>
          <w:r>
            <w:rPr>
              <w:i/>
              <w:sz w:val="18"/>
            </w:rPr>
            <w:t xml:space="preserve">ning </w:t>
          </w:r>
        </w:p>
        <w:p w:rsidR="00104784" w:rsidRDefault="00104784" w:rsidP="008140EB">
          <w:pPr>
            <w:spacing w:line="0" w:lineRule="atLeast"/>
            <w:jc w:val="center"/>
            <w:rPr>
              <w:i/>
              <w:sz w:val="18"/>
            </w:rPr>
          </w:pPr>
          <w:r>
            <w:rPr>
              <w:i/>
              <w:sz w:val="18"/>
              <w:szCs w:val="18"/>
            </w:rPr>
            <w:t>Malignant Neoplasm Of The Oesophagus</w:t>
          </w:r>
          <w:r w:rsidRPr="003A2FFE">
            <w:rPr>
              <w:i/>
              <w:sz w:val="18"/>
            </w:rPr>
            <w:t xml:space="preserve"> </w:t>
          </w:r>
          <w:r>
            <w:rPr>
              <w:i/>
              <w:sz w:val="18"/>
            </w:rPr>
            <w:t>(Reasonable Hypothesis)</w:t>
          </w:r>
          <w:r w:rsidRPr="003A2FFE">
            <w:rPr>
              <w:i/>
              <w:sz w:val="18"/>
            </w:rPr>
            <w:t xml:space="preserve"> </w:t>
          </w:r>
        </w:p>
        <w:p w:rsidR="00104784" w:rsidRPr="00C01863" w:rsidRDefault="00104784" w:rsidP="008140EB">
          <w:pPr>
            <w:spacing w:line="0" w:lineRule="atLeast"/>
            <w:jc w:val="center"/>
            <w:rPr>
              <w:sz w:val="18"/>
            </w:rPr>
          </w:pPr>
          <w:r w:rsidRPr="003A2FFE">
            <w:rPr>
              <w:i/>
              <w:sz w:val="18"/>
            </w:rPr>
            <w:t xml:space="preserve">(No. </w:t>
          </w:r>
          <w:r>
            <w:rPr>
              <w:bCs/>
              <w:i/>
              <w:sz w:val="18"/>
              <w:szCs w:val="18"/>
              <w:lang w:val="en-US"/>
            </w:rPr>
            <w:t>120</w:t>
          </w:r>
          <w:r w:rsidRPr="007C5CE0">
            <w:rPr>
              <w:i/>
              <w:sz w:val="18"/>
              <w:szCs w:val="18"/>
            </w:rPr>
            <w:t xml:space="preserve"> of </w:t>
          </w:r>
          <w:r w:rsidRPr="007C5CE0">
            <w:rPr>
              <w:i/>
              <w:sz w:val="18"/>
              <w:szCs w:val="18"/>
            </w:rPr>
            <w:fldChar w:fldCharType="begin"/>
          </w:r>
          <w:r w:rsidRPr="007C5CE0">
            <w:rPr>
              <w:i/>
              <w:sz w:val="18"/>
              <w:szCs w:val="18"/>
            </w:rPr>
            <w:instrText xml:space="preserve"> REF year \* Charformat \* MERGEFORMAT </w:instrText>
          </w:r>
          <w:r w:rsidRPr="007C5CE0">
            <w:rPr>
              <w:i/>
              <w:sz w:val="18"/>
              <w:szCs w:val="18"/>
            </w:rPr>
            <w:fldChar w:fldCharType="separate"/>
          </w:r>
          <w:r w:rsidRPr="009C58C8">
            <w:rPr>
              <w:i/>
              <w:sz w:val="18"/>
              <w:szCs w:val="18"/>
            </w:rPr>
            <w:t>2015</w:t>
          </w:r>
          <w:r w:rsidRPr="007C5CE0">
            <w:rPr>
              <w:i/>
              <w:sz w:val="18"/>
              <w:szCs w:val="18"/>
            </w:rPr>
            <w:fldChar w:fldCharType="end"/>
          </w:r>
          <w:r w:rsidRPr="003A2FFE">
            <w:rPr>
              <w:i/>
              <w:sz w:val="18"/>
              <w:szCs w:val="18"/>
            </w:rPr>
            <w:t>)</w:t>
          </w:r>
        </w:p>
      </w:tc>
      <w:tc>
        <w:tcPr>
          <w:tcW w:w="1384" w:type="dxa"/>
          <w:tcBorders>
            <w:top w:val="nil"/>
            <w:left w:val="nil"/>
            <w:bottom w:val="nil"/>
            <w:right w:val="nil"/>
          </w:tcBorders>
          <w:shd w:val="clear" w:color="auto" w:fill="auto"/>
        </w:tcPr>
        <w:p w:rsidR="00104784" w:rsidRPr="00C01863" w:rsidRDefault="00104784"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2325B1">
            <w:rPr>
              <w:i/>
              <w:noProof/>
              <w:sz w:val="18"/>
            </w:rPr>
            <w:t>6</w:t>
          </w:r>
          <w:r w:rsidRPr="00C01863">
            <w:rPr>
              <w:i/>
              <w:sz w:val="18"/>
            </w:rPr>
            <w:fldChar w:fldCharType="end"/>
          </w:r>
        </w:p>
      </w:tc>
    </w:tr>
    <w:tr w:rsidR="00104784" w:rsidRPr="003F4535" w:rsidTr="00D77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p w:rsidR="00104784" w:rsidRPr="003F4535" w:rsidRDefault="00104784" w:rsidP="007F2378">
          <w:pPr>
            <w:jc w:val="center"/>
            <w:rPr>
              <w:b/>
              <w:sz w:val="24"/>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r>
    <w:tr w:rsidR="00104784" w:rsidRPr="003F4535" w:rsidTr="00D77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0"/>
            <w:gridCol w:w="2920"/>
            <w:gridCol w:w="3645"/>
          </w:tblGrid>
          <w:tr w:rsidR="00104784" w:rsidRPr="00130F37" w:rsidTr="00973736">
            <w:tc>
              <w:tcPr>
                <w:tcW w:w="2190" w:type="dxa"/>
              </w:tcPr>
              <w:p w:rsidR="00104784" w:rsidRPr="00130F37" w:rsidRDefault="00104784" w:rsidP="00A44C06">
                <w:pPr>
                  <w:spacing w:before="120"/>
                  <w:rPr>
                    <w:sz w:val="16"/>
                    <w:szCs w:val="16"/>
                  </w:rPr>
                </w:pPr>
                <w:r w:rsidRPr="00130F37">
                  <w:rPr>
                    <w:sz w:val="16"/>
                    <w:szCs w:val="16"/>
                  </w:rPr>
                  <w:t xml:space="preserve">Compilation No. </w:t>
                </w:r>
                <w:r>
                  <w:rPr>
                    <w:sz w:val="16"/>
                    <w:szCs w:val="16"/>
                  </w:rPr>
                  <w:t>1</w:t>
                </w:r>
              </w:p>
            </w:tc>
            <w:tc>
              <w:tcPr>
                <w:tcW w:w="2920" w:type="dxa"/>
              </w:tcPr>
              <w:p w:rsidR="00104784" w:rsidRPr="00130F37" w:rsidRDefault="00104784" w:rsidP="00973736">
                <w:pPr>
                  <w:spacing w:before="120"/>
                  <w:jc w:val="center"/>
                  <w:rPr>
                    <w:sz w:val="16"/>
                    <w:szCs w:val="16"/>
                  </w:rPr>
                </w:pPr>
              </w:p>
            </w:tc>
            <w:tc>
              <w:tcPr>
                <w:tcW w:w="3645" w:type="dxa"/>
              </w:tcPr>
              <w:p w:rsidR="00104784" w:rsidRPr="00130F37" w:rsidRDefault="00104784" w:rsidP="00023CA7">
                <w:pPr>
                  <w:spacing w:before="120"/>
                  <w:jc w:val="center"/>
                  <w:rPr>
                    <w:sz w:val="16"/>
                    <w:szCs w:val="16"/>
                  </w:rPr>
                </w:pPr>
                <w:r>
                  <w:rPr>
                    <w:sz w:val="16"/>
                    <w:szCs w:val="16"/>
                  </w:rPr>
                  <w:t xml:space="preserve">                   </w:t>
                </w:r>
                <w:r w:rsidRPr="00130F37">
                  <w:rPr>
                    <w:sz w:val="16"/>
                    <w:szCs w:val="16"/>
                  </w:rPr>
                  <w:t xml:space="preserve">Compilation date: </w:t>
                </w:r>
                <w:r>
                  <w:rPr>
                    <w:sz w:val="16"/>
                    <w:szCs w:val="16"/>
                  </w:rPr>
                  <w:t>23/01/2017</w:t>
                </w:r>
              </w:p>
            </w:tc>
          </w:tr>
        </w:tbl>
        <w:p w:rsidR="00104784" w:rsidRPr="005E7FC2" w:rsidRDefault="00104784" w:rsidP="007F2378">
          <w:pPr>
            <w:jc w:val="center"/>
            <w:rPr>
              <w:i/>
              <w:sz w:val="18"/>
              <w:szCs w:val="18"/>
            </w:rPr>
          </w:pPr>
        </w:p>
      </w:tc>
    </w:tr>
  </w:tbl>
  <w:p w:rsidR="00104784" w:rsidRPr="00ED79B6" w:rsidRDefault="00104784" w:rsidP="00CF2367">
    <w:pPr>
      <w:rPr>
        <w:i/>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33C1C" w:rsidRDefault="00104784" w:rsidP="00CF2367">
    <w:pPr>
      <w:pBdr>
        <w:top w:val="single" w:sz="6" w:space="1" w:color="auto"/>
      </w:pBdr>
      <w:spacing w:before="120" w:line="0" w:lineRule="atLeast"/>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660"/>
      <w:gridCol w:w="1228"/>
    </w:tblGrid>
    <w:tr w:rsidR="00104784" w:rsidRPr="00C01863" w:rsidTr="00D77774">
      <w:tc>
        <w:tcPr>
          <w:tcW w:w="1418" w:type="dxa"/>
          <w:tcBorders>
            <w:top w:val="nil"/>
            <w:left w:val="nil"/>
            <w:bottom w:val="nil"/>
            <w:right w:val="nil"/>
          </w:tcBorders>
          <w:shd w:val="clear" w:color="auto" w:fill="auto"/>
        </w:tcPr>
        <w:p w:rsidR="00104784" w:rsidRPr="00C01863" w:rsidRDefault="00104784" w:rsidP="00C01863">
          <w:pPr>
            <w:spacing w:line="0" w:lineRule="atLeast"/>
            <w:rPr>
              <w:sz w:val="18"/>
            </w:rPr>
          </w:pPr>
        </w:p>
      </w:tc>
      <w:tc>
        <w:tcPr>
          <w:tcW w:w="5733" w:type="dxa"/>
          <w:tcBorders>
            <w:top w:val="nil"/>
            <w:left w:val="nil"/>
            <w:bottom w:val="nil"/>
            <w:right w:val="nil"/>
          </w:tcBorders>
          <w:shd w:val="clear" w:color="auto" w:fill="auto"/>
        </w:tcPr>
        <w:p w:rsidR="00104784" w:rsidRDefault="00104784" w:rsidP="00A02752">
          <w:pPr>
            <w:spacing w:line="0" w:lineRule="atLeast"/>
            <w:jc w:val="center"/>
            <w:rPr>
              <w:i/>
              <w:sz w:val="18"/>
            </w:rPr>
          </w:pPr>
          <w:r w:rsidRPr="00E55F66">
            <w:rPr>
              <w:i/>
              <w:sz w:val="18"/>
            </w:rPr>
            <w:t>Statement of Principles concer</w:t>
          </w:r>
          <w:r>
            <w:rPr>
              <w:i/>
              <w:sz w:val="18"/>
            </w:rPr>
            <w:t>ning</w:t>
          </w:r>
        </w:p>
        <w:p w:rsidR="00104784" w:rsidRDefault="00104784" w:rsidP="008140EB">
          <w:pPr>
            <w:spacing w:line="0" w:lineRule="atLeast"/>
            <w:jc w:val="center"/>
            <w:rPr>
              <w:i/>
              <w:sz w:val="18"/>
            </w:rPr>
          </w:pPr>
          <w:r>
            <w:rPr>
              <w:i/>
              <w:sz w:val="18"/>
              <w:szCs w:val="18"/>
            </w:rPr>
            <w:t>Malignant Neoplasm Of The Oesophagus</w:t>
          </w:r>
          <w:r w:rsidRPr="007F2378">
            <w:rPr>
              <w:i/>
              <w:sz w:val="18"/>
            </w:rPr>
            <w:t xml:space="preserve"> </w:t>
          </w:r>
          <w:r>
            <w:rPr>
              <w:i/>
              <w:sz w:val="18"/>
            </w:rPr>
            <w:t>(Reasonable Hypothesis)</w:t>
          </w:r>
          <w:r w:rsidRPr="007F2378">
            <w:rPr>
              <w:i/>
              <w:sz w:val="18"/>
            </w:rPr>
            <w:t xml:space="preserve"> </w:t>
          </w:r>
        </w:p>
        <w:p w:rsidR="00104784" w:rsidRPr="00C01863" w:rsidRDefault="00104784" w:rsidP="008140EB">
          <w:pPr>
            <w:spacing w:line="0" w:lineRule="atLeast"/>
            <w:jc w:val="center"/>
            <w:rPr>
              <w:sz w:val="18"/>
            </w:rPr>
          </w:pPr>
          <w:r w:rsidRPr="007F2378">
            <w:rPr>
              <w:i/>
              <w:sz w:val="18"/>
            </w:rPr>
            <w:t xml:space="preserve">(No. </w:t>
          </w:r>
          <w:r>
            <w:rPr>
              <w:bCs/>
              <w:i/>
              <w:sz w:val="18"/>
              <w:szCs w:val="18"/>
              <w:lang w:val="en-US"/>
            </w:rPr>
            <w:t>120</w:t>
          </w:r>
          <w:r w:rsidRPr="007C5CE0">
            <w:rPr>
              <w:i/>
              <w:sz w:val="18"/>
              <w:szCs w:val="18"/>
            </w:rPr>
            <w:t xml:space="preserve"> of </w:t>
          </w:r>
          <w:r w:rsidRPr="007C5CE0">
            <w:rPr>
              <w:i/>
              <w:sz w:val="18"/>
              <w:szCs w:val="18"/>
            </w:rPr>
            <w:fldChar w:fldCharType="begin"/>
          </w:r>
          <w:r w:rsidRPr="007C5CE0">
            <w:rPr>
              <w:i/>
              <w:sz w:val="18"/>
              <w:szCs w:val="18"/>
            </w:rPr>
            <w:instrText xml:space="preserve"> REF year \* Charformat \* MERGEFORMAT </w:instrText>
          </w:r>
          <w:r w:rsidRPr="007C5CE0">
            <w:rPr>
              <w:i/>
              <w:sz w:val="18"/>
              <w:szCs w:val="18"/>
            </w:rPr>
            <w:fldChar w:fldCharType="separate"/>
          </w:r>
          <w:r w:rsidRPr="009C58C8">
            <w:rPr>
              <w:i/>
              <w:sz w:val="18"/>
              <w:szCs w:val="18"/>
            </w:rPr>
            <w:t>2015</w:t>
          </w:r>
          <w:r w:rsidRPr="007C5CE0">
            <w:rPr>
              <w:i/>
              <w:sz w:val="18"/>
              <w:szCs w:val="18"/>
            </w:rPr>
            <w:fldChar w:fldCharType="end"/>
          </w:r>
          <w:r w:rsidRPr="007F2378">
            <w:rPr>
              <w:i/>
              <w:sz w:val="18"/>
              <w:szCs w:val="18"/>
            </w:rPr>
            <w:t>)</w:t>
          </w:r>
        </w:p>
      </w:tc>
      <w:tc>
        <w:tcPr>
          <w:tcW w:w="1162" w:type="dxa"/>
          <w:tcBorders>
            <w:top w:val="nil"/>
            <w:left w:val="nil"/>
            <w:bottom w:val="nil"/>
            <w:right w:val="nil"/>
          </w:tcBorders>
          <w:shd w:val="clear" w:color="auto" w:fill="auto"/>
        </w:tcPr>
        <w:p w:rsidR="00104784" w:rsidRPr="00C01863" w:rsidRDefault="00104784"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2325B1">
            <w:rPr>
              <w:i/>
              <w:noProof/>
              <w:sz w:val="18"/>
            </w:rPr>
            <w:t>7</w:t>
          </w:r>
          <w:r w:rsidRPr="00C01863">
            <w:rPr>
              <w:i/>
              <w:sz w:val="18"/>
            </w:rPr>
            <w:fldChar w:fldCharType="end"/>
          </w:r>
        </w:p>
      </w:tc>
    </w:tr>
    <w:tr w:rsidR="00104784" w:rsidRPr="003F4535" w:rsidTr="00D77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3"/>
          <w:shd w:val="clear" w:color="auto" w:fill="auto"/>
        </w:tcPr>
        <w:p w:rsidR="00104784" w:rsidRPr="005E7FC2" w:rsidRDefault="00104784" w:rsidP="005E7FC2">
          <w:pPr>
            <w:jc w:val="center"/>
            <w:rPr>
              <w:sz w:val="18"/>
              <w:szCs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r>
    <w:tr w:rsidR="00104784" w:rsidRPr="003F4535" w:rsidTr="00D777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3"/>
          <w:shd w:val="clear" w:color="auto" w:fill="auto"/>
        </w:tcPr>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0"/>
            <w:gridCol w:w="2920"/>
            <w:gridCol w:w="3645"/>
          </w:tblGrid>
          <w:tr w:rsidR="00104784" w:rsidRPr="00130F37" w:rsidTr="00973736">
            <w:tc>
              <w:tcPr>
                <w:tcW w:w="2190" w:type="dxa"/>
              </w:tcPr>
              <w:p w:rsidR="00104784" w:rsidRPr="00130F37" w:rsidRDefault="00104784" w:rsidP="00A44C06">
                <w:pPr>
                  <w:spacing w:before="120"/>
                  <w:rPr>
                    <w:sz w:val="16"/>
                    <w:szCs w:val="16"/>
                  </w:rPr>
                </w:pPr>
                <w:r w:rsidRPr="00130F37">
                  <w:rPr>
                    <w:sz w:val="16"/>
                    <w:szCs w:val="16"/>
                  </w:rPr>
                  <w:t xml:space="preserve">Compilation No. </w:t>
                </w:r>
                <w:r>
                  <w:rPr>
                    <w:sz w:val="16"/>
                    <w:szCs w:val="16"/>
                  </w:rPr>
                  <w:t>1</w:t>
                </w:r>
              </w:p>
            </w:tc>
            <w:tc>
              <w:tcPr>
                <w:tcW w:w="2920" w:type="dxa"/>
              </w:tcPr>
              <w:p w:rsidR="00104784" w:rsidRPr="00130F37" w:rsidRDefault="00104784" w:rsidP="00973736">
                <w:pPr>
                  <w:spacing w:before="120"/>
                  <w:jc w:val="center"/>
                  <w:rPr>
                    <w:sz w:val="16"/>
                    <w:szCs w:val="16"/>
                  </w:rPr>
                </w:pPr>
              </w:p>
            </w:tc>
            <w:tc>
              <w:tcPr>
                <w:tcW w:w="3645" w:type="dxa"/>
              </w:tcPr>
              <w:p w:rsidR="00104784" w:rsidRPr="00130F37" w:rsidRDefault="00104784" w:rsidP="00023CA7">
                <w:pPr>
                  <w:spacing w:before="120"/>
                  <w:jc w:val="center"/>
                  <w:rPr>
                    <w:sz w:val="16"/>
                    <w:szCs w:val="16"/>
                  </w:rPr>
                </w:pPr>
                <w:r>
                  <w:rPr>
                    <w:sz w:val="16"/>
                    <w:szCs w:val="16"/>
                  </w:rPr>
                  <w:t xml:space="preserve">        </w:t>
                </w:r>
                <w:r w:rsidRPr="00130F37">
                  <w:rPr>
                    <w:sz w:val="16"/>
                    <w:szCs w:val="16"/>
                  </w:rPr>
                  <w:t xml:space="preserve">Compilation date: </w:t>
                </w:r>
                <w:r>
                  <w:rPr>
                    <w:sz w:val="16"/>
                    <w:szCs w:val="16"/>
                  </w:rPr>
                  <w:t>23/01/2017</w:t>
                </w:r>
              </w:p>
            </w:tc>
          </w:tr>
        </w:tbl>
        <w:p w:rsidR="00104784" w:rsidRPr="005E7FC2" w:rsidRDefault="00104784" w:rsidP="005E7FC2">
          <w:pPr>
            <w:jc w:val="center"/>
            <w:rPr>
              <w:i/>
              <w:sz w:val="18"/>
              <w:szCs w:val="18"/>
            </w:rPr>
          </w:pPr>
        </w:p>
      </w:tc>
    </w:tr>
  </w:tbl>
  <w:p w:rsidR="00104784" w:rsidRDefault="00104784" w:rsidP="00CF2367">
    <w:pPr>
      <w:rPr>
        <w:i/>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33C1C" w:rsidRDefault="00104784" w:rsidP="007F2378">
    <w:pPr>
      <w:pBdr>
        <w:top w:val="single" w:sz="6" w:space="1" w:color="auto"/>
      </w:pBdr>
      <w:spacing w:before="120" w:line="0" w:lineRule="atLeast"/>
      <w:rPr>
        <w:sz w:val="16"/>
        <w:szCs w:val="1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5670"/>
      <w:gridCol w:w="1384"/>
    </w:tblGrid>
    <w:tr w:rsidR="00104784" w:rsidRPr="00C01863" w:rsidTr="000B7434">
      <w:tc>
        <w:tcPr>
          <w:tcW w:w="1418" w:type="dxa"/>
          <w:tcBorders>
            <w:top w:val="nil"/>
            <w:left w:val="nil"/>
            <w:bottom w:val="nil"/>
            <w:right w:val="nil"/>
          </w:tcBorders>
          <w:shd w:val="clear" w:color="auto" w:fill="auto"/>
        </w:tcPr>
        <w:p w:rsidR="00104784" w:rsidRPr="00C01863" w:rsidRDefault="00104784" w:rsidP="007F2378">
          <w:pPr>
            <w:spacing w:line="0" w:lineRule="atLeast"/>
            <w:rPr>
              <w:sz w:val="18"/>
            </w:rPr>
          </w:pPr>
        </w:p>
      </w:tc>
      <w:tc>
        <w:tcPr>
          <w:tcW w:w="5670" w:type="dxa"/>
          <w:tcBorders>
            <w:top w:val="nil"/>
            <w:left w:val="nil"/>
            <w:bottom w:val="nil"/>
            <w:right w:val="nil"/>
          </w:tcBorders>
          <w:shd w:val="clear" w:color="auto" w:fill="auto"/>
        </w:tcPr>
        <w:p w:rsidR="00104784" w:rsidRDefault="00104784" w:rsidP="00A02752">
          <w:pPr>
            <w:spacing w:line="0" w:lineRule="atLeast"/>
            <w:jc w:val="center"/>
            <w:rPr>
              <w:i/>
              <w:sz w:val="18"/>
            </w:rPr>
          </w:pPr>
          <w:r w:rsidRPr="007C5CE0">
            <w:rPr>
              <w:i/>
              <w:sz w:val="18"/>
            </w:rPr>
            <w:t xml:space="preserve">Statement of Principles concerning </w:t>
          </w:r>
        </w:p>
        <w:p w:rsidR="00104784" w:rsidRDefault="00104784" w:rsidP="00FE118D">
          <w:pPr>
            <w:spacing w:line="0" w:lineRule="atLeast"/>
            <w:jc w:val="center"/>
            <w:rPr>
              <w:i/>
              <w:sz w:val="18"/>
            </w:rPr>
          </w:pPr>
          <w:r>
            <w:rPr>
              <w:i/>
              <w:sz w:val="18"/>
              <w:szCs w:val="18"/>
            </w:rPr>
            <w:t>Malignant Neoplasm Of The Oesophagus</w:t>
          </w:r>
          <w:r w:rsidRPr="007C5CE0">
            <w:rPr>
              <w:i/>
              <w:sz w:val="18"/>
            </w:rPr>
            <w:t xml:space="preserve"> </w:t>
          </w:r>
          <w:r>
            <w:rPr>
              <w:i/>
              <w:sz w:val="18"/>
            </w:rPr>
            <w:t>(Reasonable Hypothesis)</w:t>
          </w:r>
          <w:r w:rsidRPr="007C5CE0">
            <w:rPr>
              <w:i/>
              <w:sz w:val="18"/>
            </w:rPr>
            <w:t xml:space="preserve"> </w:t>
          </w:r>
        </w:p>
        <w:p w:rsidR="00104784" w:rsidRPr="007C5CE0" w:rsidRDefault="00104784" w:rsidP="00FE118D">
          <w:pPr>
            <w:spacing w:line="0" w:lineRule="atLeast"/>
            <w:jc w:val="center"/>
            <w:rPr>
              <w:sz w:val="18"/>
            </w:rPr>
          </w:pPr>
          <w:r w:rsidRPr="007C5CE0">
            <w:rPr>
              <w:i/>
              <w:sz w:val="18"/>
            </w:rPr>
            <w:t xml:space="preserve">(No. </w:t>
          </w:r>
          <w:r>
            <w:rPr>
              <w:bCs/>
              <w:i/>
              <w:sz w:val="18"/>
              <w:szCs w:val="18"/>
              <w:lang w:val="en-US"/>
            </w:rPr>
            <w:t>120</w:t>
          </w:r>
          <w:r w:rsidRPr="007C5CE0">
            <w:rPr>
              <w:i/>
              <w:sz w:val="18"/>
              <w:szCs w:val="18"/>
            </w:rPr>
            <w:t xml:space="preserve"> of </w:t>
          </w:r>
          <w:r w:rsidRPr="007C5CE0">
            <w:rPr>
              <w:i/>
              <w:sz w:val="18"/>
              <w:szCs w:val="18"/>
            </w:rPr>
            <w:fldChar w:fldCharType="begin"/>
          </w:r>
          <w:r w:rsidRPr="007C5CE0">
            <w:rPr>
              <w:i/>
              <w:sz w:val="18"/>
              <w:szCs w:val="18"/>
            </w:rPr>
            <w:instrText xml:space="preserve"> REF year \* Charformat \* MERGEFORMAT </w:instrText>
          </w:r>
          <w:r w:rsidRPr="007C5CE0">
            <w:rPr>
              <w:i/>
              <w:sz w:val="18"/>
              <w:szCs w:val="18"/>
            </w:rPr>
            <w:fldChar w:fldCharType="separate"/>
          </w:r>
          <w:r w:rsidRPr="009C58C8">
            <w:rPr>
              <w:i/>
              <w:sz w:val="18"/>
              <w:szCs w:val="18"/>
            </w:rPr>
            <w:t>2015</w:t>
          </w:r>
          <w:r w:rsidRPr="007C5CE0">
            <w:rPr>
              <w:i/>
              <w:sz w:val="18"/>
              <w:szCs w:val="18"/>
            </w:rPr>
            <w:fldChar w:fldCharType="end"/>
          </w:r>
          <w:r w:rsidRPr="007C5CE0">
            <w:rPr>
              <w:i/>
              <w:sz w:val="18"/>
              <w:szCs w:val="18"/>
            </w:rPr>
            <w:t>)</w:t>
          </w:r>
        </w:p>
      </w:tc>
      <w:tc>
        <w:tcPr>
          <w:tcW w:w="1384" w:type="dxa"/>
          <w:tcBorders>
            <w:top w:val="nil"/>
            <w:left w:val="nil"/>
            <w:bottom w:val="nil"/>
            <w:right w:val="nil"/>
          </w:tcBorders>
          <w:shd w:val="clear" w:color="auto" w:fill="auto"/>
        </w:tcPr>
        <w:p w:rsidR="00104784" w:rsidRPr="00C01863" w:rsidRDefault="00104784" w:rsidP="007F2378">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2325B1">
            <w:rPr>
              <w:i/>
              <w:noProof/>
              <w:sz w:val="18"/>
            </w:rPr>
            <w:t>1</w:t>
          </w:r>
          <w:r w:rsidRPr="00C01863">
            <w:rPr>
              <w:i/>
              <w:sz w:val="18"/>
            </w:rPr>
            <w:fldChar w:fldCharType="end"/>
          </w:r>
        </w:p>
      </w:tc>
    </w:tr>
    <w:tr w:rsidR="00104784" w:rsidRPr="003F4535" w:rsidTr="00A44C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p w:rsidR="00104784" w:rsidRPr="003F4535" w:rsidRDefault="00104784" w:rsidP="007F2378">
          <w:pPr>
            <w:jc w:val="center"/>
            <w:rPr>
              <w:b/>
              <w:sz w:val="24"/>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r>
    <w:tr w:rsidR="00104784" w:rsidRPr="003F4535" w:rsidTr="00A44C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0"/>
            <w:gridCol w:w="2920"/>
            <w:gridCol w:w="3645"/>
          </w:tblGrid>
          <w:tr w:rsidR="00104784" w:rsidRPr="00130F37" w:rsidTr="00567687">
            <w:tc>
              <w:tcPr>
                <w:tcW w:w="2190" w:type="dxa"/>
              </w:tcPr>
              <w:p w:rsidR="00104784" w:rsidRPr="00130F37" w:rsidRDefault="00104784" w:rsidP="00A44C06">
                <w:pPr>
                  <w:spacing w:before="120"/>
                  <w:rPr>
                    <w:sz w:val="16"/>
                    <w:szCs w:val="16"/>
                  </w:rPr>
                </w:pPr>
                <w:r w:rsidRPr="00130F37">
                  <w:rPr>
                    <w:sz w:val="16"/>
                    <w:szCs w:val="16"/>
                  </w:rPr>
                  <w:t xml:space="preserve">Compilation No. </w:t>
                </w:r>
                <w:r>
                  <w:rPr>
                    <w:sz w:val="16"/>
                    <w:szCs w:val="16"/>
                  </w:rPr>
                  <w:t>1</w:t>
                </w:r>
              </w:p>
            </w:tc>
            <w:tc>
              <w:tcPr>
                <w:tcW w:w="2920" w:type="dxa"/>
              </w:tcPr>
              <w:p w:rsidR="00104784" w:rsidRPr="00130F37" w:rsidRDefault="00104784" w:rsidP="00A44C06">
                <w:pPr>
                  <w:spacing w:before="120"/>
                  <w:jc w:val="center"/>
                  <w:rPr>
                    <w:sz w:val="16"/>
                    <w:szCs w:val="16"/>
                  </w:rPr>
                </w:pPr>
              </w:p>
            </w:tc>
            <w:tc>
              <w:tcPr>
                <w:tcW w:w="3645" w:type="dxa"/>
              </w:tcPr>
              <w:p w:rsidR="00104784" w:rsidRPr="00130F37" w:rsidRDefault="00104784" w:rsidP="00023CA7">
                <w:pPr>
                  <w:spacing w:before="120"/>
                  <w:jc w:val="center"/>
                  <w:rPr>
                    <w:sz w:val="16"/>
                    <w:szCs w:val="16"/>
                  </w:rPr>
                </w:pPr>
                <w:r>
                  <w:rPr>
                    <w:sz w:val="16"/>
                    <w:szCs w:val="16"/>
                  </w:rPr>
                  <w:t xml:space="preserve">                </w:t>
                </w:r>
                <w:r w:rsidRPr="00130F37">
                  <w:rPr>
                    <w:sz w:val="16"/>
                    <w:szCs w:val="16"/>
                  </w:rPr>
                  <w:t xml:space="preserve">Compilation date: </w:t>
                </w:r>
                <w:r>
                  <w:rPr>
                    <w:sz w:val="16"/>
                    <w:szCs w:val="16"/>
                  </w:rPr>
                  <w:t>23/01/2017</w:t>
                </w:r>
              </w:p>
            </w:tc>
          </w:tr>
        </w:tbl>
        <w:p w:rsidR="00104784" w:rsidRPr="005E7FC2" w:rsidRDefault="00104784" w:rsidP="00A44C06">
          <w:pPr>
            <w:jc w:val="center"/>
            <w:rPr>
              <w:i/>
              <w:sz w:val="18"/>
              <w:szCs w:val="18"/>
            </w:rPr>
          </w:pPr>
        </w:p>
      </w:tc>
    </w:tr>
  </w:tbl>
  <w:p w:rsidR="00104784" w:rsidRDefault="0010478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F5531" w:rsidRDefault="00104784" w:rsidP="00CF2367">
    <w:pPr>
      <w:pBdr>
        <w:top w:val="single" w:sz="6" w:space="1" w:color="auto"/>
      </w:pBdr>
      <w:spacing w:before="120" w:line="0" w:lineRule="atLeast"/>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5941"/>
      <w:gridCol w:w="1064"/>
    </w:tblGrid>
    <w:tr w:rsidR="00104784" w:rsidRPr="00C01863" w:rsidTr="00D77774">
      <w:tc>
        <w:tcPr>
          <w:tcW w:w="1276" w:type="dxa"/>
          <w:tcBorders>
            <w:top w:val="nil"/>
            <w:left w:val="nil"/>
            <w:bottom w:val="nil"/>
            <w:right w:val="nil"/>
          </w:tcBorders>
          <w:shd w:val="clear" w:color="auto" w:fill="auto"/>
        </w:tcPr>
        <w:p w:rsidR="00104784" w:rsidRPr="00C01863" w:rsidRDefault="00104784" w:rsidP="0008674F">
          <w:pPr>
            <w:spacing w:line="0" w:lineRule="atLeast"/>
            <w:rPr>
              <w:sz w:val="18"/>
            </w:rPr>
          </w:pPr>
        </w:p>
      </w:tc>
      <w:tc>
        <w:tcPr>
          <w:tcW w:w="6074" w:type="dxa"/>
          <w:tcBorders>
            <w:top w:val="nil"/>
            <w:left w:val="nil"/>
            <w:bottom w:val="nil"/>
            <w:right w:val="nil"/>
          </w:tcBorders>
          <w:shd w:val="clear" w:color="auto" w:fill="auto"/>
        </w:tcPr>
        <w:p w:rsidR="00104784" w:rsidRDefault="00104784" w:rsidP="0008674F">
          <w:pPr>
            <w:spacing w:line="0" w:lineRule="atLeast"/>
            <w:jc w:val="center"/>
            <w:rPr>
              <w:b/>
              <w:i/>
              <w:sz w:val="18"/>
            </w:rPr>
          </w:pPr>
          <w:r w:rsidRPr="00E55F66">
            <w:rPr>
              <w:i/>
              <w:sz w:val="18"/>
            </w:rPr>
            <w:t>Statement of Principles concer</w:t>
          </w:r>
          <w:r>
            <w:rPr>
              <w:i/>
              <w:sz w:val="18"/>
            </w:rPr>
            <w:t>ning</w:t>
          </w:r>
          <w:r w:rsidRPr="007527C1">
            <w:rPr>
              <w:b/>
              <w:i/>
              <w:sz w:val="18"/>
            </w:rPr>
            <w:t xml:space="preserve"> </w:t>
          </w:r>
        </w:p>
        <w:p w:rsidR="00104784" w:rsidRDefault="00104784" w:rsidP="008140EB">
          <w:pPr>
            <w:spacing w:line="0" w:lineRule="atLeast"/>
            <w:jc w:val="center"/>
            <w:rPr>
              <w:i/>
              <w:sz w:val="18"/>
              <w:szCs w:val="18"/>
            </w:rPr>
          </w:pPr>
          <w:r>
            <w:rPr>
              <w:i/>
              <w:sz w:val="18"/>
              <w:szCs w:val="18"/>
            </w:rPr>
            <w:t xml:space="preserve">Malignant Neoplasm of the Oesophagus (Reasonable Hypothesis) </w:t>
          </w:r>
        </w:p>
        <w:p w:rsidR="00104784" w:rsidRPr="00C01863" w:rsidRDefault="00104784" w:rsidP="008140EB">
          <w:pPr>
            <w:spacing w:line="0" w:lineRule="atLeast"/>
            <w:jc w:val="center"/>
            <w:rPr>
              <w:sz w:val="18"/>
            </w:rPr>
          </w:pPr>
          <w:r>
            <w:rPr>
              <w:i/>
              <w:sz w:val="18"/>
            </w:rPr>
            <w:t xml:space="preserve">(No. </w:t>
          </w:r>
          <w:r>
            <w:rPr>
              <w:bCs/>
              <w:i/>
              <w:sz w:val="18"/>
              <w:szCs w:val="18"/>
              <w:lang w:val="en-US"/>
            </w:rPr>
            <w:t>120</w:t>
          </w:r>
          <w:r w:rsidRPr="007C5CE0">
            <w:rPr>
              <w:i/>
              <w:sz w:val="18"/>
              <w:szCs w:val="18"/>
            </w:rPr>
            <w:t xml:space="preserve"> of </w:t>
          </w:r>
          <w:r w:rsidRPr="007C5CE0">
            <w:rPr>
              <w:i/>
              <w:sz w:val="18"/>
              <w:szCs w:val="18"/>
            </w:rPr>
            <w:fldChar w:fldCharType="begin"/>
          </w:r>
          <w:r w:rsidRPr="007C5CE0">
            <w:rPr>
              <w:i/>
              <w:sz w:val="18"/>
              <w:szCs w:val="18"/>
            </w:rPr>
            <w:instrText xml:space="preserve"> REF year \* Charformat \* MERGEFORMAT </w:instrText>
          </w:r>
          <w:r w:rsidRPr="007C5CE0">
            <w:rPr>
              <w:i/>
              <w:sz w:val="18"/>
              <w:szCs w:val="18"/>
            </w:rPr>
            <w:fldChar w:fldCharType="separate"/>
          </w:r>
          <w:r w:rsidRPr="009C58C8">
            <w:rPr>
              <w:i/>
              <w:sz w:val="18"/>
              <w:szCs w:val="18"/>
            </w:rPr>
            <w:t>2015</w:t>
          </w:r>
          <w:r w:rsidRPr="007C5CE0">
            <w:rPr>
              <w:i/>
              <w:sz w:val="18"/>
              <w:szCs w:val="18"/>
            </w:rPr>
            <w:fldChar w:fldCharType="end"/>
          </w:r>
          <w:r w:rsidRPr="00E55F66">
            <w:rPr>
              <w:i/>
              <w:sz w:val="18"/>
            </w:rPr>
            <w:t>)</w:t>
          </w:r>
        </w:p>
      </w:tc>
      <w:tc>
        <w:tcPr>
          <w:tcW w:w="963" w:type="dxa"/>
          <w:tcBorders>
            <w:top w:val="nil"/>
            <w:left w:val="nil"/>
            <w:bottom w:val="nil"/>
            <w:right w:val="nil"/>
          </w:tcBorders>
          <w:shd w:val="clear" w:color="auto" w:fill="auto"/>
        </w:tcPr>
        <w:p w:rsidR="00104784" w:rsidRPr="00C01863" w:rsidRDefault="00104784" w:rsidP="0008674F">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2325B1">
            <w:rPr>
              <w:i/>
              <w:noProof/>
              <w:sz w:val="18"/>
            </w:rPr>
            <w:t>8</w:t>
          </w:r>
          <w:r w:rsidRPr="00C01863">
            <w:rPr>
              <w:i/>
              <w:sz w:val="18"/>
            </w:rPr>
            <w:fldChar w:fldCharType="end"/>
          </w:r>
        </w:p>
      </w:tc>
    </w:tr>
    <w:tr w:rsidR="00104784" w:rsidRPr="003F4535" w:rsidTr="009737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3"/>
          <w:shd w:val="clear" w:color="auto" w:fill="auto"/>
        </w:tcPr>
        <w:p w:rsidR="00104784" w:rsidRPr="005E7FC2" w:rsidRDefault="00104784" w:rsidP="0008674F">
          <w:pPr>
            <w:jc w:val="center"/>
            <w:rPr>
              <w:sz w:val="18"/>
              <w:szCs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w:t>
          </w:r>
          <w:r w:rsidRPr="007142FB">
            <w:rPr>
              <w:i/>
              <w:sz w:val="18"/>
              <w:szCs w:val="18"/>
            </w:rPr>
            <w:t>1986</w:t>
          </w:r>
        </w:p>
      </w:tc>
    </w:tr>
    <w:tr w:rsidR="00104784" w:rsidRPr="003F4535" w:rsidTr="009737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13" w:type="dxa"/>
          <w:gridSpan w:val="3"/>
          <w:shd w:val="clear" w:color="auto" w:fill="auto"/>
        </w:tcPr>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0"/>
            <w:gridCol w:w="2920"/>
            <w:gridCol w:w="3645"/>
          </w:tblGrid>
          <w:tr w:rsidR="00104784" w:rsidRPr="00130F37" w:rsidTr="00973736">
            <w:tc>
              <w:tcPr>
                <w:tcW w:w="2190" w:type="dxa"/>
              </w:tcPr>
              <w:p w:rsidR="00104784" w:rsidRPr="00130F37" w:rsidRDefault="00104784" w:rsidP="00A44C06">
                <w:pPr>
                  <w:spacing w:before="120"/>
                  <w:rPr>
                    <w:sz w:val="16"/>
                    <w:szCs w:val="16"/>
                  </w:rPr>
                </w:pPr>
                <w:r w:rsidRPr="00130F37">
                  <w:rPr>
                    <w:sz w:val="16"/>
                    <w:szCs w:val="16"/>
                  </w:rPr>
                  <w:t xml:space="preserve">Compilation No. </w:t>
                </w:r>
                <w:r>
                  <w:rPr>
                    <w:sz w:val="16"/>
                    <w:szCs w:val="16"/>
                  </w:rPr>
                  <w:t>1</w:t>
                </w:r>
              </w:p>
            </w:tc>
            <w:tc>
              <w:tcPr>
                <w:tcW w:w="2920" w:type="dxa"/>
              </w:tcPr>
              <w:p w:rsidR="00104784" w:rsidRPr="00130F37" w:rsidRDefault="00104784" w:rsidP="00973736">
                <w:pPr>
                  <w:spacing w:before="120"/>
                  <w:jc w:val="center"/>
                  <w:rPr>
                    <w:sz w:val="16"/>
                    <w:szCs w:val="16"/>
                  </w:rPr>
                </w:pPr>
              </w:p>
            </w:tc>
            <w:tc>
              <w:tcPr>
                <w:tcW w:w="3645" w:type="dxa"/>
              </w:tcPr>
              <w:p w:rsidR="00104784" w:rsidRPr="00130F37" w:rsidRDefault="00104784" w:rsidP="00023CA7">
                <w:pPr>
                  <w:spacing w:before="120"/>
                  <w:jc w:val="center"/>
                  <w:rPr>
                    <w:sz w:val="16"/>
                    <w:szCs w:val="16"/>
                  </w:rPr>
                </w:pPr>
                <w:r>
                  <w:rPr>
                    <w:sz w:val="16"/>
                    <w:szCs w:val="16"/>
                  </w:rPr>
                  <w:t xml:space="preserve">           </w:t>
                </w:r>
                <w:r w:rsidRPr="00130F37">
                  <w:rPr>
                    <w:sz w:val="16"/>
                    <w:szCs w:val="16"/>
                  </w:rPr>
                  <w:t xml:space="preserve">Compilation date: </w:t>
                </w:r>
                <w:r>
                  <w:rPr>
                    <w:sz w:val="16"/>
                    <w:szCs w:val="16"/>
                  </w:rPr>
                  <w:t>23/01/2017</w:t>
                </w:r>
              </w:p>
            </w:tc>
          </w:tr>
        </w:tbl>
        <w:p w:rsidR="00104784" w:rsidRPr="005E7FC2" w:rsidRDefault="00104784" w:rsidP="0008674F">
          <w:pPr>
            <w:jc w:val="center"/>
            <w:rPr>
              <w:i/>
              <w:sz w:val="18"/>
              <w:szCs w:val="18"/>
            </w:rPr>
          </w:pPr>
        </w:p>
      </w:tc>
    </w:tr>
  </w:tbl>
  <w:p w:rsidR="00104784" w:rsidRPr="00EF5531" w:rsidRDefault="00104784" w:rsidP="0008674F">
    <w:pPr>
      <w:rPr>
        <w:sz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A41F52" w:rsidRDefault="00104784" w:rsidP="00CF2367">
    <w:pPr>
      <w:pBdr>
        <w:top w:val="single" w:sz="6" w:space="1" w:color="auto"/>
      </w:pBdr>
      <w:spacing w:before="120" w:line="0" w:lineRule="atLeast"/>
      <w:rPr>
        <w:sz w:val="16"/>
        <w:szCs w:val="1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5987"/>
      <w:gridCol w:w="1101"/>
    </w:tblGrid>
    <w:tr w:rsidR="00104784" w:rsidRPr="00C01863" w:rsidTr="00D77774">
      <w:tc>
        <w:tcPr>
          <w:tcW w:w="1384" w:type="dxa"/>
          <w:tcBorders>
            <w:top w:val="nil"/>
            <w:left w:val="nil"/>
            <w:bottom w:val="nil"/>
            <w:right w:val="nil"/>
          </w:tcBorders>
          <w:shd w:val="clear" w:color="auto" w:fill="auto"/>
        </w:tcPr>
        <w:p w:rsidR="00104784" w:rsidRPr="00C01863" w:rsidRDefault="00104784" w:rsidP="00C01863">
          <w:pPr>
            <w:spacing w:line="0" w:lineRule="atLeast"/>
            <w:rPr>
              <w:sz w:val="18"/>
            </w:rPr>
          </w:pPr>
        </w:p>
      </w:tc>
      <w:tc>
        <w:tcPr>
          <w:tcW w:w="5987" w:type="dxa"/>
          <w:tcBorders>
            <w:top w:val="nil"/>
            <w:left w:val="nil"/>
            <w:bottom w:val="nil"/>
            <w:right w:val="nil"/>
          </w:tcBorders>
          <w:shd w:val="clear" w:color="auto" w:fill="auto"/>
        </w:tcPr>
        <w:p w:rsidR="00104784" w:rsidRDefault="00104784" w:rsidP="00FC3586">
          <w:pPr>
            <w:spacing w:line="0" w:lineRule="atLeast"/>
            <w:jc w:val="center"/>
            <w:rPr>
              <w:i/>
              <w:sz w:val="18"/>
            </w:rPr>
          </w:pPr>
          <w:r w:rsidRPr="00E55F66">
            <w:rPr>
              <w:i/>
              <w:sz w:val="18"/>
            </w:rPr>
            <w:t>Statement of Principles concer</w:t>
          </w:r>
          <w:r>
            <w:rPr>
              <w:i/>
              <w:sz w:val="18"/>
            </w:rPr>
            <w:t xml:space="preserve">ning </w:t>
          </w:r>
        </w:p>
        <w:p w:rsidR="00104784" w:rsidRDefault="00104784" w:rsidP="00FC3586">
          <w:pPr>
            <w:spacing w:line="0" w:lineRule="atLeast"/>
            <w:jc w:val="center"/>
            <w:rPr>
              <w:i/>
              <w:sz w:val="18"/>
              <w:szCs w:val="18"/>
            </w:rPr>
          </w:pPr>
          <w:r>
            <w:rPr>
              <w:i/>
              <w:sz w:val="18"/>
              <w:szCs w:val="18"/>
            </w:rPr>
            <w:t xml:space="preserve">Malignant Neoplasm of the Oesophagus (Reasonable Hypothesis) </w:t>
          </w:r>
        </w:p>
        <w:p w:rsidR="00104784" w:rsidRPr="005E7FC2" w:rsidRDefault="00104784" w:rsidP="00FC3586">
          <w:pPr>
            <w:spacing w:line="0" w:lineRule="atLeast"/>
            <w:jc w:val="center"/>
            <w:rPr>
              <w:i/>
              <w:sz w:val="18"/>
            </w:rPr>
          </w:pPr>
          <w:r>
            <w:rPr>
              <w:i/>
              <w:sz w:val="18"/>
            </w:rPr>
            <w:t xml:space="preserve">(No. </w:t>
          </w:r>
          <w:r>
            <w:rPr>
              <w:bCs/>
              <w:i/>
              <w:sz w:val="18"/>
              <w:szCs w:val="18"/>
              <w:lang w:val="en-US"/>
            </w:rPr>
            <w:t>120</w:t>
          </w:r>
          <w:r w:rsidRPr="007C5CE0">
            <w:rPr>
              <w:i/>
              <w:sz w:val="18"/>
              <w:szCs w:val="18"/>
            </w:rPr>
            <w:t xml:space="preserve"> of </w:t>
          </w:r>
          <w:r w:rsidRPr="007C5CE0">
            <w:rPr>
              <w:i/>
              <w:sz w:val="18"/>
              <w:szCs w:val="18"/>
            </w:rPr>
            <w:fldChar w:fldCharType="begin"/>
          </w:r>
          <w:r w:rsidRPr="007C5CE0">
            <w:rPr>
              <w:i/>
              <w:sz w:val="18"/>
              <w:szCs w:val="18"/>
            </w:rPr>
            <w:instrText xml:space="preserve"> REF year \* Charformat \* MERGEFORMAT </w:instrText>
          </w:r>
          <w:r w:rsidRPr="007C5CE0">
            <w:rPr>
              <w:i/>
              <w:sz w:val="18"/>
              <w:szCs w:val="18"/>
            </w:rPr>
            <w:fldChar w:fldCharType="separate"/>
          </w:r>
          <w:r w:rsidRPr="009C58C8">
            <w:rPr>
              <w:i/>
              <w:sz w:val="18"/>
              <w:szCs w:val="18"/>
            </w:rPr>
            <w:t>2015</w:t>
          </w:r>
          <w:r w:rsidRPr="007C5CE0">
            <w:rPr>
              <w:i/>
              <w:sz w:val="18"/>
              <w:szCs w:val="18"/>
            </w:rPr>
            <w:fldChar w:fldCharType="end"/>
          </w:r>
          <w:r w:rsidRPr="00E55F66">
            <w:rPr>
              <w:i/>
              <w:sz w:val="18"/>
            </w:rPr>
            <w:t>)</w:t>
          </w:r>
        </w:p>
      </w:tc>
      <w:tc>
        <w:tcPr>
          <w:tcW w:w="1101" w:type="dxa"/>
          <w:tcBorders>
            <w:top w:val="nil"/>
            <w:left w:val="nil"/>
            <w:bottom w:val="nil"/>
            <w:right w:val="nil"/>
          </w:tcBorders>
          <w:shd w:val="clear" w:color="auto" w:fill="auto"/>
        </w:tcPr>
        <w:p w:rsidR="00104784" w:rsidRPr="00C01863" w:rsidRDefault="00104784"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sidR="002325B1">
            <w:rPr>
              <w:i/>
              <w:noProof/>
              <w:sz w:val="18"/>
            </w:rPr>
            <w:t>9</w:t>
          </w:r>
          <w:r w:rsidRPr="00C01863">
            <w:rPr>
              <w:i/>
              <w:sz w:val="18"/>
            </w:rPr>
            <w:fldChar w:fldCharType="end"/>
          </w:r>
        </w:p>
      </w:tc>
    </w:tr>
    <w:tr w:rsidR="00104784" w:rsidRPr="00C01863" w:rsidTr="00C018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p w:rsidR="00104784" w:rsidRPr="00C01863" w:rsidRDefault="00104784" w:rsidP="00DF6D11">
          <w:pPr>
            <w:jc w:val="center"/>
            <w:rPr>
              <w:sz w:val="18"/>
            </w:rPr>
          </w:pPr>
          <w:r w:rsidRPr="005E7FC2">
            <w:rPr>
              <w:i/>
              <w:sz w:val="18"/>
              <w:szCs w:val="18"/>
            </w:rPr>
            <w:t>Veterans</w:t>
          </w:r>
          <w:r>
            <w:rPr>
              <w:i/>
              <w:sz w:val="18"/>
              <w:szCs w:val="18"/>
            </w:rPr>
            <w:t>'</w:t>
          </w:r>
          <w:r w:rsidRPr="005E7FC2">
            <w:rPr>
              <w:i/>
              <w:sz w:val="18"/>
              <w:szCs w:val="18"/>
            </w:rPr>
            <w:t xml:space="preserve"> Entitlements Act</w:t>
          </w:r>
          <w:r w:rsidRPr="005E7FC2">
            <w:rPr>
              <w:sz w:val="18"/>
              <w:szCs w:val="18"/>
            </w:rPr>
            <w:t xml:space="preserve"> 1986</w:t>
          </w:r>
        </w:p>
      </w:tc>
    </w:tr>
  </w:tbl>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0"/>
      <w:gridCol w:w="2920"/>
      <w:gridCol w:w="3645"/>
    </w:tblGrid>
    <w:tr w:rsidR="00104784" w:rsidRPr="00130F37" w:rsidTr="00973736">
      <w:tc>
        <w:tcPr>
          <w:tcW w:w="2190" w:type="dxa"/>
        </w:tcPr>
        <w:p w:rsidR="00104784" w:rsidRPr="00130F37" w:rsidRDefault="00104784" w:rsidP="00A44C06">
          <w:pPr>
            <w:spacing w:before="120"/>
            <w:rPr>
              <w:sz w:val="16"/>
              <w:szCs w:val="16"/>
            </w:rPr>
          </w:pPr>
          <w:r w:rsidRPr="00130F37">
            <w:rPr>
              <w:sz w:val="16"/>
              <w:szCs w:val="16"/>
            </w:rPr>
            <w:t xml:space="preserve">Compilation No. </w:t>
          </w:r>
          <w:r>
            <w:rPr>
              <w:sz w:val="16"/>
              <w:szCs w:val="16"/>
            </w:rPr>
            <w:t>1</w:t>
          </w:r>
        </w:p>
      </w:tc>
      <w:tc>
        <w:tcPr>
          <w:tcW w:w="2920" w:type="dxa"/>
        </w:tcPr>
        <w:p w:rsidR="00104784" w:rsidRPr="00130F37" w:rsidRDefault="00104784" w:rsidP="00973736">
          <w:pPr>
            <w:spacing w:before="120"/>
            <w:jc w:val="center"/>
            <w:rPr>
              <w:sz w:val="16"/>
              <w:szCs w:val="16"/>
            </w:rPr>
          </w:pPr>
        </w:p>
      </w:tc>
      <w:tc>
        <w:tcPr>
          <w:tcW w:w="3645" w:type="dxa"/>
        </w:tcPr>
        <w:p w:rsidR="00104784" w:rsidRPr="00130F37" w:rsidRDefault="00104784" w:rsidP="00454CD0">
          <w:pPr>
            <w:spacing w:before="120"/>
            <w:jc w:val="right"/>
            <w:rPr>
              <w:sz w:val="16"/>
              <w:szCs w:val="16"/>
            </w:rPr>
          </w:pPr>
          <w:r w:rsidRPr="00130F37">
            <w:rPr>
              <w:sz w:val="16"/>
              <w:szCs w:val="16"/>
            </w:rPr>
            <w:t xml:space="preserve">Compilation date: </w:t>
          </w:r>
          <w:r>
            <w:rPr>
              <w:sz w:val="16"/>
              <w:szCs w:val="16"/>
            </w:rPr>
            <w:t>23/01/2017</w:t>
          </w:r>
        </w:p>
      </w:tc>
    </w:tr>
  </w:tbl>
  <w:p w:rsidR="00104784" w:rsidRDefault="00104784" w:rsidP="00B26714">
    <w:pPr>
      <w:rPr>
        <w:i/>
        <w:sz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E33C1C" w:rsidRDefault="00104784" w:rsidP="00CF2367">
    <w:pPr>
      <w:pBdr>
        <w:top w:val="single" w:sz="6" w:space="1" w:color="auto"/>
      </w:pBdr>
      <w:spacing w:line="0" w:lineRule="atLeast"/>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9"/>
      <w:gridCol w:w="709"/>
    </w:tblGrid>
    <w:tr w:rsidR="00104784" w:rsidRPr="00C01863" w:rsidTr="00C01863">
      <w:tc>
        <w:tcPr>
          <w:tcW w:w="1384" w:type="dxa"/>
          <w:tcBorders>
            <w:top w:val="nil"/>
            <w:left w:val="nil"/>
            <w:bottom w:val="nil"/>
            <w:right w:val="nil"/>
          </w:tcBorders>
          <w:shd w:val="clear" w:color="auto" w:fill="auto"/>
        </w:tcPr>
        <w:p w:rsidR="00104784" w:rsidRPr="00C01863" w:rsidRDefault="00104784" w:rsidP="00C01863">
          <w:pPr>
            <w:spacing w:line="0" w:lineRule="atLeast"/>
            <w:rPr>
              <w:sz w:val="18"/>
            </w:rPr>
          </w:pPr>
        </w:p>
      </w:tc>
      <w:tc>
        <w:tcPr>
          <w:tcW w:w="6379" w:type="dxa"/>
          <w:tcBorders>
            <w:top w:val="nil"/>
            <w:left w:val="nil"/>
            <w:bottom w:val="nil"/>
            <w:right w:val="nil"/>
          </w:tcBorders>
          <w:shd w:val="clear" w:color="auto" w:fill="auto"/>
        </w:tcPr>
        <w:p w:rsidR="00104784" w:rsidRPr="00C01863" w:rsidRDefault="00104784" w:rsidP="00C01863">
          <w:pPr>
            <w:spacing w:line="0" w:lineRule="atLeast"/>
            <w:jc w:val="center"/>
            <w:rPr>
              <w:sz w:val="18"/>
            </w:rPr>
          </w:pPr>
          <w:r w:rsidRPr="00C01863">
            <w:rPr>
              <w:i/>
              <w:sz w:val="18"/>
            </w:rPr>
            <w:fldChar w:fldCharType="begin"/>
          </w:r>
          <w:r w:rsidRPr="00C01863">
            <w:rPr>
              <w:i/>
              <w:sz w:val="18"/>
            </w:rPr>
            <w:instrText xml:space="preserve"> DOCPROPERTY ShortT </w:instrText>
          </w:r>
          <w:r w:rsidRPr="00C01863">
            <w:rPr>
              <w:i/>
              <w:sz w:val="18"/>
            </w:rPr>
            <w:fldChar w:fldCharType="separate"/>
          </w:r>
          <w:r>
            <w:rPr>
              <w:b/>
              <w:bCs/>
              <w:i/>
              <w:sz w:val="18"/>
              <w:lang w:val="en-US"/>
            </w:rPr>
            <w:t>Error! Unknown document property name.</w:t>
          </w:r>
          <w:r w:rsidRPr="00C01863">
            <w:rPr>
              <w:i/>
              <w:sz w:val="18"/>
            </w:rPr>
            <w:fldChar w:fldCharType="end"/>
          </w:r>
        </w:p>
      </w:tc>
      <w:tc>
        <w:tcPr>
          <w:tcW w:w="709" w:type="dxa"/>
          <w:tcBorders>
            <w:top w:val="nil"/>
            <w:left w:val="nil"/>
            <w:bottom w:val="nil"/>
            <w:right w:val="nil"/>
          </w:tcBorders>
          <w:shd w:val="clear" w:color="auto" w:fill="auto"/>
        </w:tcPr>
        <w:p w:rsidR="00104784" w:rsidRPr="00C01863" w:rsidRDefault="00104784" w:rsidP="00C01863">
          <w:pPr>
            <w:spacing w:line="0" w:lineRule="atLeast"/>
            <w:jc w:val="right"/>
            <w:rPr>
              <w:sz w:val="18"/>
            </w:rPr>
          </w:pPr>
          <w:r w:rsidRPr="00C01863">
            <w:rPr>
              <w:i/>
              <w:sz w:val="18"/>
            </w:rPr>
            <w:fldChar w:fldCharType="begin"/>
          </w:r>
          <w:r w:rsidRPr="00C01863">
            <w:rPr>
              <w:i/>
              <w:sz w:val="18"/>
            </w:rPr>
            <w:instrText xml:space="preserve"> PAGE </w:instrText>
          </w:r>
          <w:r w:rsidRPr="00C01863">
            <w:rPr>
              <w:i/>
              <w:sz w:val="18"/>
            </w:rPr>
            <w:fldChar w:fldCharType="separate"/>
          </w:r>
          <w:r>
            <w:rPr>
              <w:i/>
              <w:noProof/>
              <w:sz w:val="18"/>
            </w:rPr>
            <w:t>5</w:t>
          </w:r>
          <w:r w:rsidRPr="00C01863">
            <w:rPr>
              <w:i/>
              <w:sz w:val="18"/>
            </w:rPr>
            <w:fldChar w:fldCharType="end"/>
          </w:r>
        </w:p>
      </w:tc>
    </w:tr>
    <w:tr w:rsidR="00104784" w:rsidRPr="00C01863" w:rsidTr="00C018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shd w:val="clear" w:color="auto" w:fill="auto"/>
        </w:tcPr>
        <w:p w:rsidR="00104784" w:rsidRPr="00C01863" w:rsidRDefault="00104784" w:rsidP="00CF2367">
          <w:pPr>
            <w:rPr>
              <w:sz w:val="18"/>
            </w:rPr>
          </w:pPr>
          <w:r w:rsidRPr="00C01863">
            <w:rPr>
              <w:i/>
              <w:noProof/>
              <w:sz w:val="18"/>
            </w:rPr>
            <w:t>I14KM212.v02.docx</w:t>
          </w:r>
          <w:r w:rsidRPr="00C01863">
            <w:rPr>
              <w:i/>
              <w:sz w:val="18"/>
            </w:rPr>
            <w:t xml:space="preserve"> </w:t>
          </w:r>
          <w:r w:rsidRPr="00C01863">
            <w:rPr>
              <w:i/>
              <w:noProof/>
              <w:sz w:val="18"/>
            </w:rPr>
            <w:t>4/12/2014 4:13 PM</w:t>
          </w:r>
        </w:p>
      </w:tc>
    </w:tr>
  </w:tbl>
  <w:p w:rsidR="00104784" w:rsidRPr="00ED79B6" w:rsidRDefault="00104784" w:rsidP="00CF2367">
    <w:pPr>
      <w:rPr>
        <w:i/>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784" w:rsidRDefault="00104784" w:rsidP="00715914">
      <w:pPr>
        <w:spacing w:line="240" w:lineRule="auto"/>
      </w:pPr>
      <w:r>
        <w:separator/>
      </w:r>
    </w:p>
  </w:footnote>
  <w:footnote w:type="continuationSeparator" w:id="0">
    <w:p w:rsidR="00104784" w:rsidRDefault="00104784" w:rsidP="007159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Default="00104784" w:rsidP="00973736">
    <w:pPr>
      <w:pStyle w:val="Header"/>
      <w:pBdr>
        <w:bottom w:val="single" w:sz="4" w:space="1" w:color="auto"/>
      </w:pBdr>
      <w:tabs>
        <w:tab w:val="clear" w:pos="4150"/>
        <w:tab w:val="clear" w:pos="8307"/>
      </w:tabs>
    </w:pPr>
  </w:p>
  <w:p w:rsidR="00104784" w:rsidRDefault="00104784" w:rsidP="00973736">
    <w:pPr>
      <w:pStyle w:val="Header"/>
      <w:pBdr>
        <w:bottom w:val="single" w:sz="4" w:space="1" w:color="auto"/>
      </w:pBdr>
      <w:tabs>
        <w:tab w:val="clear" w:pos="4150"/>
        <w:tab w:val="clear" w:pos="8307"/>
      </w:tabs>
    </w:pPr>
  </w:p>
  <w:p w:rsidR="00104784" w:rsidRPr="005F1388" w:rsidRDefault="00104784" w:rsidP="00973736">
    <w:pPr>
      <w:pStyle w:val="Header"/>
      <w:pBdr>
        <w:bottom w:val="single" w:sz="4" w:space="1" w:color="auto"/>
      </w:pBdr>
      <w:tabs>
        <w:tab w:val="clear" w:pos="4150"/>
        <w:tab w:val="clear" w:pos="8307"/>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7A1328" w:rsidRDefault="00104784" w:rsidP="007159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5F1388" w:rsidRDefault="00104784" w:rsidP="00973736">
    <w:pPr>
      <w:pStyle w:val="Header"/>
      <w:tabs>
        <w:tab w:val="clear" w:pos="4150"/>
        <w:tab w:val="clear" w:pos="830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Default="00104784">
    <w:pPr>
      <w:rPr>
        <w:sz w:val="20"/>
      </w:rPr>
    </w:pPr>
    <w:r>
      <w:rPr>
        <w:b/>
        <w:sz w:val="20"/>
      </w:rPr>
      <w:fldChar w:fldCharType="begin"/>
    </w:r>
    <w:r>
      <w:rPr>
        <w:b/>
        <w:sz w:val="20"/>
      </w:rPr>
      <w:instrText xml:space="preserve"> STYLEREF CharAmSchNo </w:instrText>
    </w:r>
    <w:r>
      <w:rPr>
        <w:b/>
        <w:sz w:val="20"/>
      </w:rPr>
      <w:fldChar w:fldCharType="separate"/>
    </w:r>
    <w:r w:rsidR="002325B1">
      <w:rPr>
        <w:b/>
        <w:noProof/>
        <w:sz w:val="20"/>
      </w:rPr>
      <w:t>Schedule 1</w:t>
    </w:r>
    <w:r>
      <w:rPr>
        <w:b/>
        <w:sz w:val="20"/>
      </w:rPr>
      <w:fldChar w:fldCharType="end"/>
    </w:r>
    <w:r>
      <w:rPr>
        <w:sz w:val="20"/>
      </w:rPr>
      <w:t xml:space="preserve"> - </w:t>
    </w:r>
    <w:r>
      <w:rPr>
        <w:sz w:val="20"/>
      </w:rPr>
      <w:fldChar w:fldCharType="begin"/>
    </w:r>
    <w:r>
      <w:rPr>
        <w:sz w:val="20"/>
      </w:rPr>
      <w:instrText xml:space="preserve"> STYLEREF CharAmSchText </w:instrText>
    </w:r>
    <w:r>
      <w:rPr>
        <w:sz w:val="20"/>
      </w:rPr>
      <w:fldChar w:fldCharType="separate"/>
    </w:r>
    <w:r w:rsidR="002325B1">
      <w:rPr>
        <w:noProof/>
        <w:sz w:val="20"/>
      </w:rPr>
      <w:t>Dictionary</w:t>
    </w:r>
    <w:r>
      <w:rPr>
        <w:sz w:val="20"/>
      </w:rPr>
      <w:fldChar w:fldCharType="end"/>
    </w:r>
  </w:p>
  <w:p w:rsidR="00104784" w:rsidRDefault="00104784">
    <w:pPr>
      <w:rPr>
        <w:b/>
        <w:sz w:val="20"/>
      </w:rPr>
    </w:pPr>
    <w:r>
      <w:rPr>
        <w:b/>
        <w:sz w:val="20"/>
      </w:rPr>
      <w:fldChar w:fldCharType="begin"/>
    </w:r>
    <w:r>
      <w:rPr>
        <w:b/>
        <w:sz w:val="20"/>
      </w:rPr>
      <w:instrText xml:space="preserve"> STYLEREF CharAmPartNo </w:instrText>
    </w:r>
    <w:r>
      <w:rPr>
        <w:b/>
        <w:sz w:val="20"/>
      </w:rPr>
      <w:fldChar w:fldCharType="end"/>
    </w:r>
    <w:r>
      <w:rPr>
        <w:sz w:val="20"/>
      </w:rPr>
      <w:fldChar w:fldCharType="begin"/>
    </w:r>
    <w:r>
      <w:rPr>
        <w:sz w:val="20"/>
      </w:rPr>
      <w:instrText xml:space="preserve"> STYLEREF CharAmPartText </w:instrText>
    </w:r>
    <w:r>
      <w:rPr>
        <w:sz w:val="20"/>
      </w:rPr>
      <w:fldChar w:fldCharType="end"/>
    </w:r>
  </w:p>
  <w:p w:rsidR="00104784" w:rsidRDefault="00104784" w:rsidP="00CF2367">
    <w:pPr>
      <w:pBdr>
        <w:bottom w:val="single" w:sz="6" w:space="1" w:color="auto"/>
      </w:pBdr>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Default="00104784" w:rsidP="0053697E">
    <w:pPr>
      <w:rPr>
        <w:sz w:val="20"/>
      </w:rPr>
    </w:pPr>
    <w:r>
      <w:rPr>
        <w:b/>
        <w:sz w:val="20"/>
      </w:rPr>
      <w:fldChar w:fldCharType="begin"/>
    </w:r>
    <w:r>
      <w:rPr>
        <w:b/>
        <w:sz w:val="20"/>
      </w:rPr>
      <w:instrText xml:space="preserve"> STYLEREF CharAmSchNo </w:instrText>
    </w:r>
    <w:r>
      <w:rPr>
        <w:b/>
        <w:sz w:val="20"/>
      </w:rPr>
      <w:fldChar w:fldCharType="separate"/>
    </w:r>
    <w:r w:rsidR="002325B1">
      <w:rPr>
        <w:b/>
        <w:noProof/>
        <w:sz w:val="20"/>
      </w:rPr>
      <w:t>Schedule 1</w:t>
    </w:r>
    <w:r>
      <w:rPr>
        <w:b/>
        <w:sz w:val="20"/>
      </w:rPr>
      <w:fldChar w:fldCharType="end"/>
    </w:r>
    <w:r>
      <w:rPr>
        <w:sz w:val="20"/>
      </w:rPr>
      <w:t xml:space="preserve"> - </w:t>
    </w:r>
    <w:r>
      <w:rPr>
        <w:sz w:val="20"/>
      </w:rPr>
      <w:fldChar w:fldCharType="begin"/>
    </w:r>
    <w:r>
      <w:rPr>
        <w:sz w:val="20"/>
      </w:rPr>
      <w:instrText xml:space="preserve"> STYLEREF CharAmSchText </w:instrText>
    </w:r>
    <w:r>
      <w:rPr>
        <w:sz w:val="20"/>
      </w:rPr>
      <w:fldChar w:fldCharType="separate"/>
    </w:r>
    <w:r w:rsidR="002325B1">
      <w:rPr>
        <w:noProof/>
        <w:sz w:val="20"/>
      </w:rPr>
      <w:t>Dictionary</w:t>
    </w:r>
    <w:r>
      <w:rPr>
        <w:sz w:val="20"/>
      </w:rPr>
      <w:fldChar w:fldCharType="end"/>
    </w:r>
  </w:p>
  <w:p w:rsidR="00104784" w:rsidRDefault="00104784" w:rsidP="0053697E">
    <w:pPr>
      <w:rPr>
        <w:b/>
        <w:sz w:val="20"/>
      </w:rPr>
    </w:pPr>
    <w:r>
      <w:rPr>
        <w:sz w:val="20"/>
      </w:rPr>
      <w:fldChar w:fldCharType="begin"/>
    </w:r>
    <w:r>
      <w:rPr>
        <w:sz w:val="20"/>
      </w:rPr>
      <w:instrText xml:space="preserve"> STYLEREF CharAmPartText </w:instrText>
    </w:r>
    <w:r>
      <w:rPr>
        <w:sz w:val="20"/>
      </w:rPr>
      <w:fldChar w:fldCharType="end"/>
    </w:r>
    <w:r>
      <w:rPr>
        <w:b/>
        <w:sz w:val="20"/>
      </w:rPr>
      <w:fldChar w:fldCharType="begin"/>
    </w:r>
    <w:r>
      <w:rPr>
        <w:b/>
        <w:sz w:val="20"/>
      </w:rPr>
      <w:instrText xml:space="preserve"> STYLEREF CharAmPartNo </w:instrText>
    </w:r>
    <w:r>
      <w:rPr>
        <w:b/>
        <w:sz w:val="20"/>
      </w:rPr>
      <w:fldChar w:fldCharType="end"/>
    </w:r>
  </w:p>
  <w:p w:rsidR="00104784" w:rsidRDefault="00104784" w:rsidP="0053697E">
    <w:pPr>
      <w:pBdr>
        <w:bottom w:val="single" w:sz="6" w:space="1" w:color="auto"/>
      </w:pBdr>
      <w:spacing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Default="0010478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C4473E" w:rsidRDefault="00104784" w:rsidP="00973736">
    <w:pPr>
      <w:jc w:val="right"/>
      <w:rPr>
        <w:sz w:val="26"/>
        <w:szCs w:val="26"/>
      </w:rPr>
    </w:pPr>
  </w:p>
  <w:p w:rsidR="00104784" w:rsidRPr="00965EE7" w:rsidRDefault="00104784" w:rsidP="00973736">
    <w:pPr>
      <w:jc w:val="right"/>
      <w:rPr>
        <w:b/>
        <w:sz w:val="20"/>
      </w:rPr>
    </w:pPr>
    <w:r w:rsidRPr="00965EE7">
      <w:rPr>
        <w:b/>
        <w:sz w:val="20"/>
      </w:rPr>
      <w:t>Endnotes</w:t>
    </w:r>
  </w:p>
  <w:p w:rsidR="00104784" w:rsidRPr="007A1328" w:rsidRDefault="00104784" w:rsidP="00973736">
    <w:pPr>
      <w:jc w:val="right"/>
      <w:rPr>
        <w:sz w:val="20"/>
      </w:rPr>
    </w:pPr>
  </w:p>
  <w:p w:rsidR="00104784" w:rsidRPr="007A1328" w:rsidRDefault="00104784" w:rsidP="00973736">
    <w:pPr>
      <w:jc w:val="right"/>
      <w:rPr>
        <w:b/>
        <w:sz w:val="24"/>
      </w:rPr>
    </w:pPr>
  </w:p>
  <w:p w:rsidR="00104784" w:rsidRPr="00C4473E" w:rsidRDefault="00104784" w:rsidP="00973736">
    <w:pPr>
      <w:pBdr>
        <w:bottom w:val="single" w:sz="6" w:space="1" w:color="auto"/>
      </w:pBdr>
      <w:jc w:val="right"/>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sidR="002325B1">
      <w:rPr>
        <w:noProof/>
        <w:szCs w:val="22"/>
      </w:rPr>
      <w:t>Endnote 3—Legislation history</w:t>
    </w:r>
    <w:r w:rsidRPr="00C4473E">
      <w:rPr>
        <w:szCs w:val="22"/>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C4473E" w:rsidRDefault="00104784" w:rsidP="00973736">
    <w:pPr>
      <w:jc w:val="right"/>
      <w:rPr>
        <w:sz w:val="26"/>
        <w:szCs w:val="26"/>
      </w:rPr>
    </w:pPr>
  </w:p>
  <w:p w:rsidR="00104784" w:rsidRPr="00965EE7" w:rsidRDefault="00104784" w:rsidP="00973736">
    <w:pPr>
      <w:jc w:val="right"/>
      <w:rPr>
        <w:b/>
        <w:sz w:val="20"/>
      </w:rPr>
    </w:pPr>
    <w:r w:rsidRPr="00965EE7">
      <w:rPr>
        <w:b/>
        <w:sz w:val="20"/>
      </w:rPr>
      <w:t>Endnotes</w:t>
    </w:r>
  </w:p>
  <w:p w:rsidR="00104784" w:rsidRPr="007A1328" w:rsidRDefault="00104784" w:rsidP="00973736">
    <w:pPr>
      <w:jc w:val="right"/>
      <w:rPr>
        <w:sz w:val="20"/>
      </w:rPr>
    </w:pPr>
  </w:p>
  <w:p w:rsidR="00104784" w:rsidRPr="007A1328" w:rsidRDefault="00104784" w:rsidP="00973736">
    <w:pPr>
      <w:jc w:val="right"/>
      <w:rPr>
        <w:b/>
        <w:sz w:val="24"/>
      </w:rPr>
    </w:pPr>
  </w:p>
  <w:p w:rsidR="00104784" w:rsidRPr="00C4473E" w:rsidRDefault="00104784" w:rsidP="00973736">
    <w:pPr>
      <w:pBdr>
        <w:bottom w:val="single" w:sz="6" w:space="1" w:color="auto"/>
      </w:pBdr>
      <w:jc w:val="right"/>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sidR="002325B1">
      <w:rPr>
        <w:noProof/>
        <w:szCs w:val="22"/>
      </w:rPr>
      <w:t>Endnote 4—Amendment history</w:t>
    </w:r>
    <w:r w:rsidRPr="00C4473E">
      <w:rPr>
        <w:szCs w:val="22"/>
      </w:rPr>
      <w:fldChar w:fldCharType="end"/>
    </w:r>
  </w:p>
  <w:p w:rsidR="00104784" w:rsidRDefault="0010478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C4473E" w:rsidRDefault="00104784" w:rsidP="001A0F57">
    <w:pPr>
      <w:jc w:val="right"/>
      <w:rPr>
        <w:sz w:val="26"/>
        <w:szCs w:val="26"/>
      </w:rPr>
    </w:pPr>
  </w:p>
  <w:p w:rsidR="00104784" w:rsidRPr="00965EE7" w:rsidRDefault="00104784" w:rsidP="001A0F57">
    <w:pPr>
      <w:jc w:val="right"/>
      <w:rPr>
        <w:b/>
        <w:sz w:val="20"/>
      </w:rPr>
    </w:pPr>
    <w:r w:rsidRPr="00965EE7">
      <w:rPr>
        <w:b/>
        <w:sz w:val="20"/>
      </w:rPr>
      <w:t>Endnotes</w:t>
    </w:r>
  </w:p>
  <w:p w:rsidR="00104784" w:rsidRPr="007A1328" w:rsidRDefault="00104784" w:rsidP="001A0F57">
    <w:pPr>
      <w:jc w:val="right"/>
      <w:rPr>
        <w:sz w:val="20"/>
      </w:rPr>
    </w:pPr>
  </w:p>
  <w:p w:rsidR="00104784" w:rsidRDefault="00104784" w:rsidP="001A0F57">
    <w:pPr>
      <w:jc w:val="right"/>
      <w:rPr>
        <w:b/>
        <w:sz w:val="24"/>
      </w:rPr>
    </w:pPr>
  </w:p>
  <w:p w:rsidR="00104784" w:rsidRDefault="00104784" w:rsidP="001A0F57">
    <w:pPr>
      <w:pBdr>
        <w:bottom w:val="single" w:sz="12" w:space="1" w:color="auto"/>
      </w:pBdr>
      <w:jc w:val="right"/>
      <w:rPr>
        <w:szCs w:val="22"/>
      </w:rPr>
    </w:pPr>
    <w:r>
      <w:rPr>
        <w:szCs w:val="22"/>
      </w:rPr>
      <w:t>Endnote 3</w:t>
    </w:r>
    <w:r w:rsidRPr="001A0F57">
      <w:rPr>
        <w:szCs w:val="22"/>
      </w:rPr>
      <w:t xml:space="preserve"> – </w:t>
    </w:r>
    <w:r>
      <w:rPr>
        <w:szCs w:val="22"/>
      </w:rPr>
      <w:t>Legislation history</w:t>
    </w:r>
  </w:p>
  <w:p w:rsidR="00104784" w:rsidRPr="001A0F57" w:rsidRDefault="00104784" w:rsidP="001A0F57">
    <w:pPr>
      <w:jc w:val="right"/>
      <w:rPr>
        <w:szCs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784" w:rsidRPr="007A1328" w:rsidRDefault="00104784" w:rsidP="001A0F57">
    <w:pPr>
      <w:rPr>
        <w:sz w:val="20"/>
      </w:rPr>
    </w:pPr>
    <w:r>
      <w:rPr>
        <w:noProof/>
        <w:lang w:eastAsia="en-AU"/>
      </w:rPr>
      <mc:AlternateContent>
        <mc:Choice Requires="wps">
          <w:drawing>
            <wp:anchor distT="0" distB="0" distL="114300" distR="114300" simplePos="0" relativeHeight="251656192" behindDoc="1" locked="0" layoutInCell="1" allowOverlap="1" wp14:anchorId="27C42CD3" wp14:editId="2BF86B34">
              <wp:simplePos x="0" y="0"/>
              <wp:positionH relativeFrom="column">
                <wp:align>center</wp:align>
              </wp:positionH>
              <wp:positionV relativeFrom="page">
                <wp:posOffset>143510</wp:posOffset>
              </wp:positionV>
              <wp:extent cx="4410075" cy="40005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400050"/>
                      </a:xfrm>
                      <a:prstGeom prst="rect">
                        <a:avLst/>
                      </a:prstGeom>
                      <a:solidFill>
                        <a:srgbClr val="FFFFFF"/>
                      </a:solid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rsidR="00104784" w:rsidRPr="00284719" w:rsidRDefault="00104784" w:rsidP="00284719">
                          <w:pPr>
                            <w:jc w:val="center"/>
                            <w:rPr>
                              <w:rFonts w:ascii="Arial" w:hAnsi="Arial" w:cs="Arial"/>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42CD3" id="_x0000_t202" coordsize="21600,21600" o:spt="202" path="m,l,21600r21600,l21600,xe">
              <v:stroke joinstyle="miter"/>
              <v:path gradientshapeok="t" o:connecttype="rect"/>
            </v:shapetype>
            <v:shape id="Text Box 18" o:spid="_x0000_s1026" type="#_x0000_t202" style="position:absolute;margin-left:0;margin-top:11.3pt;width:347.25pt;height:31.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" stroked="f">
              <v:stroke joinstyle="round"/>
              <v:path arrowok="t"/>
              <v:textbox>
                <w:txbxContent>
                  <w:p w:rsidR="00567687" w:rsidRPr="00284719" w:rsidRDefault="00567687" w:rsidP="00284719">
                    <w:pPr>
                      <w:jc w:val="center"/>
                      <w:rPr>
                        <w:rFonts w:ascii="Arial" w:hAnsi="Arial" w:cs="Arial"/>
                        <w:b/>
                        <w:sz w:val="40"/>
                      </w:rPr>
                    </w:pPr>
                  </w:p>
                </w:txbxContent>
              </v:textbox>
              <w10:wrap anchory="page"/>
            </v:shape>
          </w:pict>
        </mc:Fallback>
      </mc:AlternateContent>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rsidR="00104784" w:rsidRPr="00965EE7" w:rsidRDefault="00104784" w:rsidP="001A0F57">
    <w:pPr>
      <w:jc w:val="right"/>
      <w:rPr>
        <w:b/>
        <w:sz w:val="20"/>
      </w:rPr>
    </w:pPr>
    <w:r w:rsidRPr="00965EE7">
      <w:rPr>
        <w:b/>
        <w:sz w:val="20"/>
      </w:rPr>
      <w:t>Endnotes</w:t>
    </w:r>
  </w:p>
  <w:p w:rsidR="00104784" w:rsidRPr="007A1328" w:rsidRDefault="00104784" w:rsidP="001A0F57">
    <w:pPr>
      <w:jc w:val="right"/>
      <w:rPr>
        <w:sz w:val="20"/>
      </w:rPr>
    </w:pPr>
  </w:p>
  <w:p w:rsidR="00104784" w:rsidRDefault="00104784" w:rsidP="001A0F57">
    <w:pPr>
      <w:jc w:val="right"/>
      <w:rPr>
        <w:b/>
        <w:sz w:val="24"/>
      </w:rPr>
    </w:pPr>
  </w:p>
  <w:p w:rsidR="00104784" w:rsidRDefault="00104784" w:rsidP="001A0F57">
    <w:pPr>
      <w:pBdr>
        <w:bottom w:val="single" w:sz="12" w:space="1" w:color="auto"/>
      </w:pBdr>
      <w:jc w:val="right"/>
      <w:rPr>
        <w:szCs w:val="22"/>
      </w:rPr>
    </w:pPr>
    <w:r w:rsidRPr="001A0F57">
      <w:rPr>
        <w:szCs w:val="22"/>
      </w:rPr>
      <w:t xml:space="preserve">Endnote </w:t>
    </w:r>
    <w:r>
      <w:rPr>
        <w:szCs w:val="22"/>
      </w:rPr>
      <w:t>2</w:t>
    </w:r>
    <w:r w:rsidRPr="001A0F57">
      <w:rPr>
        <w:szCs w:val="22"/>
      </w:rPr>
      <w:t xml:space="preserve"> – A</w:t>
    </w:r>
    <w:r>
      <w:rPr>
        <w:szCs w:val="22"/>
      </w:rPr>
      <w:t>bbreviation 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BC23E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4852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2620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B4FC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CEC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8AD5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F05D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0FC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92CA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D8C7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D52"/>
    <w:multiLevelType w:val="multilevel"/>
    <w:tmpl w:val="4B08BFAE"/>
    <w:lvl w:ilvl="0">
      <w:start w:val="1"/>
      <w:numFmt w:val="decimal"/>
      <w:pStyle w:val="LV1"/>
      <w:lvlText w:val="%1"/>
      <w:lvlJc w:val="left"/>
      <w:pPr>
        <w:ind w:left="907" w:hanging="567"/>
      </w:pPr>
      <w:rPr>
        <w:rFonts w:hint="default"/>
      </w:rPr>
    </w:lvl>
    <w:lvl w:ilvl="1">
      <w:start w:val="1"/>
      <w:numFmt w:val="decimal"/>
      <w:pStyle w:val="LV2"/>
      <w:lvlText w:val="(%2)"/>
      <w:lvlJc w:val="left"/>
      <w:pPr>
        <w:ind w:left="1474" w:hanging="567"/>
      </w:pPr>
      <w:rPr>
        <w:rFonts w:hint="default"/>
        <w:b w:val="0"/>
        <w:i w:val="0"/>
      </w:rPr>
    </w:lvl>
    <w:lvl w:ilvl="2">
      <w:start w:val="1"/>
      <w:numFmt w:val="lowerLetter"/>
      <w:pStyle w:val="LV3"/>
      <w:lvlText w:val="(%3)"/>
      <w:lvlJc w:val="left"/>
      <w:pPr>
        <w:ind w:left="2041" w:hanging="567"/>
      </w:pPr>
      <w:rPr>
        <w:rFonts w:hint="default"/>
        <w:b w:val="0"/>
        <w:i w:val="0"/>
      </w:rPr>
    </w:lvl>
    <w:lvl w:ilvl="3">
      <w:start w:val="1"/>
      <w:numFmt w:val="lowerRoman"/>
      <w:pStyle w:val="LV4"/>
      <w:lvlText w:val="(%4)"/>
      <w:lvlJc w:val="left"/>
      <w:pPr>
        <w:ind w:left="2694" w:hanging="567"/>
      </w:pPr>
      <w:rPr>
        <w:rFonts w:hint="default"/>
      </w:rPr>
    </w:lvl>
    <w:lvl w:ilvl="4">
      <w:start w:val="1"/>
      <w:numFmt w:val="bullet"/>
      <w:pStyle w:val="LV5"/>
      <w:lvlText w:val=""/>
      <w:lvlJc w:val="left"/>
      <w:pPr>
        <w:ind w:left="3175" w:hanging="567"/>
      </w:pPr>
      <w:rPr>
        <w:rFonts w:ascii="Symbol" w:hAnsi="Symbol" w:hint="default"/>
        <w:color w:val="auto"/>
      </w:rPr>
    </w:lvl>
    <w:lvl w:ilvl="5">
      <w:start w:val="1"/>
      <w:numFmt w:val="lowerRoman"/>
      <w:lvlText w:val="(%6)"/>
      <w:lvlJc w:val="left"/>
      <w:pPr>
        <w:tabs>
          <w:tab w:val="num" w:pos="1134"/>
        </w:tabs>
        <w:ind w:left="720" w:hanging="363"/>
      </w:pPr>
      <w:rPr>
        <w:rFonts w:hint="default"/>
      </w:rPr>
    </w:lvl>
    <w:lvl w:ilvl="6">
      <w:start w:val="1"/>
      <w:numFmt w:val="decimal"/>
      <w:lvlText w:val="%7."/>
      <w:lvlJc w:val="left"/>
      <w:pPr>
        <w:tabs>
          <w:tab w:val="num" w:pos="1134"/>
        </w:tabs>
        <w:ind w:left="720" w:hanging="363"/>
      </w:pPr>
      <w:rPr>
        <w:rFonts w:hint="default"/>
      </w:rPr>
    </w:lvl>
    <w:lvl w:ilvl="7">
      <w:start w:val="1"/>
      <w:numFmt w:val="lowerLetter"/>
      <w:lvlText w:val="%8."/>
      <w:lvlJc w:val="left"/>
      <w:pPr>
        <w:tabs>
          <w:tab w:val="num" w:pos="1134"/>
        </w:tabs>
        <w:ind w:left="720" w:hanging="363"/>
      </w:pPr>
      <w:rPr>
        <w:rFonts w:hint="default"/>
      </w:rPr>
    </w:lvl>
    <w:lvl w:ilvl="8">
      <w:start w:val="1"/>
      <w:numFmt w:val="lowerRoman"/>
      <w:lvlText w:val="%9."/>
      <w:lvlJc w:val="left"/>
      <w:pPr>
        <w:tabs>
          <w:tab w:val="num" w:pos="1134"/>
        </w:tabs>
        <w:ind w:left="720" w:hanging="363"/>
      </w:pPr>
      <w:rPr>
        <w:rFonts w:hint="default"/>
      </w:rPr>
    </w:lvl>
  </w:abstractNum>
  <w:abstractNum w:abstractNumId="11" w15:restartNumberingAfterBreak="0">
    <w:nsid w:val="0A2030B9"/>
    <w:multiLevelType w:val="multilevel"/>
    <w:tmpl w:val="7CFADF7A"/>
    <w:lvl w:ilvl="0">
      <w:start w:val="1"/>
      <w:numFmt w:val="decimal"/>
      <w:pStyle w:val="Heading2"/>
      <w:lvlText w:val="%1"/>
      <w:lvlJc w:val="left"/>
      <w:pPr>
        <w:ind w:left="720" w:hanging="363"/>
      </w:pPr>
      <w:rPr>
        <w:rFonts w:hint="default"/>
      </w:rPr>
    </w:lvl>
    <w:lvl w:ilvl="1">
      <w:start w:val="1"/>
      <w:numFmt w:val="decimal"/>
      <w:lvlText w:val="(%2)"/>
      <w:lvlJc w:val="left"/>
      <w:pPr>
        <w:ind w:left="1440" w:hanging="363"/>
      </w:pPr>
      <w:rPr>
        <w:rFonts w:hint="default"/>
      </w:rPr>
    </w:lvl>
    <w:lvl w:ilvl="2">
      <w:start w:val="1"/>
      <w:numFmt w:val="lowerLetter"/>
      <w:lvlText w:val="(%3)"/>
      <w:lvlJc w:val="right"/>
      <w:pPr>
        <w:ind w:left="2160" w:hanging="363"/>
      </w:pPr>
      <w:rPr>
        <w:rFonts w:hint="default"/>
      </w:rPr>
    </w:lvl>
    <w:lvl w:ilvl="3">
      <w:start w:val="1"/>
      <w:numFmt w:val="lowerRoman"/>
      <w:lvlText w:val="%4."/>
      <w:lvlJc w:val="left"/>
      <w:pPr>
        <w:ind w:left="2880" w:hanging="363"/>
      </w:pPr>
      <w:rPr>
        <w:rFonts w:hint="default"/>
      </w:rPr>
    </w:lvl>
    <w:lvl w:ilvl="4">
      <w:start w:val="1"/>
      <w:numFmt w:val="bullet"/>
      <w:lvlText w:val=""/>
      <w:lvlJc w:val="left"/>
      <w:pPr>
        <w:ind w:left="3600" w:hanging="363"/>
      </w:pPr>
      <w:rPr>
        <w:rFonts w:ascii="Symbol" w:hAnsi="Symbol" w:hint="default"/>
        <w:color w:val="auto"/>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167B17F0"/>
    <w:multiLevelType w:val="hybridMultilevel"/>
    <w:tmpl w:val="20CC79A6"/>
    <w:lvl w:ilvl="0" w:tplc="6054CA48">
      <w:start w:val="1"/>
      <w:numFmt w:val="lowerRoman"/>
      <w:lvlText w:val="(%1)"/>
      <w:lvlJc w:val="left"/>
      <w:pPr>
        <w:ind w:left="754" w:hanging="360"/>
      </w:pPr>
      <w:rPr>
        <w:rFonts w:hint="default"/>
      </w:r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3" w15:restartNumberingAfterBreak="0">
    <w:nsid w:val="2B860176"/>
    <w:multiLevelType w:val="hybridMultilevel"/>
    <w:tmpl w:val="549C645C"/>
    <w:lvl w:ilvl="0" w:tplc="5BC053CC">
      <w:start w:val="1"/>
      <w:numFmt w:val="lowerLetter"/>
      <w:lvlText w:val="(%1)"/>
      <w:lvlJc w:val="left"/>
      <w:pPr>
        <w:ind w:left="2149" w:hanging="360"/>
      </w:pPr>
      <w:rPr>
        <w:rFonts w:hint="default"/>
      </w:rPr>
    </w:lvl>
    <w:lvl w:ilvl="1" w:tplc="0C090019">
      <w:start w:val="1"/>
      <w:numFmt w:val="lowerLetter"/>
      <w:lvlText w:val="%2."/>
      <w:lvlJc w:val="left"/>
      <w:pPr>
        <w:ind w:left="2869" w:hanging="360"/>
      </w:pPr>
    </w:lvl>
    <w:lvl w:ilvl="2" w:tplc="0C09001B" w:tentative="1">
      <w:start w:val="1"/>
      <w:numFmt w:val="lowerRoman"/>
      <w:lvlText w:val="%3."/>
      <w:lvlJc w:val="right"/>
      <w:pPr>
        <w:ind w:left="3589" w:hanging="180"/>
      </w:pPr>
    </w:lvl>
    <w:lvl w:ilvl="3" w:tplc="0C09000F" w:tentative="1">
      <w:start w:val="1"/>
      <w:numFmt w:val="decimal"/>
      <w:lvlText w:val="%4."/>
      <w:lvlJc w:val="left"/>
      <w:pPr>
        <w:ind w:left="4309" w:hanging="360"/>
      </w:pPr>
    </w:lvl>
    <w:lvl w:ilvl="4" w:tplc="0C090019" w:tentative="1">
      <w:start w:val="1"/>
      <w:numFmt w:val="lowerLetter"/>
      <w:lvlText w:val="%5."/>
      <w:lvlJc w:val="left"/>
      <w:pPr>
        <w:ind w:left="5029" w:hanging="360"/>
      </w:pPr>
    </w:lvl>
    <w:lvl w:ilvl="5" w:tplc="0C09001B" w:tentative="1">
      <w:start w:val="1"/>
      <w:numFmt w:val="lowerRoman"/>
      <w:lvlText w:val="%6."/>
      <w:lvlJc w:val="right"/>
      <w:pPr>
        <w:ind w:left="5749" w:hanging="180"/>
      </w:pPr>
    </w:lvl>
    <w:lvl w:ilvl="6" w:tplc="0C09000F" w:tentative="1">
      <w:start w:val="1"/>
      <w:numFmt w:val="decimal"/>
      <w:lvlText w:val="%7."/>
      <w:lvlJc w:val="left"/>
      <w:pPr>
        <w:ind w:left="6469" w:hanging="360"/>
      </w:pPr>
    </w:lvl>
    <w:lvl w:ilvl="7" w:tplc="0C090019" w:tentative="1">
      <w:start w:val="1"/>
      <w:numFmt w:val="lowerLetter"/>
      <w:lvlText w:val="%8."/>
      <w:lvlJc w:val="left"/>
      <w:pPr>
        <w:ind w:left="7189" w:hanging="360"/>
      </w:pPr>
    </w:lvl>
    <w:lvl w:ilvl="8" w:tplc="0C09001B" w:tentative="1">
      <w:start w:val="1"/>
      <w:numFmt w:val="lowerRoman"/>
      <w:lvlText w:val="%9."/>
      <w:lvlJc w:val="right"/>
      <w:pPr>
        <w:ind w:left="7909" w:hanging="180"/>
      </w:pPr>
    </w:lvl>
  </w:abstractNum>
  <w:abstractNum w:abstractNumId="14" w15:restartNumberingAfterBreak="0">
    <w:nsid w:val="31CF0228"/>
    <w:multiLevelType w:val="multilevel"/>
    <w:tmpl w:val="58F4170E"/>
    <w:lvl w:ilvl="0">
      <w:start w:val="1"/>
      <w:numFmt w:val="decimal"/>
      <w:pStyle w:val="SH1"/>
      <w:lvlText w:val="%1"/>
      <w:lvlJc w:val="left"/>
      <w:pPr>
        <w:ind w:left="907" w:hanging="567"/>
      </w:pPr>
      <w:rPr>
        <w:rFonts w:hint="default"/>
      </w:rPr>
    </w:lvl>
    <w:lvl w:ilvl="1">
      <w:start w:val="1"/>
      <w:numFmt w:val="none"/>
      <w:pStyle w:val="SH2"/>
      <w:lvlText w:val=""/>
      <w:lvlJc w:val="left"/>
      <w:pPr>
        <w:ind w:left="0" w:firstLine="340"/>
      </w:pPr>
      <w:rPr>
        <w:rFonts w:hint="default"/>
        <w:b w:val="0"/>
        <w:i w:val="0"/>
      </w:rPr>
    </w:lvl>
    <w:lvl w:ilvl="2">
      <w:start w:val="1"/>
      <w:numFmt w:val="none"/>
      <w:pStyle w:val="SH3"/>
      <w:lvlText w:val=""/>
      <w:lvlJc w:val="left"/>
      <w:pPr>
        <w:ind w:left="0" w:firstLine="907"/>
      </w:pPr>
      <w:rPr>
        <w:rFonts w:hint="default"/>
        <w:b w:val="0"/>
        <w:i w:val="0"/>
      </w:rPr>
    </w:lvl>
    <w:lvl w:ilvl="3">
      <w:start w:val="1"/>
      <w:numFmt w:val="lowerLetter"/>
      <w:pStyle w:val="SH4"/>
      <w:lvlText w:val="(%4)"/>
      <w:lvlJc w:val="left"/>
      <w:pPr>
        <w:ind w:left="1474" w:hanging="567"/>
      </w:pPr>
      <w:rPr>
        <w:rFonts w:hint="default"/>
      </w:rPr>
    </w:lvl>
    <w:lvl w:ilvl="4">
      <w:start w:val="1"/>
      <w:numFmt w:val="lowerRoman"/>
      <w:pStyle w:val="SH5"/>
      <w:lvlText w:val="(%5)"/>
      <w:lvlJc w:val="left"/>
      <w:pPr>
        <w:ind w:left="2041" w:hanging="567"/>
      </w:pPr>
      <w:rPr>
        <w:rFonts w:hint="default"/>
        <w:color w:val="auto"/>
      </w:rPr>
    </w:lvl>
    <w:lvl w:ilvl="5">
      <w:start w:val="1"/>
      <w:numFmt w:val="lowerRoman"/>
      <w:lvlText w:val="(%6)"/>
      <w:lvlJc w:val="left"/>
      <w:pPr>
        <w:tabs>
          <w:tab w:val="num" w:pos="1134"/>
        </w:tabs>
        <w:ind w:left="720" w:hanging="363"/>
      </w:pPr>
      <w:rPr>
        <w:rFonts w:hint="default"/>
      </w:rPr>
    </w:lvl>
    <w:lvl w:ilvl="6">
      <w:start w:val="1"/>
      <w:numFmt w:val="decimal"/>
      <w:lvlText w:val="%7."/>
      <w:lvlJc w:val="left"/>
      <w:pPr>
        <w:tabs>
          <w:tab w:val="num" w:pos="1134"/>
        </w:tabs>
        <w:ind w:left="720" w:hanging="363"/>
      </w:pPr>
      <w:rPr>
        <w:rFonts w:hint="default"/>
      </w:rPr>
    </w:lvl>
    <w:lvl w:ilvl="7">
      <w:start w:val="1"/>
      <w:numFmt w:val="lowerLetter"/>
      <w:lvlText w:val="%8."/>
      <w:lvlJc w:val="left"/>
      <w:pPr>
        <w:tabs>
          <w:tab w:val="num" w:pos="1134"/>
        </w:tabs>
        <w:ind w:left="720" w:hanging="363"/>
      </w:pPr>
      <w:rPr>
        <w:rFonts w:hint="default"/>
      </w:rPr>
    </w:lvl>
    <w:lvl w:ilvl="8">
      <w:start w:val="1"/>
      <w:numFmt w:val="lowerRoman"/>
      <w:lvlText w:val="%9."/>
      <w:lvlJc w:val="left"/>
      <w:pPr>
        <w:tabs>
          <w:tab w:val="num" w:pos="1134"/>
        </w:tabs>
        <w:ind w:left="720" w:hanging="363"/>
      </w:pPr>
      <w:rPr>
        <w:rFonts w:hint="default"/>
      </w:rPr>
    </w:lvl>
  </w:abstractNum>
  <w:abstractNum w:abstractNumId="15" w15:restartNumberingAfterBreak="0">
    <w:nsid w:val="3ACA13B0"/>
    <w:multiLevelType w:val="hybridMultilevel"/>
    <w:tmpl w:val="9C807164"/>
    <w:lvl w:ilvl="0" w:tplc="61B61804">
      <w:start w:val="1"/>
      <w:numFmt w:val="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6" w15:restartNumberingAfterBreak="0">
    <w:nsid w:val="490E6070"/>
    <w:multiLevelType w:val="singleLevel"/>
    <w:tmpl w:val="58E2612C"/>
    <w:lvl w:ilvl="0">
      <w:start w:val="1"/>
      <w:numFmt w:val="lowerLetter"/>
      <w:lvlText w:val="(%1)"/>
      <w:lvlJc w:val="left"/>
      <w:pPr>
        <w:tabs>
          <w:tab w:val="num" w:pos="1440"/>
        </w:tabs>
        <w:ind w:left="1440" w:hanging="720"/>
      </w:pPr>
      <w:rPr>
        <w:rFonts w:hint="default"/>
        <w:sz w:val="24"/>
        <w:szCs w:val="24"/>
      </w:rPr>
    </w:lvl>
  </w:abstractNum>
  <w:abstractNum w:abstractNumId="17" w15:restartNumberingAfterBreak="0">
    <w:nsid w:val="53D308B1"/>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11"/>
  </w:num>
  <w:num w:numId="4">
    <w:abstractNumId w:val="10"/>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 w:numId="20">
    <w:abstractNumId w:val="16"/>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2"/>
  </w:num>
  <w:num w:numId="2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TrueTypeFonts/>
  <w:saveSubset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evenAndOddHeaders/>
  <w:drawingGridHorizontalSpacing w:val="110"/>
  <w:displayHorizontalDrawingGridEvery w:val="2"/>
  <w:characterSpacingControl w:val="doNotCompress"/>
  <w:hdrShapeDefaults>
    <o:shapedefaults v:ext="edit" spidmax="195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D7"/>
    <w:rsid w:val="000007B8"/>
    <w:rsid w:val="00004470"/>
    <w:rsid w:val="00012DB3"/>
    <w:rsid w:val="000136AF"/>
    <w:rsid w:val="0001587D"/>
    <w:rsid w:val="00023CA7"/>
    <w:rsid w:val="00024911"/>
    <w:rsid w:val="00032E05"/>
    <w:rsid w:val="000437C1"/>
    <w:rsid w:val="00046E67"/>
    <w:rsid w:val="00047651"/>
    <w:rsid w:val="00051B75"/>
    <w:rsid w:val="0005365D"/>
    <w:rsid w:val="00054930"/>
    <w:rsid w:val="000614BF"/>
    <w:rsid w:val="00061E3E"/>
    <w:rsid w:val="00081B7C"/>
    <w:rsid w:val="00084136"/>
    <w:rsid w:val="00085567"/>
    <w:rsid w:val="0008674F"/>
    <w:rsid w:val="0009687C"/>
    <w:rsid w:val="00097FDF"/>
    <w:rsid w:val="000B1350"/>
    <w:rsid w:val="000B58FA"/>
    <w:rsid w:val="000B7434"/>
    <w:rsid w:val="000C21A3"/>
    <w:rsid w:val="000C664A"/>
    <w:rsid w:val="000C6D96"/>
    <w:rsid w:val="000D05EF"/>
    <w:rsid w:val="000D4D03"/>
    <w:rsid w:val="000E2261"/>
    <w:rsid w:val="000E4183"/>
    <w:rsid w:val="000F21C1"/>
    <w:rsid w:val="000F76FA"/>
    <w:rsid w:val="00101F89"/>
    <w:rsid w:val="00104784"/>
    <w:rsid w:val="001058EA"/>
    <w:rsid w:val="0010745C"/>
    <w:rsid w:val="00122A51"/>
    <w:rsid w:val="00132CEB"/>
    <w:rsid w:val="00142B62"/>
    <w:rsid w:val="00147AE3"/>
    <w:rsid w:val="0015201F"/>
    <w:rsid w:val="00154DCA"/>
    <w:rsid w:val="00157B8B"/>
    <w:rsid w:val="00161A8E"/>
    <w:rsid w:val="001648F7"/>
    <w:rsid w:val="00166C2F"/>
    <w:rsid w:val="001809D7"/>
    <w:rsid w:val="001833C8"/>
    <w:rsid w:val="00187DE1"/>
    <w:rsid w:val="0019084F"/>
    <w:rsid w:val="001939E1"/>
    <w:rsid w:val="00194C3E"/>
    <w:rsid w:val="00195382"/>
    <w:rsid w:val="001A0F57"/>
    <w:rsid w:val="001B00F0"/>
    <w:rsid w:val="001B0F26"/>
    <w:rsid w:val="001C2AD2"/>
    <w:rsid w:val="001C61C5"/>
    <w:rsid w:val="001C69C4"/>
    <w:rsid w:val="001C6CFB"/>
    <w:rsid w:val="001C77EE"/>
    <w:rsid w:val="001D37EF"/>
    <w:rsid w:val="001D407A"/>
    <w:rsid w:val="001D67F6"/>
    <w:rsid w:val="001E3590"/>
    <w:rsid w:val="001E7407"/>
    <w:rsid w:val="001F4BD4"/>
    <w:rsid w:val="001F5D5E"/>
    <w:rsid w:val="001F6219"/>
    <w:rsid w:val="001F6CD4"/>
    <w:rsid w:val="00206C4D"/>
    <w:rsid w:val="002077D6"/>
    <w:rsid w:val="0021053C"/>
    <w:rsid w:val="00214488"/>
    <w:rsid w:val="002150F1"/>
    <w:rsid w:val="00215860"/>
    <w:rsid w:val="00215AF1"/>
    <w:rsid w:val="00222A7B"/>
    <w:rsid w:val="00223E2C"/>
    <w:rsid w:val="00225CBD"/>
    <w:rsid w:val="00226ECC"/>
    <w:rsid w:val="002321E8"/>
    <w:rsid w:val="002325B1"/>
    <w:rsid w:val="00236EEC"/>
    <w:rsid w:val="00237471"/>
    <w:rsid w:val="00237BAF"/>
    <w:rsid w:val="0024010F"/>
    <w:rsid w:val="00240749"/>
    <w:rsid w:val="00243018"/>
    <w:rsid w:val="002564A4"/>
    <w:rsid w:val="00262848"/>
    <w:rsid w:val="002650E6"/>
    <w:rsid w:val="0026736C"/>
    <w:rsid w:val="002716E4"/>
    <w:rsid w:val="002717B2"/>
    <w:rsid w:val="0027539C"/>
    <w:rsid w:val="002773D7"/>
    <w:rsid w:val="00281308"/>
    <w:rsid w:val="002820A7"/>
    <w:rsid w:val="00284719"/>
    <w:rsid w:val="00294043"/>
    <w:rsid w:val="00297ECB"/>
    <w:rsid w:val="002A1ECC"/>
    <w:rsid w:val="002A3436"/>
    <w:rsid w:val="002A7BCF"/>
    <w:rsid w:val="002B45FA"/>
    <w:rsid w:val="002B5188"/>
    <w:rsid w:val="002B5A43"/>
    <w:rsid w:val="002C1CF7"/>
    <w:rsid w:val="002C7539"/>
    <w:rsid w:val="002D043A"/>
    <w:rsid w:val="002D2AA2"/>
    <w:rsid w:val="002D6224"/>
    <w:rsid w:val="002E3F4B"/>
    <w:rsid w:val="002F5948"/>
    <w:rsid w:val="00301C54"/>
    <w:rsid w:val="00304F8B"/>
    <w:rsid w:val="0032099B"/>
    <w:rsid w:val="00323D61"/>
    <w:rsid w:val="0033221D"/>
    <w:rsid w:val="003354D2"/>
    <w:rsid w:val="00335BC6"/>
    <w:rsid w:val="0034057D"/>
    <w:rsid w:val="003415D3"/>
    <w:rsid w:val="00344701"/>
    <w:rsid w:val="00352B0F"/>
    <w:rsid w:val="00356690"/>
    <w:rsid w:val="00360459"/>
    <w:rsid w:val="00365E25"/>
    <w:rsid w:val="003734C6"/>
    <w:rsid w:val="003802D6"/>
    <w:rsid w:val="00385187"/>
    <w:rsid w:val="003971D8"/>
    <w:rsid w:val="003A189F"/>
    <w:rsid w:val="003A2FFE"/>
    <w:rsid w:val="003A5C26"/>
    <w:rsid w:val="003A7900"/>
    <w:rsid w:val="003B3E42"/>
    <w:rsid w:val="003B403B"/>
    <w:rsid w:val="003C445A"/>
    <w:rsid w:val="003C4C02"/>
    <w:rsid w:val="003C6231"/>
    <w:rsid w:val="003D0BFE"/>
    <w:rsid w:val="003D5700"/>
    <w:rsid w:val="003E341B"/>
    <w:rsid w:val="003F39C0"/>
    <w:rsid w:val="003F4535"/>
    <w:rsid w:val="004116CD"/>
    <w:rsid w:val="0041386E"/>
    <w:rsid w:val="004144EC"/>
    <w:rsid w:val="00417EB9"/>
    <w:rsid w:val="00420A33"/>
    <w:rsid w:val="0042300E"/>
    <w:rsid w:val="00424CA9"/>
    <w:rsid w:val="00431E9B"/>
    <w:rsid w:val="00436129"/>
    <w:rsid w:val="004379E3"/>
    <w:rsid w:val="0044015E"/>
    <w:rsid w:val="0044291A"/>
    <w:rsid w:val="00444ABD"/>
    <w:rsid w:val="004521C9"/>
    <w:rsid w:val="00454CD0"/>
    <w:rsid w:val="0045606E"/>
    <w:rsid w:val="00456CE5"/>
    <w:rsid w:val="00457895"/>
    <w:rsid w:val="00467661"/>
    <w:rsid w:val="004705B7"/>
    <w:rsid w:val="00472DBE"/>
    <w:rsid w:val="00474A19"/>
    <w:rsid w:val="004750E2"/>
    <w:rsid w:val="004834A1"/>
    <w:rsid w:val="00483A3D"/>
    <w:rsid w:val="004840A6"/>
    <w:rsid w:val="004916B9"/>
    <w:rsid w:val="00496F97"/>
    <w:rsid w:val="004A1FD7"/>
    <w:rsid w:val="004A4764"/>
    <w:rsid w:val="004A5E4B"/>
    <w:rsid w:val="004A6425"/>
    <w:rsid w:val="004B4613"/>
    <w:rsid w:val="004B676A"/>
    <w:rsid w:val="004C1633"/>
    <w:rsid w:val="004C6AE8"/>
    <w:rsid w:val="004C6D55"/>
    <w:rsid w:val="004D10CF"/>
    <w:rsid w:val="004D4BCA"/>
    <w:rsid w:val="004E063A"/>
    <w:rsid w:val="004E7BEC"/>
    <w:rsid w:val="004F23E0"/>
    <w:rsid w:val="004F4D52"/>
    <w:rsid w:val="00505D3D"/>
    <w:rsid w:val="00506AF6"/>
    <w:rsid w:val="00513D05"/>
    <w:rsid w:val="00516768"/>
    <w:rsid w:val="00516B8D"/>
    <w:rsid w:val="00522BE7"/>
    <w:rsid w:val="005268CF"/>
    <w:rsid w:val="0053697E"/>
    <w:rsid w:val="00537FBC"/>
    <w:rsid w:val="00545116"/>
    <w:rsid w:val="005574D1"/>
    <w:rsid w:val="00567687"/>
    <w:rsid w:val="00575A90"/>
    <w:rsid w:val="0058129E"/>
    <w:rsid w:val="00584811"/>
    <w:rsid w:val="0058491F"/>
    <w:rsid w:val="00585784"/>
    <w:rsid w:val="00593AA6"/>
    <w:rsid w:val="00594161"/>
    <w:rsid w:val="00594749"/>
    <w:rsid w:val="005B05D3"/>
    <w:rsid w:val="005B4067"/>
    <w:rsid w:val="005C3F41"/>
    <w:rsid w:val="005D2D09"/>
    <w:rsid w:val="005E55B1"/>
    <w:rsid w:val="005E7FC2"/>
    <w:rsid w:val="00600219"/>
    <w:rsid w:val="006013B7"/>
    <w:rsid w:val="00603D01"/>
    <w:rsid w:val="00603DC4"/>
    <w:rsid w:val="00611D12"/>
    <w:rsid w:val="00615B89"/>
    <w:rsid w:val="00616A0A"/>
    <w:rsid w:val="00616FF5"/>
    <w:rsid w:val="00617C4E"/>
    <w:rsid w:val="00620076"/>
    <w:rsid w:val="00620347"/>
    <w:rsid w:val="006420AB"/>
    <w:rsid w:val="0066266D"/>
    <w:rsid w:val="006647B7"/>
    <w:rsid w:val="00667A4E"/>
    <w:rsid w:val="00670EA1"/>
    <w:rsid w:val="00677CC2"/>
    <w:rsid w:val="006840B0"/>
    <w:rsid w:val="00684C0E"/>
    <w:rsid w:val="006905DE"/>
    <w:rsid w:val="0069207B"/>
    <w:rsid w:val="00695023"/>
    <w:rsid w:val="006B5789"/>
    <w:rsid w:val="006C30C5"/>
    <w:rsid w:val="006C4E18"/>
    <w:rsid w:val="006C7F8C"/>
    <w:rsid w:val="006D60F8"/>
    <w:rsid w:val="006D6CB3"/>
    <w:rsid w:val="006E212F"/>
    <w:rsid w:val="006E6246"/>
    <w:rsid w:val="006F318F"/>
    <w:rsid w:val="006F4226"/>
    <w:rsid w:val="006F513D"/>
    <w:rsid w:val="0070017E"/>
    <w:rsid w:val="00700B2C"/>
    <w:rsid w:val="00702C42"/>
    <w:rsid w:val="00704703"/>
    <w:rsid w:val="007050A2"/>
    <w:rsid w:val="00713084"/>
    <w:rsid w:val="007142FB"/>
    <w:rsid w:val="00714F20"/>
    <w:rsid w:val="0071590F"/>
    <w:rsid w:val="00715914"/>
    <w:rsid w:val="00731E00"/>
    <w:rsid w:val="00733269"/>
    <w:rsid w:val="007440B7"/>
    <w:rsid w:val="007500C8"/>
    <w:rsid w:val="007527C1"/>
    <w:rsid w:val="007534B2"/>
    <w:rsid w:val="00754617"/>
    <w:rsid w:val="00756272"/>
    <w:rsid w:val="00757544"/>
    <w:rsid w:val="007615E2"/>
    <w:rsid w:val="00763D94"/>
    <w:rsid w:val="00764D43"/>
    <w:rsid w:val="0076681A"/>
    <w:rsid w:val="007715C9"/>
    <w:rsid w:val="00771613"/>
    <w:rsid w:val="00774897"/>
    <w:rsid w:val="00774EDD"/>
    <w:rsid w:val="007757EC"/>
    <w:rsid w:val="00777B0B"/>
    <w:rsid w:val="00781B24"/>
    <w:rsid w:val="00782F4E"/>
    <w:rsid w:val="00783E89"/>
    <w:rsid w:val="007904DB"/>
    <w:rsid w:val="00793915"/>
    <w:rsid w:val="0079657C"/>
    <w:rsid w:val="007A15B1"/>
    <w:rsid w:val="007B132E"/>
    <w:rsid w:val="007C2253"/>
    <w:rsid w:val="007C2AD3"/>
    <w:rsid w:val="007C5CE0"/>
    <w:rsid w:val="007C7DEE"/>
    <w:rsid w:val="007D3BA2"/>
    <w:rsid w:val="007E163D"/>
    <w:rsid w:val="007E667A"/>
    <w:rsid w:val="007E7626"/>
    <w:rsid w:val="007F2378"/>
    <w:rsid w:val="007F28C9"/>
    <w:rsid w:val="007F6020"/>
    <w:rsid w:val="00802137"/>
    <w:rsid w:val="00803587"/>
    <w:rsid w:val="00806368"/>
    <w:rsid w:val="008117E9"/>
    <w:rsid w:val="008140EB"/>
    <w:rsid w:val="00824498"/>
    <w:rsid w:val="00831C11"/>
    <w:rsid w:val="008321ED"/>
    <w:rsid w:val="00832C32"/>
    <w:rsid w:val="008332BF"/>
    <w:rsid w:val="00841B80"/>
    <w:rsid w:val="008448C5"/>
    <w:rsid w:val="00850A63"/>
    <w:rsid w:val="00856A31"/>
    <w:rsid w:val="008608B9"/>
    <w:rsid w:val="0086644D"/>
    <w:rsid w:val="00867ABD"/>
    <w:rsid w:val="00867B37"/>
    <w:rsid w:val="00871E61"/>
    <w:rsid w:val="00873081"/>
    <w:rsid w:val="008754D0"/>
    <w:rsid w:val="00877AE3"/>
    <w:rsid w:val="008855C9"/>
    <w:rsid w:val="00885EAB"/>
    <w:rsid w:val="00886456"/>
    <w:rsid w:val="008908BE"/>
    <w:rsid w:val="008A46E1"/>
    <w:rsid w:val="008A4F43"/>
    <w:rsid w:val="008A758A"/>
    <w:rsid w:val="008B2204"/>
    <w:rsid w:val="008B2706"/>
    <w:rsid w:val="008D0EE0"/>
    <w:rsid w:val="008D16D3"/>
    <w:rsid w:val="008D1B8B"/>
    <w:rsid w:val="008E4A16"/>
    <w:rsid w:val="008E5199"/>
    <w:rsid w:val="008E6067"/>
    <w:rsid w:val="008E76DC"/>
    <w:rsid w:val="008F48EC"/>
    <w:rsid w:val="008F54E7"/>
    <w:rsid w:val="008F572A"/>
    <w:rsid w:val="00903422"/>
    <w:rsid w:val="00904761"/>
    <w:rsid w:val="00912B55"/>
    <w:rsid w:val="009141EB"/>
    <w:rsid w:val="00915DF9"/>
    <w:rsid w:val="009254C3"/>
    <w:rsid w:val="00932377"/>
    <w:rsid w:val="00947D5A"/>
    <w:rsid w:val="00951BB4"/>
    <w:rsid w:val="009532A5"/>
    <w:rsid w:val="009540BE"/>
    <w:rsid w:val="00956922"/>
    <w:rsid w:val="009612CF"/>
    <w:rsid w:val="00973736"/>
    <w:rsid w:val="00973808"/>
    <w:rsid w:val="00982242"/>
    <w:rsid w:val="0098610E"/>
    <w:rsid w:val="009868E9"/>
    <w:rsid w:val="009A7918"/>
    <w:rsid w:val="009B5A4E"/>
    <w:rsid w:val="009C2B65"/>
    <w:rsid w:val="009C404D"/>
    <w:rsid w:val="009C58C8"/>
    <w:rsid w:val="009E5CFC"/>
    <w:rsid w:val="00A02752"/>
    <w:rsid w:val="00A079CB"/>
    <w:rsid w:val="00A11C0D"/>
    <w:rsid w:val="00A12128"/>
    <w:rsid w:val="00A137F8"/>
    <w:rsid w:val="00A14BDE"/>
    <w:rsid w:val="00A155C6"/>
    <w:rsid w:val="00A20CA1"/>
    <w:rsid w:val="00A22C98"/>
    <w:rsid w:val="00A231E2"/>
    <w:rsid w:val="00A313F8"/>
    <w:rsid w:val="00A3547F"/>
    <w:rsid w:val="00A44C06"/>
    <w:rsid w:val="00A450E7"/>
    <w:rsid w:val="00A515BC"/>
    <w:rsid w:val="00A56C3D"/>
    <w:rsid w:val="00A6070D"/>
    <w:rsid w:val="00A62CFF"/>
    <w:rsid w:val="00A64912"/>
    <w:rsid w:val="00A70A74"/>
    <w:rsid w:val="00A83AB9"/>
    <w:rsid w:val="00AA64D6"/>
    <w:rsid w:val="00AA6D8B"/>
    <w:rsid w:val="00AD2DC7"/>
    <w:rsid w:val="00AD5641"/>
    <w:rsid w:val="00AD7889"/>
    <w:rsid w:val="00AD7AC2"/>
    <w:rsid w:val="00AD7DCC"/>
    <w:rsid w:val="00AF021B"/>
    <w:rsid w:val="00AF06CF"/>
    <w:rsid w:val="00AF6B58"/>
    <w:rsid w:val="00B0175D"/>
    <w:rsid w:val="00B03B74"/>
    <w:rsid w:val="00B05CF4"/>
    <w:rsid w:val="00B07CDB"/>
    <w:rsid w:val="00B166C8"/>
    <w:rsid w:val="00B16A31"/>
    <w:rsid w:val="00B177FE"/>
    <w:rsid w:val="00B17DFD"/>
    <w:rsid w:val="00B24368"/>
    <w:rsid w:val="00B26714"/>
    <w:rsid w:val="00B308FE"/>
    <w:rsid w:val="00B33709"/>
    <w:rsid w:val="00B33B3C"/>
    <w:rsid w:val="00B37126"/>
    <w:rsid w:val="00B50ADC"/>
    <w:rsid w:val="00B527C0"/>
    <w:rsid w:val="00B52E84"/>
    <w:rsid w:val="00B54C69"/>
    <w:rsid w:val="00B566B1"/>
    <w:rsid w:val="00B574A3"/>
    <w:rsid w:val="00B63834"/>
    <w:rsid w:val="00B65E17"/>
    <w:rsid w:val="00B664A3"/>
    <w:rsid w:val="00B72475"/>
    <w:rsid w:val="00B72734"/>
    <w:rsid w:val="00B72A5E"/>
    <w:rsid w:val="00B80199"/>
    <w:rsid w:val="00B83204"/>
    <w:rsid w:val="00B833B0"/>
    <w:rsid w:val="00B843C1"/>
    <w:rsid w:val="00B90372"/>
    <w:rsid w:val="00B90B8D"/>
    <w:rsid w:val="00B92A80"/>
    <w:rsid w:val="00B92DB6"/>
    <w:rsid w:val="00BA220B"/>
    <w:rsid w:val="00BA3A57"/>
    <w:rsid w:val="00BA691F"/>
    <w:rsid w:val="00BB4E1A"/>
    <w:rsid w:val="00BC015E"/>
    <w:rsid w:val="00BC76AC"/>
    <w:rsid w:val="00BD0ECB"/>
    <w:rsid w:val="00BD3334"/>
    <w:rsid w:val="00BD5C93"/>
    <w:rsid w:val="00BE2155"/>
    <w:rsid w:val="00BE2213"/>
    <w:rsid w:val="00BE719A"/>
    <w:rsid w:val="00BE720A"/>
    <w:rsid w:val="00BF0D73"/>
    <w:rsid w:val="00BF2465"/>
    <w:rsid w:val="00BF43B4"/>
    <w:rsid w:val="00BF525F"/>
    <w:rsid w:val="00BF5654"/>
    <w:rsid w:val="00C01863"/>
    <w:rsid w:val="00C11D03"/>
    <w:rsid w:val="00C12CCE"/>
    <w:rsid w:val="00C25E7F"/>
    <w:rsid w:val="00C2746F"/>
    <w:rsid w:val="00C324A0"/>
    <w:rsid w:val="00C3300F"/>
    <w:rsid w:val="00C42BF8"/>
    <w:rsid w:val="00C50043"/>
    <w:rsid w:val="00C5731E"/>
    <w:rsid w:val="00C66597"/>
    <w:rsid w:val="00C738B9"/>
    <w:rsid w:val="00C7573B"/>
    <w:rsid w:val="00C75826"/>
    <w:rsid w:val="00C77046"/>
    <w:rsid w:val="00C81730"/>
    <w:rsid w:val="00C82E49"/>
    <w:rsid w:val="00C93C03"/>
    <w:rsid w:val="00C94AAF"/>
    <w:rsid w:val="00C96667"/>
    <w:rsid w:val="00C9794D"/>
    <w:rsid w:val="00CA61BB"/>
    <w:rsid w:val="00CA7414"/>
    <w:rsid w:val="00CB1DCB"/>
    <w:rsid w:val="00CB2C8E"/>
    <w:rsid w:val="00CB602E"/>
    <w:rsid w:val="00CC0B12"/>
    <w:rsid w:val="00CC7039"/>
    <w:rsid w:val="00CD7B88"/>
    <w:rsid w:val="00CE051D"/>
    <w:rsid w:val="00CE1335"/>
    <w:rsid w:val="00CE493D"/>
    <w:rsid w:val="00CF07FA"/>
    <w:rsid w:val="00CF0BB2"/>
    <w:rsid w:val="00CF2367"/>
    <w:rsid w:val="00CF3EE8"/>
    <w:rsid w:val="00D050E6"/>
    <w:rsid w:val="00D13441"/>
    <w:rsid w:val="00D150E7"/>
    <w:rsid w:val="00D32F65"/>
    <w:rsid w:val="00D32F71"/>
    <w:rsid w:val="00D33883"/>
    <w:rsid w:val="00D377E3"/>
    <w:rsid w:val="00D50484"/>
    <w:rsid w:val="00D527C9"/>
    <w:rsid w:val="00D52DC2"/>
    <w:rsid w:val="00D53BCC"/>
    <w:rsid w:val="00D5599D"/>
    <w:rsid w:val="00D5620B"/>
    <w:rsid w:val="00D60FC8"/>
    <w:rsid w:val="00D70DFB"/>
    <w:rsid w:val="00D71633"/>
    <w:rsid w:val="00D766DF"/>
    <w:rsid w:val="00D77774"/>
    <w:rsid w:val="00D81800"/>
    <w:rsid w:val="00D9101B"/>
    <w:rsid w:val="00D927F5"/>
    <w:rsid w:val="00D93DA9"/>
    <w:rsid w:val="00D96383"/>
    <w:rsid w:val="00D97BB3"/>
    <w:rsid w:val="00DA186E"/>
    <w:rsid w:val="00DA4116"/>
    <w:rsid w:val="00DA7AC0"/>
    <w:rsid w:val="00DB251C"/>
    <w:rsid w:val="00DB4630"/>
    <w:rsid w:val="00DB7BB5"/>
    <w:rsid w:val="00DC4F88"/>
    <w:rsid w:val="00DD2B43"/>
    <w:rsid w:val="00DD31AB"/>
    <w:rsid w:val="00DE59B7"/>
    <w:rsid w:val="00DF24DC"/>
    <w:rsid w:val="00DF5291"/>
    <w:rsid w:val="00DF6D11"/>
    <w:rsid w:val="00E01818"/>
    <w:rsid w:val="00E0446C"/>
    <w:rsid w:val="00E05704"/>
    <w:rsid w:val="00E0571D"/>
    <w:rsid w:val="00E11E44"/>
    <w:rsid w:val="00E3270E"/>
    <w:rsid w:val="00E338EF"/>
    <w:rsid w:val="00E35C4E"/>
    <w:rsid w:val="00E37BE2"/>
    <w:rsid w:val="00E544BB"/>
    <w:rsid w:val="00E55F66"/>
    <w:rsid w:val="00E576C6"/>
    <w:rsid w:val="00E63DA0"/>
    <w:rsid w:val="00E64EE4"/>
    <w:rsid w:val="00E662CB"/>
    <w:rsid w:val="00E74DC7"/>
    <w:rsid w:val="00E8075A"/>
    <w:rsid w:val="00E92D94"/>
    <w:rsid w:val="00E9347E"/>
    <w:rsid w:val="00E93E6F"/>
    <w:rsid w:val="00E94D5E"/>
    <w:rsid w:val="00EA5BE3"/>
    <w:rsid w:val="00EA7100"/>
    <w:rsid w:val="00EA7F9F"/>
    <w:rsid w:val="00EB1274"/>
    <w:rsid w:val="00EB2BC4"/>
    <w:rsid w:val="00EC5E80"/>
    <w:rsid w:val="00EC7AE8"/>
    <w:rsid w:val="00ED150D"/>
    <w:rsid w:val="00ED2BB6"/>
    <w:rsid w:val="00ED34E1"/>
    <w:rsid w:val="00ED3B8D"/>
    <w:rsid w:val="00ED4913"/>
    <w:rsid w:val="00ED501C"/>
    <w:rsid w:val="00EF2E3A"/>
    <w:rsid w:val="00EF7139"/>
    <w:rsid w:val="00F02383"/>
    <w:rsid w:val="00F03C06"/>
    <w:rsid w:val="00F072A7"/>
    <w:rsid w:val="00F078DC"/>
    <w:rsid w:val="00F15226"/>
    <w:rsid w:val="00F31AF1"/>
    <w:rsid w:val="00F32BA8"/>
    <w:rsid w:val="00F349F1"/>
    <w:rsid w:val="00F4350D"/>
    <w:rsid w:val="00F567F7"/>
    <w:rsid w:val="00F62036"/>
    <w:rsid w:val="00F65B52"/>
    <w:rsid w:val="00F67206"/>
    <w:rsid w:val="00F67B67"/>
    <w:rsid w:val="00F67BCA"/>
    <w:rsid w:val="00F737EA"/>
    <w:rsid w:val="00F73BD6"/>
    <w:rsid w:val="00F83989"/>
    <w:rsid w:val="00F83D85"/>
    <w:rsid w:val="00F85099"/>
    <w:rsid w:val="00F9379C"/>
    <w:rsid w:val="00F956BA"/>
    <w:rsid w:val="00F9632C"/>
    <w:rsid w:val="00F97A62"/>
    <w:rsid w:val="00FA0587"/>
    <w:rsid w:val="00FA1E52"/>
    <w:rsid w:val="00FA33FB"/>
    <w:rsid w:val="00FB3EF0"/>
    <w:rsid w:val="00FB533A"/>
    <w:rsid w:val="00FC3586"/>
    <w:rsid w:val="00FC4AD5"/>
    <w:rsid w:val="00FD0628"/>
    <w:rsid w:val="00FD07DF"/>
    <w:rsid w:val="00FE118D"/>
    <w:rsid w:val="00FE4688"/>
    <w:rsid w:val="00FF1580"/>
    <w:rsid w:val="00FF7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95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 w:qFormat="1"/>
    <w:lsdException w:name="Subtle Reference" w:uiPriority="2" w:qFormat="1"/>
    <w:lsdException w:name="Intense Reference" w:uiPriority="2" w:qFormat="1"/>
    <w:lsdException w:name="Book Title" w:uiPriority="2"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semiHidden/>
    <w:rsid w:val="001D407A"/>
    <w:pPr>
      <w:spacing w:line="260" w:lineRule="atLeast"/>
    </w:pPr>
    <w:rPr>
      <w:sz w:val="22"/>
      <w:lang w:eastAsia="en-US"/>
    </w:rPr>
  </w:style>
  <w:style w:type="paragraph" w:styleId="Heading1">
    <w:name w:val="heading 1"/>
    <w:basedOn w:val="Normal"/>
    <w:next w:val="Normal"/>
    <w:uiPriority w:val="2"/>
    <w:semiHidden/>
    <w:qFormat/>
    <w:rsid w:val="00CF23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uiPriority w:val="2"/>
    <w:semiHidden/>
    <w:qFormat/>
    <w:rsid w:val="00051B75"/>
    <w:pPr>
      <w:keepNext/>
      <w:keepLines/>
      <w:numPr>
        <w:numId w:val="3"/>
      </w:numPr>
      <w:spacing w:before="200" w:line="280" w:lineRule="atLeast"/>
      <w:outlineLvl w:val="1"/>
    </w:pPr>
    <w:rPr>
      <w:rFonts w:eastAsia="Times New Roman" w:cs="Arial"/>
      <w:b/>
      <w:bCs/>
      <w:iCs/>
      <w:sz w:val="24"/>
      <w:szCs w:val="28"/>
      <w:lang w:eastAsia="en-AU"/>
    </w:rPr>
  </w:style>
  <w:style w:type="paragraph" w:styleId="Heading3">
    <w:name w:val="heading 3"/>
    <w:basedOn w:val="Normal"/>
    <w:next w:val="Normal"/>
    <w:uiPriority w:val="2"/>
    <w:semiHidden/>
    <w:qFormat/>
    <w:rsid w:val="00CF2367"/>
    <w:pPr>
      <w:keepNext/>
      <w:keepLines/>
      <w:spacing w:before="200"/>
      <w:outlineLvl w:val="2"/>
    </w:pPr>
    <w:rPr>
      <w:rFonts w:ascii="Cambria" w:eastAsia="Times New Roman" w:hAnsi="Cambria"/>
      <w:b/>
      <w:bCs/>
      <w:color w:val="4F81BD"/>
    </w:rPr>
  </w:style>
  <w:style w:type="paragraph" w:styleId="Heading4">
    <w:name w:val="heading 4"/>
    <w:basedOn w:val="Normal"/>
    <w:next w:val="Normal"/>
    <w:uiPriority w:val="2"/>
    <w:semiHidden/>
    <w:qFormat/>
    <w:rsid w:val="00CF2367"/>
    <w:pPr>
      <w:keepNext/>
      <w:keepLines/>
      <w:spacing w:before="200"/>
      <w:outlineLvl w:val="3"/>
    </w:pPr>
    <w:rPr>
      <w:rFonts w:ascii="Cambria" w:eastAsia="Times New Roman" w:hAnsi="Cambria"/>
      <w:b/>
      <w:bCs/>
      <w:i/>
      <w:iCs/>
      <w:color w:val="4F81BD"/>
    </w:rPr>
  </w:style>
  <w:style w:type="paragraph" w:styleId="Heading5">
    <w:name w:val="heading 5"/>
    <w:basedOn w:val="Normal"/>
    <w:next w:val="Normal"/>
    <w:uiPriority w:val="9"/>
    <w:semiHidden/>
    <w:qFormat/>
    <w:rsid w:val="00CF2367"/>
    <w:pPr>
      <w:keepNext/>
      <w:keepLines/>
      <w:spacing w:before="200"/>
      <w:outlineLvl w:val="4"/>
    </w:pPr>
    <w:rPr>
      <w:rFonts w:ascii="Cambria" w:eastAsia="Times New Roman" w:hAnsi="Cambria"/>
      <w:color w:val="243F60"/>
    </w:rPr>
  </w:style>
  <w:style w:type="paragraph" w:styleId="Heading6">
    <w:name w:val="heading 6"/>
    <w:basedOn w:val="Normal"/>
    <w:next w:val="Normal"/>
    <w:uiPriority w:val="2"/>
    <w:semiHidden/>
    <w:qFormat/>
    <w:rsid w:val="00CF2367"/>
    <w:pPr>
      <w:keepNext/>
      <w:keepLines/>
      <w:spacing w:line="240" w:lineRule="auto"/>
      <w:ind w:left="1134" w:hanging="1134"/>
      <w:outlineLvl w:val="5"/>
    </w:pPr>
    <w:rPr>
      <w:rFonts w:ascii="Arial" w:eastAsia="Times New Roman" w:hAnsi="Arial"/>
      <w:b/>
      <w:kern w:val="28"/>
      <w:sz w:val="32"/>
      <w:lang w:eastAsia="en-AU"/>
    </w:rPr>
  </w:style>
  <w:style w:type="paragraph" w:styleId="Heading7">
    <w:name w:val="heading 7"/>
    <w:basedOn w:val="Normal"/>
    <w:next w:val="Normal"/>
    <w:uiPriority w:val="2"/>
    <w:semiHidden/>
    <w:qFormat/>
    <w:rsid w:val="00CF2367"/>
    <w:pPr>
      <w:keepNext/>
      <w:keepLines/>
      <w:spacing w:before="200"/>
      <w:outlineLvl w:val="6"/>
    </w:pPr>
    <w:rPr>
      <w:rFonts w:ascii="Cambria" w:eastAsia="Times New Roman" w:hAnsi="Cambria"/>
      <w:i/>
      <w:iCs/>
      <w:color w:val="404040"/>
    </w:rPr>
  </w:style>
  <w:style w:type="paragraph" w:styleId="Heading8">
    <w:name w:val="heading 8"/>
    <w:basedOn w:val="Normal"/>
    <w:next w:val="Normal"/>
    <w:uiPriority w:val="9"/>
    <w:semiHidden/>
    <w:qFormat/>
    <w:rsid w:val="00CF2367"/>
    <w:pPr>
      <w:keepNext/>
      <w:keepLines/>
      <w:spacing w:before="200"/>
      <w:outlineLvl w:val="7"/>
    </w:pPr>
    <w:rPr>
      <w:rFonts w:ascii="Cambria" w:eastAsia="Times New Roman" w:hAnsi="Cambria"/>
      <w:color w:val="404040"/>
      <w:sz w:val="20"/>
    </w:rPr>
  </w:style>
  <w:style w:type="paragraph" w:styleId="Heading9">
    <w:name w:val="heading 9"/>
    <w:basedOn w:val="Normal"/>
    <w:next w:val="Normal"/>
    <w:uiPriority w:val="9"/>
    <w:semiHidden/>
    <w:qFormat/>
    <w:rsid w:val="00CF2367"/>
    <w:pPr>
      <w:keepNext/>
      <w:keepLines/>
      <w:spacing w:before="200"/>
      <w:outlineLvl w:val="8"/>
    </w:pPr>
    <w:rPr>
      <w:rFonts w:ascii="Cambria" w:eastAsia="Times New Roman"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mPartNo">
    <w:name w:val="CharAmPartNo"/>
    <w:basedOn w:val="DefaultParagraphFont"/>
    <w:uiPriority w:val="2"/>
    <w:semiHidden/>
    <w:qFormat/>
    <w:rsid w:val="00D71633"/>
  </w:style>
  <w:style w:type="character" w:customStyle="1" w:styleId="CharAmPartText">
    <w:name w:val="CharAmPartText"/>
    <w:basedOn w:val="DefaultParagraphFont"/>
    <w:uiPriority w:val="2"/>
    <w:semiHidden/>
    <w:qFormat/>
    <w:rsid w:val="00D71633"/>
  </w:style>
  <w:style w:type="character" w:customStyle="1" w:styleId="CharAmSchNo">
    <w:name w:val="CharAmSchNo"/>
    <w:basedOn w:val="DefaultParagraphFont"/>
    <w:uiPriority w:val="2"/>
    <w:semiHidden/>
    <w:qFormat/>
    <w:rsid w:val="00D71633"/>
  </w:style>
  <w:style w:type="character" w:customStyle="1" w:styleId="CharAmSchText">
    <w:name w:val="CharAmSchText"/>
    <w:basedOn w:val="DefaultParagraphFont"/>
    <w:uiPriority w:val="2"/>
    <w:semiHidden/>
    <w:qFormat/>
    <w:rsid w:val="00D71633"/>
  </w:style>
  <w:style w:type="character" w:customStyle="1" w:styleId="CharChapNo">
    <w:name w:val="CharChapNo"/>
    <w:basedOn w:val="DefaultParagraphFont"/>
    <w:uiPriority w:val="2"/>
    <w:semiHidden/>
    <w:qFormat/>
    <w:rsid w:val="00D71633"/>
  </w:style>
  <w:style w:type="character" w:customStyle="1" w:styleId="CharChapText">
    <w:name w:val="CharChapText"/>
    <w:basedOn w:val="DefaultParagraphFont"/>
    <w:uiPriority w:val="2"/>
    <w:semiHidden/>
    <w:qFormat/>
    <w:rsid w:val="00D71633"/>
  </w:style>
  <w:style w:type="paragraph" w:customStyle="1" w:styleId="PlainIndent">
    <w:name w:val="Plain Indent"/>
    <w:autoRedefine/>
    <w:rsid w:val="00DD2B43"/>
    <w:pPr>
      <w:spacing w:before="180"/>
      <w:ind w:left="907"/>
    </w:pPr>
    <w:rPr>
      <w:rFonts w:eastAsia="Times New Roman"/>
      <w:sz w:val="24"/>
      <w:szCs w:val="24"/>
    </w:rPr>
  </w:style>
  <w:style w:type="paragraph" w:styleId="Header">
    <w:name w:val="header"/>
    <w:basedOn w:val="Normal"/>
    <w:link w:val="HeaderChar"/>
    <w:uiPriority w:val="99"/>
    <w:rsid w:val="00D71633"/>
    <w:pPr>
      <w:keepNext/>
      <w:keepLines/>
      <w:tabs>
        <w:tab w:val="center" w:pos="4150"/>
        <w:tab w:val="right" w:pos="8307"/>
      </w:tabs>
      <w:spacing w:line="160" w:lineRule="exact"/>
    </w:pPr>
    <w:rPr>
      <w:rFonts w:eastAsia="Times New Roman"/>
      <w:sz w:val="16"/>
      <w:lang w:eastAsia="en-AU"/>
    </w:rPr>
  </w:style>
  <w:style w:type="paragraph" w:customStyle="1" w:styleId="paragraph">
    <w:name w:val="paragraph"/>
    <w:aliases w:val="a"/>
    <w:basedOn w:val="Normal"/>
    <w:link w:val="paragraphChar"/>
    <w:uiPriority w:val="2"/>
    <w:semiHidden/>
    <w:rsid w:val="00D71633"/>
    <w:pPr>
      <w:tabs>
        <w:tab w:val="right" w:pos="1531"/>
      </w:tabs>
      <w:spacing w:before="40" w:line="240" w:lineRule="auto"/>
      <w:ind w:left="1644" w:hanging="1644"/>
    </w:pPr>
    <w:rPr>
      <w:rFonts w:eastAsia="Times New Roman"/>
      <w:lang w:eastAsia="en-AU"/>
    </w:rPr>
  </w:style>
  <w:style w:type="paragraph" w:styleId="TOC1">
    <w:name w:val="toc 1"/>
    <w:basedOn w:val="Normal"/>
    <w:next w:val="Normal"/>
    <w:autoRedefine/>
    <w:uiPriority w:val="39"/>
    <w:rsid w:val="00D71633"/>
    <w:pPr>
      <w:keepNext/>
      <w:keepLines/>
      <w:tabs>
        <w:tab w:val="left" w:leader="dot" w:pos="7938"/>
      </w:tabs>
      <w:spacing w:before="120" w:line="240" w:lineRule="auto"/>
      <w:ind w:left="1134" w:right="567" w:hanging="567"/>
    </w:pPr>
    <w:rPr>
      <w:rFonts w:eastAsia="Times New Roman"/>
      <w:kern w:val="28"/>
      <w:sz w:val="20"/>
      <w:lang w:eastAsia="en-AU"/>
    </w:rPr>
  </w:style>
  <w:style w:type="paragraph" w:styleId="TOC2">
    <w:name w:val="toc 2"/>
    <w:basedOn w:val="Normal"/>
    <w:next w:val="Normal"/>
    <w:autoRedefine/>
    <w:uiPriority w:val="39"/>
    <w:semiHidden/>
    <w:rsid w:val="00D71633"/>
    <w:pPr>
      <w:keepNext/>
      <w:keepLines/>
      <w:tabs>
        <w:tab w:val="right" w:pos="7938"/>
      </w:tabs>
      <w:spacing w:before="120" w:line="240" w:lineRule="auto"/>
      <w:ind w:left="1134" w:right="567" w:hanging="567"/>
    </w:pPr>
    <w:rPr>
      <w:rFonts w:eastAsia="Times New Roman"/>
      <w:kern w:val="28"/>
      <w:sz w:val="18"/>
      <w:lang w:eastAsia="en-AU"/>
    </w:rPr>
  </w:style>
  <w:style w:type="paragraph" w:styleId="TOC3">
    <w:name w:val="toc 3"/>
    <w:basedOn w:val="Normal"/>
    <w:next w:val="Normal"/>
    <w:uiPriority w:val="2"/>
    <w:semiHidden/>
    <w:rsid w:val="00D71633"/>
    <w:pPr>
      <w:keepNext/>
      <w:keepLines/>
      <w:tabs>
        <w:tab w:val="right" w:pos="8278"/>
      </w:tabs>
      <w:spacing w:before="80" w:line="240" w:lineRule="auto"/>
      <w:ind w:left="1604" w:right="567" w:hanging="1179"/>
    </w:pPr>
    <w:rPr>
      <w:rFonts w:eastAsia="Times New Roman"/>
      <w:b/>
      <w:kern w:val="28"/>
      <w:lang w:eastAsia="en-AU"/>
    </w:rPr>
  </w:style>
  <w:style w:type="paragraph" w:styleId="TOC4">
    <w:name w:val="toc 4"/>
    <w:basedOn w:val="Normal"/>
    <w:next w:val="Normal"/>
    <w:uiPriority w:val="39"/>
    <w:semiHidden/>
    <w:rsid w:val="00D71633"/>
    <w:pPr>
      <w:keepLines/>
      <w:tabs>
        <w:tab w:val="right" w:pos="8278"/>
      </w:tabs>
      <w:spacing w:before="80" w:line="240" w:lineRule="auto"/>
      <w:ind w:left="2183" w:right="567" w:hanging="1332"/>
    </w:pPr>
    <w:rPr>
      <w:rFonts w:eastAsia="Times New Roman"/>
      <w:b/>
      <w:kern w:val="28"/>
      <w:sz w:val="20"/>
      <w:lang w:eastAsia="en-AU"/>
    </w:rPr>
  </w:style>
  <w:style w:type="paragraph" w:styleId="TOC5">
    <w:name w:val="toc 5"/>
    <w:basedOn w:val="Normal"/>
    <w:next w:val="Normal"/>
    <w:uiPriority w:val="2"/>
    <w:semiHidden/>
    <w:rsid w:val="00D71633"/>
    <w:pPr>
      <w:keepLines/>
      <w:tabs>
        <w:tab w:val="right" w:leader="dot" w:pos="8278"/>
      </w:tabs>
      <w:spacing w:before="40" w:line="240" w:lineRule="auto"/>
      <w:ind w:left="2098" w:right="567" w:hanging="680"/>
    </w:pPr>
    <w:rPr>
      <w:rFonts w:eastAsia="Times New Roman"/>
      <w:kern w:val="28"/>
      <w:sz w:val="18"/>
      <w:lang w:eastAsia="en-AU"/>
    </w:rPr>
  </w:style>
  <w:style w:type="paragraph" w:styleId="TOC6">
    <w:name w:val="toc 6"/>
    <w:basedOn w:val="Normal"/>
    <w:next w:val="Normal"/>
    <w:autoRedefine/>
    <w:uiPriority w:val="39"/>
    <w:rsid w:val="00D71633"/>
    <w:pPr>
      <w:keepLines/>
      <w:tabs>
        <w:tab w:val="right" w:leader="dot" w:pos="8051"/>
      </w:tabs>
      <w:spacing w:before="120" w:line="240" w:lineRule="auto"/>
    </w:pPr>
    <w:rPr>
      <w:rFonts w:eastAsia="Times New Roman"/>
      <w:b/>
      <w:kern w:val="28"/>
      <w:lang w:eastAsia="en-AU"/>
    </w:rPr>
  </w:style>
  <w:style w:type="paragraph" w:styleId="TOC7">
    <w:name w:val="toc 7"/>
    <w:basedOn w:val="Normal"/>
    <w:next w:val="Normal"/>
    <w:uiPriority w:val="39"/>
    <w:semiHidden/>
    <w:rsid w:val="00D71633"/>
    <w:pPr>
      <w:keepLines/>
      <w:tabs>
        <w:tab w:val="right" w:pos="8278"/>
      </w:tabs>
      <w:spacing w:before="120" w:line="240" w:lineRule="auto"/>
      <w:ind w:left="1253" w:right="567" w:hanging="828"/>
    </w:pPr>
    <w:rPr>
      <w:rFonts w:eastAsia="Times New Roman"/>
      <w:kern w:val="28"/>
      <w:sz w:val="24"/>
      <w:lang w:eastAsia="en-AU"/>
    </w:rPr>
  </w:style>
  <w:style w:type="paragraph" w:styleId="TOC8">
    <w:name w:val="toc 8"/>
    <w:basedOn w:val="Normal"/>
    <w:next w:val="Normal"/>
    <w:uiPriority w:val="39"/>
    <w:semiHidden/>
    <w:rsid w:val="00D71633"/>
    <w:pPr>
      <w:keepLines/>
      <w:tabs>
        <w:tab w:val="right" w:pos="8278"/>
      </w:tabs>
      <w:spacing w:before="80" w:line="240" w:lineRule="auto"/>
      <w:ind w:left="1900" w:right="567" w:hanging="1049"/>
    </w:pPr>
    <w:rPr>
      <w:rFonts w:eastAsia="Times New Roman"/>
      <w:kern w:val="28"/>
      <w:sz w:val="20"/>
      <w:lang w:eastAsia="en-AU"/>
    </w:rPr>
  </w:style>
  <w:style w:type="paragraph" w:styleId="TOC9">
    <w:name w:val="toc 9"/>
    <w:basedOn w:val="Normal"/>
    <w:next w:val="Normal"/>
    <w:uiPriority w:val="2"/>
    <w:semiHidden/>
    <w:rsid w:val="00D71633"/>
    <w:pPr>
      <w:keepLines/>
      <w:tabs>
        <w:tab w:val="right" w:pos="8278"/>
      </w:tabs>
      <w:spacing w:before="80" w:line="240" w:lineRule="auto"/>
      <w:ind w:left="851" w:right="567"/>
    </w:pPr>
    <w:rPr>
      <w:rFonts w:eastAsia="Times New Roman"/>
      <w:i/>
      <w:kern w:val="28"/>
      <w:sz w:val="20"/>
      <w:lang w:eastAsia="en-AU"/>
    </w:rPr>
  </w:style>
  <w:style w:type="paragraph" w:styleId="Footer">
    <w:name w:val="footer"/>
    <w:link w:val="FooterChar"/>
    <w:rsid w:val="00FA33FB"/>
    <w:pPr>
      <w:tabs>
        <w:tab w:val="center" w:pos="4153"/>
        <w:tab w:val="right" w:pos="8306"/>
      </w:tabs>
    </w:pPr>
    <w:rPr>
      <w:rFonts w:eastAsia="Times New Roman"/>
      <w:sz w:val="22"/>
      <w:szCs w:val="24"/>
    </w:rPr>
  </w:style>
  <w:style w:type="character" w:styleId="LineNumber">
    <w:name w:val="line number"/>
    <w:uiPriority w:val="99"/>
    <w:semiHidden/>
    <w:rsid w:val="00FA33FB"/>
    <w:rPr>
      <w:sz w:val="16"/>
    </w:rPr>
  </w:style>
  <w:style w:type="paragraph" w:styleId="BalloonText">
    <w:name w:val="Balloon Text"/>
    <w:basedOn w:val="Normal"/>
    <w:uiPriority w:val="99"/>
    <w:semiHidden/>
    <w:rsid w:val="00FA33FB"/>
    <w:pPr>
      <w:spacing w:line="240" w:lineRule="auto"/>
    </w:pPr>
    <w:rPr>
      <w:rFonts w:ascii="Tahoma" w:hAnsi="Tahoma" w:cs="Tahoma"/>
      <w:sz w:val="16"/>
      <w:szCs w:val="16"/>
    </w:rPr>
  </w:style>
  <w:style w:type="table" w:styleId="TableGrid">
    <w:name w:val="Table Grid"/>
    <w:basedOn w:val="TableNormal"/>
    <w:uiPriority w:val="59"/>
    <w:rsid w:val="00FA3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nCoverPageStart">
    <w:name w:val="SignCoverPageStart"/>
    <w:basedOn w:val="Normal"/>
    <w:next w:val="Normal"/>
    <w:uiPriority w:val="2"/>
    <w:semiHidden/>
    <w:rsid w:val="00D71633"/>
    <w:pPr>
      <w:pBdr>
        <w:top w:val="single" w:sz="4" w:space="1" w:color="auto"/>
      </w:pBdr>
      <w:spacing w:before="360"/>
      <w:ind w:right="397"/>
      <w:jc w:val="both"/>
    </w:pPr>
    <w:rPr>
      <w:rFonts w:eastAsia="Times New Roman"/>
      <w:lang w:eastAsia="en-AU"/>
    </w:rPr>
  </w:style>
  <w:style w:type="paragraph" w:customStyle="1" w:styleId="NOTE">
    <w:name w:val="NOTE"/>
    <w:rsid w:val="00EB2BC4"/>
    <w:pPr>
      <w:spacing w:before="122"/>
      <w:ind w:left="1928" w:hanging="454"/>
    </w:pPr>
    <w:rPr>
      <w:rFonts w:eastAsia="Times New Roman"/>
      <w:sz w:val="18"/>
    </w:rPr>
  </w:style>
  <w:style w:type="paragraph" w:customStyle="1" w:styleId="ItalicIndent">
    <w:name w:val="Italic Indent"/>
    <w:basedOn w:val="Normal"/>
    <w:qFormat/>
    <w:rsid w:val="007A15B1"/>
    <w:pPr>
      <w:spacing w:before="200"/>
      <w:ind w:left="1418"/>
    </w:pPr>
    <w:rPr>
      <w:i/>
      <w:color w:val="000000"/>
    </w:rPr>
  </w:style>
  <w:style w:type="paragraph" w:customStyle="1" w:styleId="LV1">
    <w:name w:val="LV 1"/>
    <w:autoRedefine/>
    <w:qFormat/>
    <w:rsid w:val="00C96667"/>
    <w:pPr>
      <w:numPr>
        <w:numId w:val="4"/>
      </w:numPr>
      <w:spacing w:before="200" w:line="280" w:lineRule="atLeast"/>
      <w:outlineLvl w:val="1"/>
    </w:pPr>
    <w:rPr>
      <w:b/>
      <w:sz w:val="24"/>
      <w:szCs w:val="24"/>
      <w:lang w:eastAsia="en-US"/>
    </w:rPr>
  </w:style>
  <w:style w:type="paragraph" w:customStyle="1" w:styleId="LV2">
    <w:name w:val="LV 2"/>
    <w:basedOn w:val="PlainIndent"/>
    <w:autoRedefine/>
    <w:qFormat/>
    <w:rsid w:val="00620347"/>
    <w:pPr>
      <w:numPr>
        <w:ilvl w:val="1"/>
        <w:numId w:val="4"/>
      </w:numPr>
    </w:pPr>
    <w:rPr>
      <w:lang w:val="en-US"/>
    </w:rPr>
  </w:style>
  <w:style w:type="paragraph" w:customStyle="1" w:styleId="LV3">
    <w:name w:val="LV 3"/>
    <w:basedOn w:val="PlainIndent"/>
    <w:autoRedefine/>
    <w:qFormat/>
    <w:rsid w:val="001C6CFB"/>
    <w:pPr>
      <w:numPr>
        <w:ilvl w:val="2"/>
        <w:numId w:val="4"/>
      </w:numPr>
      <w:contextualSpacing/>
    </w:pPr>
  </w:style>
  <w:style w:type="paragraph" w:customStyle="1" w:styleId="LV4">
    <w:name w:val="LV 4"/>
    <w:basedOn w:val="PlainIndent"/>
    <w:autoRedefine/>
    <w:qFormat/>
    <w:rsid w:val="00FB533A"/>
    <w:pPr>
      <w:numPr>
        <w:ilvl w:val="3"/>
        <w:numId w:val="4"/>
      </w:numPr>
      <w:ind w:left="2608"/>
      <w:contextualSpacing/>
    </w:pPr>
  </w:style>
  <w:style w:type="paragraph" w:customStyle="1" w:styleId="LV5">
    <w:name w:val="LV 5"/>
    <w:basedOn w:val="PlainIndent"/>
    <w:autoRedefine/>
    <w:qFormat/>
    <w:rsid w:val="00FB533A"/>
    <w:pPr>
      <w:numPr>
        <w:ilvl w:val="4"/>
        <w:numId w:val="4"/>
      </w:numPr>
      <w:contextualSpacing/>
    </w:pPr>
  </w:style>
  <w:style w:type="paragraph" w:customStyle="1" w:styleId="SH1">
    <w:name w:val="SH 1"/>
    <w:basedOn w:val="Normal"/>
    <w:autoRedefine/>
    <w:qFormat/>
    <w:rsid w:val="00C96667"/>
    <w:pPr>
      <w:numPr>
        <w:numId w:val="5"/>
      </w:numPr>
      <w:spacing w:before="200" w:line="280" w:lineRule="atLeast"/>
      <w:outlineLvl w:val="1"/>
    </w:pPr>
    <w:rPr>
      <w:b/>
      <w:sz w:val="24"/>
    </w:rPr>
  </w:style>
  <w:style w:type="paragraph" w:customStyle="1" w:styleId="SH2">
    <w:name w:val="SH 2"/>
    <w:basedOn w:val="PlainIndent"/>
    <w:autoRedefine/>
    <w:qFormat/>
    <w:rsid w:val="00516768"/>
    <w:pPr>
      <w:numPr>
        <w:ilvl w:val="1"/>
        <w:numId w:val="5"/>
      </w:numPr>
    </w:pPr>
  </w:style>
  <w:style w:type="paragraph" w:customStyle="1" w:styleId="SH3">
    <w:name w:val="SH 3"/>
    <w:link w:val="SH3Char"/>
    <w:autoRedefine/>
    <w:qFormat/>
    <w:rsid w:val="009C404D"/>
    <w:pPr>
      <w:numPr>
        <w:ilvl w:val="2"/>
        <w:numId w:val="5"/>
      </w:numPr>
      <w:spacing w:before="100"/>
      <w:ind w:left="907" w:hanging="907"/>
    </w:pPr>
    <w:rPr>
      <w:rFonts w:eastAsia="Times New Roman"/>
      <w:sz w:val="24"/>
      <w:szCs w:val="24"/>
    </w:rPr>
  </w:style>
  <w:style w:type="paragraph" w:customStyle="1" w:styleId="SH4">
    <w:name w:val="SH 4"/>
    <w:autoRedefine/>
    <w:qFormat/>
    <w:rsid w:val="00DD2B43"/>
    <w:pPr>
      <w:numPr>
        <w:ilvl w:val="3"/>
        <w:numId w:val="5"/>
      </w:numPr>
      <w:spacing w:before="100"/>
      <w:contextualSpacing/>
    </w:pPr>
    <w:rPr>
      <w:rFonts w:eastAsia="Times New Roman"/>
      <w:sz w:val="24"/>
      <w:szCs w:val="24"/>
    </w:rPr>
  </w:style>
  <w:style w:type="paragraph" w:customStyle="1" w:styleId="SH5">
    <w:name w:val="SH 5"/>
    <w:basedOn w:val="Normal"/>
    <w:autoRedefine/>
    <w:qFormat/>
    <w:rsid w:val="00516768"/>
    <w:pPr>
      <w:numPr>
        <w:ilvl w:val="4"/>
        <w:numId w:val="5"/>
      </w:numPr>
      <w:tabs>
        <w:tab w:val="right" w:pos="709"/>
      </w:tabs>
      <w:spacing w:before="40"/>
      <w:contextualSpacing/>
    </w:pPr>
    <w:rPr>
      <w:sz w:val="24"/>
      <w:szCs w:val="24"/>
    </w:rPr>
  </w:style>
  <w:style w:type="character" w:customStyle="1" w:styleId="paragraphChar">
    <w:name w:val="paragraph Char"/>
    <w:aliases w:val="a Char"/>
    <w:basedOn w:val="DefaultParagraphFont"/>
    <w:link w:val="paragraph"/>
    <w:uiPriority w:val="2"/>
    <w:semiHidden/>
    <w:rsid w:val="00956922"/>
    <w:rPr>
      <w:rFonts w:eastAsia="Times New Roman"/>
      <w:sz w:val="22"/>
    </w:rPr>
  </w:style>
  <w:style w:type="paragraph" w:customStyle="1" w:styleId="Plain">
    <w:name w:val="Plain"/>
    <w:autoRedefine/>
    <w:uiPriority w:val="2"/>
    <w:qFormat/>
    <w:rsid w:val="00764D43"/>
    <w:pPr>
      <w:tabs>
        <w:tab w:val="left" w:pos="567"/>
      </w:tabs>
    </w:pPr>
    <w:rPr>
      <w:rFonts w:eastAsia="Times New Roman"/>
      <w:sz w:val="24"/>
      <w:szCs w:val="24"/>
    </w:rPr>
  </w:style>
  <w:style w:type="paragraph" w:customStyle="1" w:styleId="Plainheader">
    <w:name w:val="Plain header"/>
    <w:autoRedefine/>
    <w:uiPriority w:val="2"/>
    <w:qFormat/>
    <w:rsid w:val="00FE118D"/>
    <w:pPr>
      <w:spacing w:before="120" w:after="120" w:line="280" w:lineRule="atLeast"/>
      <w:jc w:val="center"/>
      <w:outlineLvl w:val="0"/>
    </w:pPr>
    <w:rPr>
      <w:b/>
      <w:bCs/>
      <w:color w:val="000000"/>
      <w:sz w:val="40"/>
      <w:lang w:val="en-US" w:eastAsia="en-US"/>
    </w:rPr>
  </w:style>
  <w:style w:type="paragraph" w:customStyle="1" w:styleId="NOTEScheduleonly">
    <w:name w:val="NOTE (Schedule only)"/>
    <w:uiPriority w:val="2"/>
    <w:qFormat/>
    <w:rsid w:val="00DD2B43"/>
    <w:rPr>
      <w:rFonts w:eastAsia="Times New Roman"/>
      <w:sz w:val="18"/>
    </w:rPr>
  </w:style>
  <w:style w:type="paragraph" w:customStyle="1" w:styleId="SHHeader">
    <w:name w:val="SH Header"/>
    <w:autoRedefine/>
    <w:uiPriority w:val="2"/>
    <w:qFormat/>
    <w:rsid w:val="002A3436"/>
    <w:rPr>
      <w:b/>
      <w:color w:val="000000"/>
      <w:sz w:val="40"/>
      <w:lang w:eastAsia="en-US"/>
    </w:rPr>
  </w:style>
  <w:style w:type="paragraph" w:customStyle="1" w:styleId="SH3nospace">
    <w:name w:val="SH 3 (no space)"/>
    <w:basedOn w:val="SH3"/>
    <w:link w:val="SH3nospaceChar"/>
    <w:uiPriority w:val="2"/>
    <w:qFormat/>
    <w:rsid w:val="00024911"/>
    <w:pPr>
      <w:spacing w:before="0"/>
      <w:contextualSpacing/>
    </w:pPr>
  </w:style>
  <w:style w:type="character" w:customStyle="1" w:styleId="SH3Char">
    <w:name w:val="SH 3 Char"/>
    <w:basedOn w:val="DefaultParagraphFont"/>
    <w:link w:val="SH3"/>
    <w:rsid w:val="00024911"/>
    <w:rPr>
      <w:rFonts w:eastAsia="Times New Roman"/>
      <w:sz w:val="24"/>
      <w:szCs w:val="24"/>
    </w:rPr>
  </w:style>
  <w:style w:type="character" w:customStyle="1" w:styleId="SH3nospaceChar">
    <w:name w:val="SH 3 (no space) Char"/>
    <w:basedOn w:val="SH3Char"/>
    <w:link w:val="SH3nospace"/>
    <w:uiPriority w:val="2"/>
    <w:rsid w:val="00024911"/>
    <w:rPr>
      <w:rFonts w:eastAsia="Times New Roman"/>
      <w:sz w:val="24"/>
      <w:szCs w:val="24"/>
    </w:rPr>
  </w:style>
  <w:style w:type="paragraph" w:styleId="ListParagraph">
    <w:name w:val="List Paragraph"/>
    <w:basedOn w:val="Normal"/>
    <w:uiPriority w:val="34"/>
    <w:qFormat/>
    <w:rsid w:val="00084136"/>
    <w:pPr>
      <w:spacing w:line="240" w:lineRule="auto"/>
      <w:ind w:left="720"/>
      <w:contextualSpacing/>
    </w:pPr>
    <w:rPr>
      <w:rFonts w:eastAsia="Times New Roman"/>
      <w:sz w:val="20"/>
    </w:rPr>
  </w:style>
  <w:style w:type="character" w:customStyle="1" w:styleId="HeaderChar">
    <w:name w:val="Header Char"/>
    <w:basedOn w:val="DefaultParagraphFont"/>
    <w:link w:val="Header"/>
    <w:uiPriority w:val="99"/>
    <w:rsid w:val="00222A7B"/>
    <w:rPr>
      <w:rFonts w:eastAsia="Times New Roman"/>
      <w:sz w:val="16"/>
    </w:rPr>
  </w:style>
  <w:style w:type="character" w:customStyle="1" w:styleId="FooterChar">
    <w:name w:val="Footer Char"/>
    <w:basedOn w:val="DefaultParagraphFont"/>
    <w:link w:val="Footer"/>
    <w:rsid w:val="00222A7B"/>
    <w:rPr>
      <w:rFonts w:eastAsia="Times New Roman"/>
      <w:sz w:val="22"/>
      <w:szCs w:val="24"/>
    </w:rPr>
  </w:style>
  <w:style w:type="paragraph" w:customStyle="1" w:styleId="CompiledMadeUnder">
    <w:name w:val="CompiledMadeUnder"/>
    <w:basedOn w:val="Normal"/>
    <w:next w:val="Normal"/>
    <w:rsid w:val="00222A7B"/>
    <w:rPr>
      <w:rFonts w:eastAsia="Times New Roman"/>
      <w:i/>
      <w:sz w:val="24"/>
      <w:szCs w:val="24"/>
      <w:lang w:eastAsia="en-AU"/>
    </w:rPr>
  </w:style>
  <w:style w:type="paragraph" w:customStyle="1" w:styleId="MadeunderText">
    <w:name w:val="MadeunderText"/>
    <w:basedOn w:val="Normal"/>
    <w:next w:val="CompiledMadeUnder"/>
    <w:rsid w:val="00222A7B"/>
    <w:pPr>
      <w:spacing w:before="240"/>
    </w:pPr>
    <w:rPr>
      <w:rFonts w:eastAsia="Times New Roman"/>
      <w:sz w:val="24"/>
      <w:szCs w:val="24"/>
      <w:lang w:eastAsia="en-AU"/>
    </w:rPr>
  </w:style>
  <w:style w:type="paragraph" w:customStyle="1" w:styleId="Tabletext">
    <w:name w:val="Tabletext"/>
    <w:aliases w:val="tt"/>
    <w:basedOn w:val="Normal"/>
    <w:rsid w:val="00222A7B"/>
    <w:pPr>
      <w:spacing w:before="60" w:line="240" w:lineRule="atLeast"/>
    </w:pPr>
    <w:rPr>
      <w:rFonts w:eastAsia="Times New Roman"/>
      <w:sz w:val="20"/>
      <w:lang w:eastAsia="en-AU"/>
    </w:rPr>
  </w:style>
  <w:style w:type="paragraph" w:customStyle="1" w:styleId="ENoteTableHeading">
    <w:name w:val="ENoteTableHeading"/>
    <w:aliases w:val="enth"/>
    <w:basedOn w:val="Normal"/>
    <w:rsid w:val="00222A7B"/>
    <w:pPr>
      <w:keepNext/>
      <w:spacing w:before="60" w:line="240" w:lineRule="atLeast"/>
    </w:pPr>
    <w:rPr>
      <w:rFonts w:ascii="Arial" w:eastAsia="Times New Roman" w:hAnsi="Arial"/>
      <w:b/>
      <w:sz w:val="16"/>
      <w:lang w:eastAsia="en-AU"/>
    </w:rPr>
  </w:style>
  <w:style w:type="paragraph" w:customStyle="1" w:styleId="ENoteTableText">
    <w:name w:val="ENoteTableText"/>
    <w:aliases w:val="entt"/>
    <w:basedOn w:val="Normal"/>
    <w:rsid w:val="00222A7B"/>
    <w:pPr>
      <w:spacing w:before="60" w:line="240" w:lineRule="atLeast"/>
    </w:pPr>
    <w:rPr>
      <w:rFonts w:eastAsia="Times New Roman"/>
      <w:sz w:val="16"/>
      <w:lang w:eastAsia="en-AU"/>
    </w:rPr>
  </w:style>
  <w:style w:type="paragraph" w:customStyle="1" w:styleId="ENotesHeading1">
    <w:name w:val="ENotesHeading 1"/>
    <w:aliases w:val="Enh1,ENh1"/>
    <w:basedOn w:val="Normal"/>
    <w:next w:val="Normal"/>
    <w:rsid w:val="00222A7B"/>
    <w:pPr>
      <w:spacing w:before="120"/>
      <w:outlineLvl w:val="1"/>
    </w:pPr>
    <w:rPr>
      <w:rFonts w:eastAsia="Times New Roman"/>
      <w:b/>
      <w:sz w:val="28"/>
      <w:szCs w:val="28"/>
      <w:lang w:eastAsia="en-AU"/>
    </w:rPr>
  </w:style>
  <w:style w:type="paragraph" w:customStyle="1" w:styleId="ENotesHeading2">
    <w:name w:val="ENotesHeading 2"/>
    <w:aliases w:val="Enh2,ENh2"/>
    <w:basedOn w:val="Normal"/>
    <w:next w:val="Normal"/>
    <w:rsid w:val="00222A7B"/>
    <w:pPr>
      <w:spacing w:before="120" w:after="120"/>
      <w:outlineLvl w:val="2"/>
    </w:pPr>
    <w:rPr>
      <w:rFonts w:eastAsia="Times New Roman"/>
      <w:b/>
      <w:sz w:val="24"/>
      <w:szCs w:val="28"/>
      <w:lang w:eastAsia="en-AU"/>
    </w:rPr>
  </w:style>
  <w:style w:type="paragraph" w:customStyle="1" w:styleId="TableOfStatRules">
    <w:name w:val="TableOfStatRules"/>
    <w:basedOn w:val="Normal"/>
    <w:rsid w:val="00A155C6"/>
    <w:pPr>
      <w:spacing w:before="60" w:line="200" w:lineRule="exact"/>
    </w:pPr>
    <w:rPr>
      <w:rFonts w:ascii="Arial" w:eastAsia="Times New Roman" w:hAnsi="Arial"/>
      <w:noProof/>
      <w:sz w:val="18"/>
      <w:szCs w:val="24"/>
      <w:lang w:eastAsia="en-AU"/>
    </w:rPr>
  </w:style>
  <w:style w:type="paragraph" w:customStyle="1" w:styleId="TableOfAmend">
    <w:name w:val="TableOfAmend"/>
    <w:basedOn w:val="Normal"/>
    <w:rsid w:val="00A155C6"/>
    <w:pPr>
      <w:tabs>
        <w:tab w:val="right" w:leader="dot" w:pos="2268"/>
      </w:tabs>
      <w:spacing w:before="60" w:line="200" w:lineRule="exact"/>
      <w:ind w:left="170" w:right="-11" w:hanging="170"/>
    </w:pPr>
    <w:rPr>
      <w:rFonts w:ascii="Arial" w:eastAsia="Times New Roman" w:hAnsi="Arial"/>
      <w:noProof/>
      <w:sz w:val="18"/>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85479">
      <w:bodyDiv w:val="1"/>
      <w:marLeft w:val="0"/>
      <w:marRight w:val="0"/>
      <w:marTop w:val="0"/>
      <w:marBottom w:val="0"/>
      <w:divBdr>
        <w:top w:val="none" w:sz="0" w:space="0" w:color="auto"/>
        <w:left w:val="none" w:sz="0" w:space="0" w:color="auto"/>
        <w:bottom w:val="none" w:sz="0" w:space="0" w:color="auto"/>
        <w:right w:val="none" w:sz="0" w:space="0" w:color="auto"/>
      </w:divBdr>
    </w:div>
    <w:div w:id="787310725">
      <w:bodyDiv w:val="1"/>
      <w:marLeft w:val="0"/>
      <w:marRight w:val="0"/>
      <w:marTop w:val="0"/>
      <w:marBottom w:val="0"/>
      <w:divBdr>
        <w:top w:val="none" w:sz="0" w:space="0" w:color="auto"/>
        <w:left w:val="none" w:sz="0" w:space="0" w:color="auto"/>
        <w:bottom w:val="none" w:sz="0" w:space="0" w:color="auto"/>
        <w:right w:val="none" w:sz="0" w:space="0" w:color="auto"/>
      </w:divBdr>
    </w:div>
    <w:div w:id="19486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footer" Target="foot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eader" Target="header8.xml"/><Relationship Id="rId30"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3098</Words>
  <Characters>17662</Characters>
  <Application>Microsoft Office Word</Application>
  <DocSecurity>0</DocSecurity>
  <PresentationFormat/>
  <Lines>147</Lines>
  <Paragraphs>41</Paragraphs>
  <ScaleCrop>false</ScaleCrop>
  <HeadingPairs>
    <vt:vector size="2" baseType="variant">
      <vt:variant>
        <vt:lpstr>Title</vt:lpstr>
      </vt:variant>
      <vt:variant>
        <vt:i4>1</vt:i4>
      </vt:variant>
    </vt:vector>
  </HeadingPairs>
  <TitlesOfParts>
    <vt:vector size="1" baseType="lpstr">
      <vt:lpstr>Endnotes</vt:lpstr>
    </vt:vector>
  </TitlesOfParts>
  <LinksUpToDate>false</LinksUpToDate>
  <CharactersWithSpaces>20719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Endnotes</dc:title>
  <dc:subject/>
  <dc:creator/>
  <cp:keywords/>
  <cp:lastModifiedBy/>
  <cp:revision>1</cp:revision>
  <dcterms:created xsi:type="dcterms:W3CDTF">2016-11-18T04:18:00Z</dcterms:created>
  <dcterms:modified xsi:type="dcterms:W3CDTF">2017-01-15T22:54:00Z</dcterms:modified>
  <dc:language/>
  <cp:version/>
</cp:coreProperties>
</file>