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statement-of-work-response-template"/>
    <w:p>
      <w:pPr>
        <w:pStyle w:val="Heading1"/>
      </w:pPr>
      <w:r>
        <w:t xml:space="preserve">Statement of Work — Response Template</w:t>
      </w:r>
    </w:p>
    <w:bookmarkStart w:id="10" w:name="X672ed33dd3122e660962177d70a1822a2d6926a"/>
    <w:p>
      <w:pPr>
        <w:pStyle w:val="Heading2"/>
      </w:pPr>
      <w:r>
        <w:t xml:space="preserve">Technology Build, Implementation, and Maintenance Proposal</w:t>
      </w:r>
    </w:p>
    <w:p>
      <w:pPr>
        <w:pStyle w:val="BlockText"/>
      </w:pPr>
      <w:r>
        <w:rPr>
          <w:b/>
          <w:bCs/>
        </w:rPr>
        <w:t xml:space="preserve">About this template.</w:t>
      </w:r>
      <w:r>
        <w:t xml:space="preserve"> </w:t>
      </w:r>
      <w:r>
        <w:t xml:space="preserve">A reusable, contract-ready Statement of Work (SOW) /</w:t>
      </w:r>
      <w:r>
        <w:t xml:space="preserve"> </w:t>
      </w:r>
      <w:r>
        <w:t xml:space="preserve">bid-response template for technology design, build, implementation, operation,</w:t>
      </w:r>
      <w:r>
        <w:t xml:space="preserve"> </w:t>
      </w:r>
      <w:r>
        <w:t xml:space="preserve">and maintenance engagements. It is the canonical structure the</w:t>
      </w:r>
      <w:r>
        <w:t xml:space="preserve"> </w:t>
      </w:r>
      <w:r>
        <w:rPr>
          <w:b/>
          <w:bCs/>
        </w:rPr>
        <w:t xml:space="preserve">Kerdos</w:t>
      </w:r>
      <w:r>
        <w:t xml:space="preserve"> </w:t>
      </w:r>
      <w:r>
        <w:t xml:space="preserve">SOW generator targets: each numbered section below maps to a field the app</w:t>
      </w:r>
      <w:r>
        <w:t xml:space="preserve"> </w:t>
      </w:r>
      <w:r>
        <w:t xml:space="preserve">composes from an</w:t>
      </w:r>
      <w:r>
        <w:t xml:space="preserve"> </w:t>
      </w:r>
      <w:r>
        <w:rPr>
          <w:b/>
          <w:bCs/>
        </w:rPr>
        <w:t xml:space="preserve">approved estimate</w:t>
      </w:r>
      <w:r>
        <w:t xml:space="preserve">, and the</w:t>
      </w:r>
      <w:r>
        <w:t xml:space="preserve"> </w:t>
      </w:r>
      <w:r>
        <w:rPr>
          <w:b/>
          <w:bCs/>
        </w:rPr>
        <w:t xml:space="preserve">Pricing Framework</w:t>
      </w:r>
      <w:r>
        <w:t xml:space="preserve"> </w:t>
      </w:r>
      <w:r>
        <w:t xml:space="preserve">section</w:t>
      </w:r>
      <w:r>
        <w:t xml:space="preserve"> </w:t>
      </w:r>
      <w:r>
        <w:t xml:space="preserve">(§23) is populated directly from the estimate’s labor, non-labor, cloud,</w:t>
      </w:r>
      <w:r>
        <w:t xml:space="preserve"> </w:t>
      </w:r>
      <w:r>
        <w:t xml:space="preserve">upcharge, contingency, and monthly/yearly totals.</w:t>
      </w:r>
    </w:p>
    <w:p>
      <w:pPr>
        <w:pStyle w:val="BlockText"/>
      </w:pPr>
      <w:r>
        <w:rPr>
          <w:b/>
          <w:bCs/>
        </w:rPr>
        <w:t xml:space="preserve">How to use it.</w:t>
      </w:r>
      <w:r>
        <w:t xml:space="preserve"> </w:t>
      </w:r>
      <w:r>
        <w:t xml:space="preserve">Replace every</w:t>
      </w:r>
      <w:r>
        <w:t xml:space="preserve"> </w:t>
      </w:r>
      <w:r>
        <w:rPr>
          <w:rStyle w:val="VerbatimChar"/>
        </w:rPr>
        <w:t xml:space="preserve">{{TOKEN}}</w:t>
      </w:r>
      <w:r>
        <w:t xml:space="preserve"> </w:t>
      </w:r>
      <w:r>
        <w:t xml:space="preserve">placeholder (see the legend below),</w:t>
      </w:r>
      <w:r>
        <w:t xml:space="preserve"> </w:t>
      </w:r>
      <w:r>
        <w:t xml:space="preserve">delete sections that do not apply, and keep the language specific enough to be</w:t>
      </w:r>
      <w:r>
        <w:t xml:space="preserve"> </w:t>
      </w:r>
      <w:r>
        <w:t xml:space="preserve">useful but flexible enough to tailor to the final bid. Author in Markdown;</w:t>
      </w:r>
      <w:r>
        <w:t xml:space="preserve"> </w:t>
      </w:r>
      <w:r>
        <w:t xml:space="preserve">render the customer-facing copy to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(see Appendix B).</w:t>
      </w:r>
    </w:p>
    <w:bookmarkStart w:id="9" w:name="placeholder-legend"/>
    <w:p>
      <w:pPr>
        <w:pStyle w:val="Heading3"/>
      </w:pPr>
      <w:r>
        <w:t xml:space="preserve">Placeholder legend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2"/>
        <w:gridCol w:w="54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{{COMPANY_NAME}}</w:t>
            </w:r>
          </w:p>
        </w:tc>
        <w:tc>
          <w:tcPr/>
          <w:p>
            <w:pPr>
              <w:pStyle w:val="Compact"/>
            </w:pPr>
            <w:r>
              <w:t xml:space="preserve">The responding vendor (your company)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{{CUSTOMER_NAME}}</w:t>
            </w:r>
          </w:p>
        </w:tc>
        <w:tc>
          <w:tcPr/>
          <w:p>
            <w:pPr>
              <w:pStyle w:val="Compact"/>
            </w:pPr>
            <w:r>
              <w:t xml:space="preserve">The customer / agency / organization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{{SOLUTION_NAME}}</w:t>
            </w:r>
          </w:p>
        </w:tc>
        <w:tc>
          <w:tcPr/>
          <w:p>
            <w:pPr>
              <w:pStyle w:val="Compact"/>
            </w:pPr>
            <w:r>
              <w:t xml:space="preserve">The solution / system / application / 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{{BID_NUMBER}}</w:t>
            </w:r>
          </w:p>
        </w:tc>
        <w:tc>
          <w:tcPr/>
          <w:p>
            <w:pPr>
              <w:pStyle w:val="Compact"/>
            </w:pPr>
            <w:r>
              <w:t xml:space="preserve">Opportunity / RFP / solicitation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{{SUBMISSION_DATE}}</w:t>
            </w:r>
          </w:p>
        </w:tc>
        <w:tc>
          <w:tcPr/>
          <w:p>
            <w:pPr>
              <w:pStyle w:val="Compact"/>
            </w:pPr>
            <w:r>
              <w:t xml:space="preserve">Submission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{{VERSION}}</w:t>
            </w:r>
          </w:p>
        </w:tc>
        <w:tc>
          <w:tcPr/>
          <w:p>
            <w:pPr>
              <w:pStyle w:val="Compact"/>
            </w:pPr>
            <w:r>
              <w:t xml:space="preserve">Document version (e.g. </w:t>
            </w:r>
            <w:r>
              <w:rPr>
                <w:rStyle w:val="VerbatimChar"/>
              </w:rPr>
              <w:t xml:space="preserve">1.0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{{EFFECTIVE_DATE}}</w:t>
            </w:r>
          </w:p>
        </w:tc>
        <w:tc>
          <w:tcPr/>
          <w:p>
            <w:pPr>
              <w:pStyle w:val="Compact"/>
            </w:pPr>
            <w:r>
              <w:t xml:space="preserve">Effective date of the engagement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Statement of Work / Bid Response</w:t>
      </w:r>
      <w:r>
        <w:t xml:space="preserve"> </w:t>
      </w:r>
      <w:r>
        <w:rPr>
          <w:b/>
          <w:bCs/>
        </w:rPr>
        <w:t xml:space="preserve">Prepared For:</w:t>
      </w:r>
      <w:r>
        <w:t xml:space="preserve"> </w:t>
      </w:r>
      <w:r>
        <w:rPr>
          <w:rStyle w:val="VerbatimChar"/>
        </w:rPr>
        <w:t xml:space="preserve">{{CUSTOMER_NAME}}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rPr>
          <w:rStyle w:val="VerbatimChar"/>
        </w:rPr>
        <w:t xml:space="preserve">{{COMPANY_NAME}}</w:t>
      </w:r>
      <w:r>
        <w:t xml:space="preserve"> </w:t>
      </w:r>
      <w:r>
        <w:rPr>
          <w:b/>
          <w:bCs/>
        </w:rPr>
        <w:t xml:space="preserve">Opportunity / RFP / Bid Number:</w:t>
      </w:r>
      <w:r>
        <w:t xml:space="preserve"> </w:t>
      </w:r>
      <w:r>
        <w:rPr>
          <w:rStyle w:val="VerbatimChar"/>
        </w:rPr>
        <w:t xml:space="preserve">{{BID_NUMBER}}</w:t>
      </w:r>
      <w:r>
        <w:t xml:space="preserve"> </w:t>
      </w:r>
      <w:r>
        <w:rPr>
          <w:b/>
          <w:bCs/>
        </w:rPr>
        <w:t xml:space="preserve">Submission Date:</w:t>
      </w:r>
      <w:r>
        <w:t xml:space="preserve"> </w:t>
      </w:r>
      <w:r>
        <w:rPr>
          <w:rStyle w:val="VerbatimChar"/>
        </w:rPr>
        <w:t xml:space="preserve">{{SUBMISSION_DATE}}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rPr>
          <w:rStyle w:val="VerbatimChar"/>
        </w:rPr>
        <w:t xml:space="preserve">{{VERSION}}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rPr>
          <w:rStyle w:val="VerbatimChar"/>
        </w:rPr>
        <w:t xml:space="preserve">{{COMPANY_NAME}}</w:t>
      </w:r>
      <w:r>
        <w:t xml:space="preserve"> </w:t>
      </w:r>
      <w:r>
        <w:t xml:space="preserve">is pleased to submit this Statement of Work in response to</w:t>
      </w:r>
      <w:r>
        <w:t xml:space="preserve"> </w:t>
      </w:r>
      <w:r>
        <w:rPr>
          <w:rStyle w:val="VerbatimChar"/>
        </w:rPr>
        <w:t xml:space="preserve">{{CUSTOMER_NAME}}</w:t>
      </w:r>
      <w:r>
        <w:t xml:space="preserve">’s request for technology services to design, build, implement,</w:t>
      </w:r>
      <w:r>
        <w:t xml:space="preserve"> </w:t>
      </w:r>
      <w:r>
        <w:t xml:space="preserve">operate, and maintain</w:t>
      </w:r>
      <w:r>
        <w:t xml:space="preserve"> </w:t>
      </w:r>
      <w:r>
        <w:rPr>
          <w:rStyle w:val="VerbatimChar"/>
        </w:rPr>
        <w:t xml:space="preserve">{{SOLUTION_NAME}}</w:t>
      </w:r>
      <w:r>
        <w:t xml:space="preserve">.</w:t>
      </w:r>
    </w:p>
    <w:p>
      <w:pPr>
        <w:pStyle w:val="BodyText"/>
      </w:pPr>
      <w:r>
        <w:t xml:space="preserve">Our proposed approach provides a structured, secure, scalable, and maintainable</w:t>
      </w:r>
      <w:r>
        <w:t xml:space="preserve"> </w:t>
      </w:r>
      <w:r>
        <w:t xml:space="preserve">solution that supports the customer’s business objectives, operational needs,</w:t>
      </w:r>
      <w:r>
        <w:t xml:space="preserve"> </w:t>
      </w:r>
      <w:r>
        <w:t xml:space="preserve">compliance requirements, and long-term technology roadmap.</w:t>
      </w:r>
    </w:p>
    <w:p>
      <w:pPr>
        <w:pStyle w:val="BodyText"/>
      </w:pPr>
      <w:r>
        <w:t xml:space="preserve">This Statement of Work defines the scope of services, delivery approach, governance</w:t>
      </w:r>
      <w:r>
        <w:t xml:space="preserve"> </w:t>
      </w:r>
      <w:r>
        <w:t xml:space="preserve">model, roles and responsibilities, assumptions, deliverables, milestones, acceptance</w:t>
      </w:r>
      <w:r>
        <w:t xml:space="preserve"> </w:t>
      </w:r>
      <w:r>
        <w:t xml:space="preserve">criteria, maintenance model, and pricing framework required to deliver the solution.</w:t>
      </w:r>
    </w:p>
    <w:p>
      <w:r>
        <w:pict>
          <v:rect style="width:0;height:1.5pt" o:hralign="center" o:hrstd="t" o:hr="t"/>
        </w:pict>
      </w:r>
    </w:p>
    <w:bookmarkEnd w:id="11"/>
    <w:bookmarkStart w:id="12" w:name="customer-understanding"/>
    <w:p>
      <w:pPr>
        <w:pStyle w:val="Heading2"/>
      </w:pPr>
      <w:r>
        <w:t xml:space="preserve">2. Customer Understanding</w:t>
      </w:r>
    </w:p>
    <w:p>
      <w:pPr>
        <w:pStyle w:val="FirstParagraph"/>
      </w:pPr>
      <w:r>
        <w:rPr>
          <w:rStyle w:val="VerbatimChar"/>
        </w:rPr>
        <w:t xml:space="preserve">{{COMPANY_NAME}}</w:t>
      </w:r>
      <w:r>
        <w:t xml:space="preserve"> </w:t>
      </w:r>
      <w:r>
        <w:t xml:space="preserve">understands that</w:t>
      </w:r>
      <w:r>
        <w:t xml:space="preserve"> </w:t>
      </w:r>
      <w:r>
        <w:rPr>
          <w:rStyle w:val="VerbatimChar"/>
        </w:rPr>
        <w:t xml:space="preserve">{{CUSTOMER_NAME}}</w:t>
      </w:r>
      <w:r>
        <w:t xml:space="preserve"> </w:t>
      </w:r>
      <w:r>
        <w:t xml:space="preserve">is seeking a qualified</w:t>
      </w:r>
      <w:r>
        <w:t xml:space="preserve"> </w:t>
      </w:r>
      <w:r>
        <w:t xml:space="preserve">technology partner to:</w:t>
      </w:r>
    </w:p>
    <w:p>
      <w:pPr>
        <w:pStyle w:val="Compact"/>
        <w:numPr>
          <w:ilvl w:val="0"/>
          <w:numId w:val="1001"/>
        </w:numPr>
      </w:pPr>
      <w:r>
        <w:t xml:space="preserve">Design and build</w:t>
      </w:r>
      <w:r>
        <w:t xml:space="preserve"> </w:t>
      </w:r>
      <w:r>
        <w:rPr>
          <w:rStyle w:val="VerbatimChar"/>
        </w:rPr>
        <w:t xml:space="preserve">{{SOLUTION_NAME}}</w:t>
      </w:r>
    </w:p>
    <w:p>
      <w:pPr>
        <w:pStyle w:val="Compact"/>
        <w:numPr>
          <w:ilvl w:val="0"/>
          <w:numId w:val="1001"/>
        </w:numPr>
      </w:pPr>
      <w:r>
        <w:t xml:space="preserve">Implement secure and scalable technology</w:t>
      </w:r>
    </w:p>
    <w:p>
      <w:pPr>
        <w:pStyle w:val="Compact"/>
        <w:numPr>
          <w:ilvl w:val="0"/>
          <w:numId w:val="1001"/>
        </w:numPr>
      </w:pPr>
      <w:r>
        <w:t xml:space="preserve">Support business and technical users</w:t>
      </w:r>
    </w:p>
    <w:p>
      <w:pPr>
        <w:pStyle w:val="Compact"/>
        <w:numPr>
          <w:ilvl w:val="0"/>
          <w:numId w:val="1001"/>
        </w:numPr>
      </w:pPr>
      <w:r>
        <w:t xml:space="preserve">Integrate with existing systems</w:t>
      </w:r>
    </w:p>
    <w:p>
      <w:pPr>
        <w:pStyle w:val="Compact"/>
        <w:numPr>
          <w:ilvl w:val="0"/>
          <w:numId w:val="1001"/>
        </w:numPr>
      </w:pPr>
      <w:r>
        <w:t xml:space="preserve">Migrate or manage data, where applicable</w:t>
      </w:r>
    </w:p>
    <w:p>
      <w:pPr>
        <w:pStyle w:val="Compact"/>
        <w:numPr>
          <w:ilvl w:val="0"/>
          <w:numId w:val="1001"/>
        </w:numPr>
      </w:pPr>
      <w:r>
        <w:t xml:space="preserve">Maintain the solution after production deployment</w:t>
      </w:r>
    </w:p>
    <w:p>
      <w:pPr>
        <w:pStyle w:val="Compact"/>
        <w:numPr>
          <w:ilvl w:val="0"/>
          <w:numId w:val="1001"/>
        </w:numPr>
      </w:pPr>
      <w:r>
        <w:t xml:space="preserve">Support compliance, reporting, security, and operational needs</w:t>
      </w:r>
    </w:p>
    <w:p>
      <w:pPr>
        <w:pStyle w:val="Compact"/>
        <w:numPr>
          <w:ilvl w:val="0"/>
          <w:numId w:val="1001"/>
        </w:numPr>
      </w:pPr>
      <w:r>
        <w:t xml:space="preserve">Provide documentation, training, and knowledge transfer</w:t>
      </w:r>
    </w:p>
    <w:p>
      <w:pPr>
        <w:pStyle w:val="FirstParagraph"/>
      </w:pPr>
      <w:r>
        <w:t xml:space="preserve">The proposed solution aligns to the customer’s goals of improving operational</w:t>
      </w:r>
      <w:r>
        <w:t xml:space="preserve"> </w:t>
      </w:r>
      <w:r>
        <w:t xml:space="preserve">efficiency, reducing manual effort, increasing transparency, improving system</w:t>
      </w:r>
      <w:r>
        <w:t xml:space="preserve"> </w:t>
      </w:r>
      <w:r>
        <w:t xml:space="preserve">reliability, supporting compliance and auditability, enabling future scalability,</w:t>
      </w:r>
      <w:r>
        <w:t xml:space="preserve"> </w:t>
      </w:r>
      <w:r>
        <w:t xml:space="preserve">reducing long-term maintenance risk, and improving user experience.</w:t>
      </w:r>
    </w:p>
    <w:p>
      <w:r>
        <w:pict>
          <v:rect style="width:0;height:1.5pt" o:hralign="center" o:hrstd="t" o:hr="t"/>
        </w:pict>
      </w:r>
    </w:p>
    <w:bookmarkEnd w:id="12"/>
    <w:bookmarkStart w:id="15" w:name="scope-of-work"/>
    <w:p>
      <w:pPr>
        <w:pStyle w:val="Heading2"/>
      </w:pPr>
      <w:r>
        <w:t xml:space="preserve">3. Scope of Work</w:t>
      </w:r>
    </w:p>
    <w:bookmarkStart w:id="13" w:name="in-scope-services"/>
    <w:p>
      <w:pPr>
        <w:pStyle w:val="Heading3"/>
      </w:pPr>
      <w:r>
        <w:t xml:space="preserve">3.1 In-Scope Services</w:t>
      </w:r>
    </w:p>
    <w:p>
      <w:pPr>
        <w:pStyle w:val="Compact"/>
        <w:numPr>
          <w:ilvl w:val="0"/>
          <w:numId w:val="1002"/>
        </w:numPr>
      </w:pPr>
      <w:r>
        <w:t xml:space="preserve">Project initiation and planning</w:t>
      </w:r>
    </w:p>
    <w:p>
      <w:pPr>
        <w:pStyle w:val="Compact"/>
        <w:numPr>
          <w:ilvl w:val="0"/>
          <w:numId w:val="1002"/>
        </w:numPr>
      </w:pPr>
      <w:r>
        <w:t xml:space="preserve">Requirements discovery and validation</w:t>
      </w:r>
    </w:p>
    <w:p>
      <w:pPr>
        <w:pStyle w:val="Compact"/>
        <w:numPr>
          <w:ilvl w:val="0"/>
          <w:numId w:val="1002"/>
        </w:numPr>
      </w:pPr>
      <w:r>
        <w:t xml:space="preserve">Business process review</w:t>
      </w:r>
    </w:p>
    <w:p>
      <w:pPr>
        <w:pStyle w:val="Compact"/>
        <w:numPr>
          <w:ilvl w:val="0"/>
          <w:numId w:val="1002"/>
        </w:numPr>
      </w:pPr>
      <w:r>
        <w:t xml:space="preserve">Solution architecture and technical design</w:t>
      </w:r>
    </w:p>
    <w:p>
      <w:pPr>
        <w:pStyle w:val="Compact"/>
        <w:numPr>
          <w:ilvl w:val="0"/>
          <w:numId w:val="1002"/>
        </w:numPr>
      </w:pPr>
      <w:r>
        <w:t xml:space="preserve">User experience and interface design</w:t>
      </w:r>
    </w:p>
    <w:p>
      <w:pPr>
        <w:pStyle w:val="Compact"/>
        <w:numPr>
          <w:ilvl w:val="0"/>
          <w:numId w:val="1002"/>
        </w:numPr>
      </w:pPr>
      <w:r>
        <w:t xml:space="preserve">Application development</w:t>
      </w:r>
    </w:p>
    <w:p>
      <w:pPr>
        <w:pStyle w:val="Compact"/>
        <w:numPr>
          <w:ilvl w:val="0"/>
          <w:numId w:val="1002"/>
        </w:numPr>
      </w:pPr>
      <w:r>
        <w:t xml:space="preserve">Database design and development</w:t>
      </w:r>
    </w:p>
    <w:p>
      <w:pPr>
        <w:pStyle w:val="Compact"/>
        <w:numPr>
          <w:ilvl w:val="0"/>
          <w:numId w:val="1002"/>
        </w:numPr>
      </w:pPr>
      <w:r>
        <w:t xml:space="preserve">API and integration development</w:t>
      </w:r>
    </w:p>
    <w:p>
      <w:pPr>
        <w:pStyle w:val="Compact"/>
        <w:numPr>
          <w:ilvl w:val="0"/>
          <w:numId w:val="1002"/>
        </w:numPr>
      </w:pPr>
      <w:r>
        <w:t xml:space="preserve">Security design and implementation</w:t>
      </w:r>
    </w:p>
    <w:p>
      <w:pPr>
        <w:pStyle w:val="Compact"/>
        <w:numPr>
          <w:ilvl w:val="0"/>
          <w:numId w:val="1002"/>
        </w:numPr>
      </w:pPr>
      <w:r>
        <w:t xml:space="preserve">Infrastructure and environment setup</w:t>
      </w:r>
    </w:p>
    <w:p>
      <w:pPr>
        <w:pStyle w:val="Compact"/>
        <w:numPr>
          <w:ilvl w:val="0"/>
          <w:numId w:val="1002"/>
        </w:numPr>
      </w:pPr>
      <w:r>
        <w:t xml:space="preserve">DevSecOps pipeline setup</w:t>
      </w:r>
    </w:p>
    <w:p>
      <w:pPr>
        <w:pStyle w:val="Compact"/>
        <w:numPr>
          <w:ilvl w:val="0"/>
          <w:numId w:val="1002"/>
        </w:numPr>
      </w:pPr>
      <w:r>
        <w:t xml:space="preserve">System and integration testing</w:t>
      </w:r>
    </w:p>
    <w:p>
      <w:pPr>
        <w:pStyle w:val="Compact"/>
        <w:numPr>
          <w:ilvl w:val="0"/>
          <w:numId w:val="1002"/>
        </w:numPr>
      </w:pPr>
      <w:r>
        <w:t xml:space="preserve">User acceptance testing support</w:t>
      </w:r>
    </w:p>
    <w:p>
      <w:pPr>
        <w:pStyle w:val="Compact"/>
        <w:numPr>
          <w:ilvl w:val="0"/>
          <w:numId w:val="1002"/>
        </w:numPr>
      </w:pPr>
      <w:r>
        <w:t xml:space="preserve">Performance, accessibility, and security testing</w:t>
      </w:r>
    </w:p>
    <w:p>
      <w:pPr>
        <w:pStyle w:val="Compact"/>
        <w:numPr>
          <w:ilvl w:val="0"/>
          <w:numId w:val="1002"/>
        </w:numPr>
      </w:pPr>
      <w:r>
        <w:t xml:space="preserve">Deployment planning and production implementation</w:t>
      </w:r>
    </w:p>
    <w:p>
      <w:pPr>
        <w:pStyle w:val="Compact"/>
        <w:numPr>
          <w:ilvl w:val="0"/>
          <w:numId w:val="1002"/>
        </w:numPr>
      </w:pPr>
      <w:r>
        <w:t xml:space="preserve">Documentation, training, and knowledge transfer</w:t>
      </w:r>
    </w:p>
    <w:p>
      <w:pPr>
        <w:pStyle w:val="Compact"/>
        <w:numPr>
          <w:ilvl w:val="0"/>
          <w:numId w:val="1002"/>
        </w:numPr>
      </w:pPr>
      <w:r>
        <w:t xml:space="preserve">Post-production support</w:t>
      </w:r>
    </w:p>
    <w:p>
      <w:pPr>
        <w:pStyle w:val="Compact"/>
        <w:numPr>
          <w:ilvl w:val="0"/>
          <w:numId w:val="1002"/>
        </w:numPr>
      </w:pPr>
      <w:r>
        <w:t xml:space="preserve">Ongoing maintenance and operations</w:t>
      </w:r>
    </w:p>
    <w:bookmarkEnd w:id="13"/>
    <w:bookmarkStart w:id="14" w:name="out-of-scope-services"/>
    <w:p>
      <w:pPr>
        <w:pStyle w:val="Heading3"/>
      </w:pPr>
      <w:r>
        <w:t xml:space="preserve">3.2 Out-of-Scope Services</w:t>
      </w:r>
    </w:p>
    <w:p>
      <w:pPr>
        <w:pStyle w:val="FirstParagraph"/>
      </w:pPr>
      <w:r>
        <w:t xml:space="preserve">The following are excluded unless added through a formal change request (§22):</w:t>
      </w:r>
    </w:p>
    <w:p>
      <w:pPr>
        <w:pStyle w:val="Compact"/>
        <w:numPr>
          <w:ilvl w:val="0"/>
          <w:numId w:val="1003"/>
        </w:numPr>
      </w:pPr>
      <w:r>
        <w:t xml:space="preserve">Major changes to customer-owned legacy systems</w:t>
      </w:r>
    </w:p>
    <w:p>
      <w:pPr>
        <w:pStyle w:val="Compact"/>
        <w:numPr>
          <w:ilvl w:val="0"/>
          <w:numId w:val="1003"/>
        </w:numPr>
      </w:pPr>
      <w:r>
        <w:t xml:space="preserve">Third-party licensing fees not explicitly identified</w:t>
      </w:r>
    </w:p>
    <w:p>
      <w:pPr>
        <w:pStyle w:val="Compact"/>
        <w:numPr>
          <w:ilvl w:val="0"/>
          <w:numId w:val="1003"/>
        </w:numPr>
      </w:pPr>
      <w:r>
        <w:t xml:space="preserve">Customer data cleanup beyond the agreed scope</w:t>
      </w:r>
    </w:p>
    <w:p>
      <w:pPr>
        <w:pStyle w:val="Compact"/>
        <w:numPr>
          <w:ilvl w:val="0"/>
          <w:numId w:val="1003"/>
        </w:numPr>
      </w:pPr>
      <w:r>
        <w:t xml:space="preserve">Business process redesign outside the approved project scope</w:t>
      </w:r>
    </w:p>
    <w:p>
      <w:pPr>
        <w:pStyle w:val="Compact"/>
        <w:numPr>
          <w:ilvl w:val="0"/>
          <w:numId w:val="1003"/>
        </w:numPr>
      </w:pPr>
      <w:r>
        <w:t xml:space="preserve">Hardware procurement unless specifically included</w:t>
      </w:r>
    </w:p>
    <w:p>
      <w:pPr>
        <w:pStyle w:val="Compact"/>
        <w:numPr>
          <w:ilvl w:val="0"/>
          <w:numId w:val="1003"/>
        </w:numPr>
      </w:pPr>
      <w:r>
        <w:t xml:space="preserve">Custom reporting or integrations not identified in this SOW</w:t>
      </w:r>
    </w:p>
    <w:p>
      <w:pPr>
        <w:pStyle w:val="Compact"/>
        <w:numPr>
          <w:ilvl w:val="0"/>
          <w:numId w:val="1003"/>
        </w:numPr>
      </w:pPr>
      <w:r>
        <w:t xml:space="preserve">Support for systems not identified in this SOW</w:t>
      </w:r>
    </w:p>
    <w:p>
      <w:pPr>
        <w:pStyle w:val="Compact"/>
        <w:numPr>
          <w:ilvl w:val="0"/>
          <w:numId w:val="1003"/>
        </w:numPr>
      </w:pPr>
      <w:r>
        <w:t xml:space="preserve">Regulatory certification activities not explicitly included</w:t>
      </w:r>
    </w:p>
    <w:p>
      <w:pPr>
        <w:pStyle w:val="Compact"/>
        <w:numPr>
          <w:ilvl w:val="0"/>
          <w:numId w:val="1003"/>
        </w:numPr>
      </w:pPr>
      <w:r>
        <w:t xml:space="preserve">Work requested after acceptance of final deliverables unless covered by maintenance scope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proposed-solution-overview"/>
    <w:p>
      <w:pPr>
        <w:pStyle w:val="Heading2"/>
      </w:pPr>
      <w:r>
        <w:t xml:space="preserve">4. Proposed Solution Overview</w:t>
      </w:r>
    </w:p>
    <w:p>
      <w:pPr>
        <w:pStyle w:val="FirstParagraph"/>
      </w:pPr>
      <w:r>
        <w:t xml:space="preserve">The proposed solution uses a modular, configurable, secure, and scalable</w:t>
      </w:r>
      <w:r>
        <w:t xml:space="preserve"> </w:t>
      </w:r>
      <w:r>
        <w:t xml:space="preserve">architecture that supports maintainability, observability, auditability, and</w:t>
      </w:r>
      <w:r>
        <w:t xml:space="preserve"> </w:t>
      </w:r>
      <w:r>
        <w:t xml:space="preserve">future enhancement.</w:t>
      </w:r>
    </w:p>
    <w:bookmarkStart w:id="16" w:name="solution-principles"/>
    <w:p>
      <w:pPr>
        <w:pStyle w:val="Heading3"/>
      </w:pPr>
      <w:r>
        <w:t xml:space="preserve">4.1 Solution Principles</w:t>
      </w:r>
    </w:p>
    <w:p>
      <w:pPr>
        <w:pStyle w:val="Compact"/>
        <w:numPr>
          <w:ilvl w:val="0"/>
          <w:numId w:val="1004"/>
        </w:numPr>
      </w:pPr>
      <w:r>
        <w:t xml:space="preserve">Business-outcome alignment</w:t>
      </w:r>
    </w:p>
    <w:p>
      <w:pPr>
        <w:pStyle w:val="Compact"/>
        <w:numPr>
          <w:ilvl w:val="0"/>
          <w:numId w:val="1004"/>
        </w:numPr>
      </w:pPr>
      <w:r>
        <w:t xml:space="preserve">Security by design and privacy by design</w:t>
      </w:r>
    </w:p>
    <w:p>
      <w:pPr>
        <w:pStyle w:val="Compact"/>
        <w:numPr>
          <w:ilvl w:val="0"/>
          <w:numId w:val="1004"/>
        </w:numPr>
      </w:pPr>
      <w:r>
        <w:t xml:space="preserve">Accessibility by design</w:t>
      </w:r>
    </w:p>
    <w:p>
      <w:pPr>
        <w:pStyle w:val="Compact"/>
        <w:numPr>
          <w:ilvl w:val="0"/>
          <w:numId w:val="1004"/>
        </w:numPr>
      </w:pPr>
      <w:r>
        <w:t xml:space="preserve">Cloud-ready, scalable, modular, configurable architecture</w:t>
      </w:r>
    </w:p>
    <w:p>
      <w:pPr>
        <w:pStyle w:val="Compact"/>
        <w:numPr>
          <w:ilvl w:val="0"/>
          <w:numId w:val="1004"/>
        </w:numPr>
      </w:pPr>
      <w:r>
        <w:t xml:space="preserve">High availability where required</w:t>
      </w:r>
    </w:p>
    <w:p>
      <w:pPr>
        <w:pStyle w:val="Compact"/>
        <w:numPr>
          <w:ilvl w:val="0"/>
          <w:numId w:val="1004"/>
        </w:numPr>
      </w:pPr>
      <w:r>
        <w:t xml:space="preserve">Maintainable code and documentation</w:t>
      </w:r>
    </w:p>
    <w:p>
      <w:pPr>
        <w:pStyle w:val="Compact"/>
        <w:numPr>
          <w:ilvl w:val="0"/>
          <w:numId w:val="1004"/>
        </w:numPr>
      </w:pPr>
      <w:r>
        <w:t xml:space="preserve">Automated testing and deployment</w:t>
      </w:r>
    </w:p>
    <w:p>
      <w:pPr>
        <w:pStyle w:val="Compact"/>
        <w:numPr>
          <w:ilvl w:val="0"/>
          <w:numId w:val="1004"/>
        </w:numPr>
      </w:pPr>
      <w:r>
        <w:t xml:space="preserve">Clear operational ownership</w:t>
      </w:r>
    </w:p>
    <w:p>
      <w:pPr>
        <w:pStyle w:val="Compact"/>
        <w:numPr>
          <w:ilvl w:val="0"/>
          <w:numId w:val="1004"/>
        </w:numPr>
      </w:pPr>
      <w:r>
        <w:t xml:space="preserve">Full traceability from requirements to delivery</w:t>
      </w:r>
    </w:p>
    <w:p>
      <w:pPr>
        <w:pStyle w:val="Compact"/>
        <w:numPr>
          <w:ilvl w:val="0"/>
          <w:numId w:val="1004"/>
        </w:numPr>
      </w:pPr>
      <w:r>
        <w:t xml:space="preserve">Audit-ready logging and reporting</w:t>
      </w:r>
    </w:p>
    <w:bookmarkEnd w:id="16"/>
    <w:bookmarkStart w:id="17" w:name="technology-stack"/>
    <w:p>
      <w:pPr>
        <w:pStyle w:val="Heading3"/>
      </w:pPr>
      <w:r>
        <w:t xml:space="preserve">4.2 Technology Stack</w:t>
      </w:r>
    </w:p>
    <w:p>
      <w:pPr>
        <w:pStyle w:val="FirstParagraph"/>
      </w:pPr>
      <w:r>
        <w:t xml:space="preserve">The final stack is confirmed during discovery and design. The proposed stack may include: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6"/>
        <w:gridCol w:w="64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Proposed 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Interface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{{UI_TECH}}</w:t>
            </w:r>
            <w:r>
              <w:t xml:space="preserve"> </w:t>
            </w:r>
            <w:r>
              <w:t xml:space="preserve">(e.g. React / Angular / Vue / Blazor / Swift / Kotlin)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Services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{{BACKEND_TECH}}</w:t>
            </w:r>
            <w:r>
              <w:t xml:space="preserve"> </w:t>
            </w:r>
            <w:r>
              <w:t xml:space="preserve">(e.g. .NET / Java / Node.js / Python)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Layer</w:t>
            </w:r>
          </w:p>
        </w:tc>
        <w:tc>
          <w:tcPr/>
          <w:p>
            <w:pPr>
              <w:pStyle w:val="Compact"/>
            </w:pPr>
            <w:r>
              <w:t xml:space="preserve">REST, GraphQL, SOAP/XML if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{{DB_TECH}}</w:t>
            </w:r>
            <w:r>
              <w:t xml:space="preserve"> </w:t>
            </w:r>
            <w:r>
              <w:t xml:space="preserve">(e.g. PostgreSQL / SQL Server / Oracle / MySQL)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Platform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{{CLOUD_PLATFORM}}</w:t>
            </w:r>
            <w:r>
              <w:t xml:space="preserve"> </w:t>
            </w:r>
            <w:r>
              <w:t xml:space="preserve">(e.g. AWS / Azure / GCP / On-Premises / Hybrid)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SAML, OAuth2, OIDC, MFA, RBAC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DevSecOps</w:t>
            </w:r>
          </w:p>
        </w:tc>
        <w:tc>
          <w:tcPr/>
          <w:p>
            <w:pPr>
              <w:pStyle w:val="Compact"/>
            </w:pPr>
            <w:r>
              <w:t xml:space="preserve">GitHub Actions, Azure DevOps, GitLab CI, Jenkins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 as Code</w:t>
            </w:r>
          </w:p>
        </w:tc>
        <w:tc>
          <w:tcPr/>
          <w:p>
            <w:pPr>
              <w:pStyle w:val="Compact"/>
            </w:pPr>
            <w:r>
              <w:t xml:space="preserve">Terraform, CloudFormation, Bicep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 &amp; Logging</w:t>
            </w:r>
          </w:p>
        </w:tc>
        <w:tc>
          <w:tcPr/>
          <w:p>
            <w:pPr>
              <w:pStyle w:val="Compact"/>
            </w:pPr>
            <w:r>
              <w:t xml:space="preserve">Centralized logging + audit logging; Datadog / Prometheus / Grafana / CloudWatch / Azure Monitor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Static + dependency scanning, secrets management, vulnerability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Markdown, architecture diagrams, runbooks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1" w:name="delivery-methodology"/>
    <w:p>
      <w:pPr>
        <w:pStyle w:val="Heading2"/>
      </w:pPr>
      <w:r>
        <w:t xml:space="preserve">5. Delivery Methodology</w:t>
      </w:r>
    </w:p>
    <w:bookmarkStart w:id="19" w:name="delivery-phases"/>
    <w:p>
      <w:pPr>
        <w:pStyle w:val="Heading3"/>
      </w:pPr>
      <w:r>
        <w:t xml:space="preserve">5.1 Delivery Phases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3960"/>
        <w:gridCol w:w="27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Key Deliverables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Initiation</w:t>
            </w:r>
          </w:p>
        </w:tc>
        <w:tc>
          <w:tcPr/>
          <w:p>
            <w:pPr>
              <w:pStyle w:val="Compact"/>
            </w:pPr>
            <w:r>
              <w:t xml:space="preserve">Establish governance, scope, schedule, communication model</w:t>
            </w:r>
          </w:p>
        </w:tc>
        <w:tc>
          <w:tcPr/>
          <w:p>
            <w:pPr>
              <w:pStyle w:val="Compact"/>
            </w:pPr>
            <w:r>
              <w:t xml:space="preserve">Project charter, project plan, stakeholder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Discovery</w:t>
            </w:r>
          </w:p>
        </w:tc>
        <w:tc>
          <w:tcPr/>
          <w:p>
            <w:pPr>
              <w:pStyle w:val="Compact"/>
            </w:pPr>
            <w:r>
              <w:t xml:space="preserve">Confirm business, technical, security, compliance requirements</w:t>
            </w:r>
          </w:p>
        </w:tc>
        <w:tc>
          <w:tcPr/>
          <w:p>
            <w:pPr>
              <w:pStyle w:val="Compact"/>
            </w:pPr>
            <w:r>
              <w:t xml:space="preserve">Requirements traceability matrix, discovery findings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Architecture &amp; Design</w:t>
            </w:r>
          </w:p>
        </w:tc>
        <w:tc>
          <w:tcPr/>
          <w:p>
            <w:pPr>
              <w:pStyle w:val="Compact"/>
            </w:pPr>
            <w:r>
              <w:t xml:space="preserve">Define target architecture, data model, integrations, security, environments</w:t>
            </w:r>
          </w:p>
        </w:tc>
        <w:tc>
          <w:tcPr/>
          <w:p>
            <w:pPr>
              <w:pStyle w:val="Compact"/>
            </w:pPr>
            <w:r>
              <w:t xml:space="preserve">Solution architecture, technical design, data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Build &amp; Configuration</w:t>
            </w:r>
          </w:p>
        </w:tc>
        <w:tc>
          <w:tcPr/>
          <w:p>
            <w:pPr>
              <w:pStyle w:val="Compact"/>
            </w:pPr>
            <w:r>
              <w:t xml:space="preserve">Develop and configure components</w:t>
            </w:r>
          </w:p>
        </w:tc>
        <w:tc>
          <w:tcPr/>
          <w:p>
            <w:pPr>
              <w:pStyle w:val="Compact"/>
            </w:pPr>
            <w:r>
              <w:t xml:space="preserve">Application code, database objects, integrations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Testing</w:t>
            </w:r>
          </w:p>
        </w:tc>
        <w:tc>
          <w:tcPr/>
          <w:p>
            <w:pPr>
              <w:pStyle w:val="Compact"/>
            </w:pPr>
            <w:r>
              <w:t xml:space="preserve">Validate functional and non-functional requirements</w:t>
            </w:r>
          </w:p>
        </w:tc>
        <w:tc>
          <w:tcPr/>
          <w:p>
            <w:pPr>
              <w:pStyle w:val="Compact"/>
            </w:pPr>
            <w:r>
              <w:t xml:space="preserve">Test plans, results, defect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Deployment</w:t>
            </w:r>
          </w:p>
        </w:tc>
        <w:tc>
          <w:tcPr/>
          <w:p>
            <w:pPr>
              <w:pStyle w:val="Compact"/>
            </w:pPr>
            <w:r>
              <w:t xml:space="preserve">Prepare and execute production implementation</w:t>
            </w:r>
          </w:p>
        </w:tc>
        <w:tc>
          <w:tcPr/>
          <w:p>
            <w:pPr>
              <w:pStyle w:val="Compact"/>
            </w:pPr>
            <w:r>
              <w:t xml:space="preserve">Deployment plan, rollback plan, release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Stabilization</w:t>
            </w:r>
          </w:p>
        </w:tc>
        <w:tc>
          <w:tcPr/>
          <w:p>
            <w:pPr>
              <w:pStyle w:val="Compact"/>
            </w:pPr>
            <w:r>
              <w:t xml:space="preserve">Support early production operations (hypercare)</w:t>
            </w:r>
          </w:p>
        </w:tc>
        <w:tc>
          <w:tcPr/>
          <w:p>
            <w:pPr>
              <w:pStyle w:val="Compact"/>
            </w:pPr>
            <w:r>
              <w:t xml:space="preserve">Hypercare report, issue log, support transition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 Maintenance</w:t>
            </w:r>
          </w:p>
        </w:tc>
        <w:tc>
          <w:tcPr/>
          <w:p>
            <w:pPr>
              <w:pStyle w:val="Compact"/>
            </w:pPr>
            <w:r>
              <w:t xml:space="preserve">Provide ongoing operational support and enhancements</w:t>
            </w:r>
          </w:p>
        </w:tc>
        <w:tc>
          <w:tcPr/>
          <w:p>
            <w:pPr>
              <w:pStyle w:val="Compact"/>
            </w:pPr>
            <w:r>
              <w:t xml:space="preserve">Runbooks, SLA reports, maintenance backlog</w:t>
            </w:r>
          </w:p>
        </w:tc>
      </w:tr>
    </w:tbl>
    <w:bookmarkEnd w:id="19"/>
    <w:bookmarkStart w:id="20" w:name="agile-and-governance-approach"/>
    <w:p>
      <w:pPr>
        <w:pStyle w:val="Heading3"/>
      </w:pPr>
      <w:r>
        <w:t xml:space="preserve">5.2 Agile and Governance Approach</w:t>
      </w:r>
    </w:p>
    <w:p>
      <w:pPr>
        <w:pStyle w:val="FirstParagraph"/>
      </w:pPr>
      <w:r>
        <w:t xml:space="preserve">Delivery may follow agile, hybrid, or waterfall based on customer preference and</w:t>
      </w:r>
      <w:r>
        <w:t xml:space="preserve"> </w:t>
      </w:r>
      <w:r>
        <w:t xml:space="preserve">contract requirements. Recommended practices: sprint planning, backlog grooming,</w:t>
      </w:r>
      <w:r>
        <w:t xml:space="preserve"> </w:t>
      </w:r>
      <w:r>
        <w:t xml:space="preserve">daily standups, sprint reviews and retrospectives, weekly status reporting, risk</w:t>
      </w:r>
      <w:r>
        <w:t xml:space="preserve"> </w:t>
      </w:r>
      <w:r>
        <w:t xml:space="preserve">and issue management, a change control board, requirements traceability, formal</w:t>
      </w:r>
      <w:r>
        <w:t xml:space="preserve"> </w:t>
      </w:r>
      <w:r>
        <w:t xml:space="preserve">deliverable review and approval, and executive steering committee updates.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governance-model"/>
    <w:p>
      <w:pPr>
        <w:pStyle w:val="Heading2"/>
      </w:pPr>
      <w:r>
        <w:t xml:space="preserve">6. Governance Model</w:t>
      </w:r>
    </w:p>
    <w:bookmarkStart w:id="22" w:name="objectives"/>
    <w:p>
      <w:pPr>
        <w:pStyle w:val="Heading3"/>
      </w:pPr>
      <w:r>
        <w:t xml:space="preserve">6.1 Objectives</w:t>
      </w:r>
    </w:p>
    <w:p>
      <w:pPr>
        <w:pStyle w:val="FirstParagraph"/>
      </w:pPr>
      <w:r>
        <w:t xml:space="preserve">Clear accountability, transparent reporting, controlled scope, timely</w:t>
      </w:r>
      <w:r>
        <w:t xml:space="preserve"> </w:t>
      </w:r>
      <w:r>
        <w:t xml:space="preserve">decision-making, risk visibility, issue escalation, customer alignment, contract</w:t>
      </w:r>
      <w:r>
        <w:t xml:space="preserve"> </w:t>
      </w:r>
      <w:r>
        <w:t xml:space="preserve">compliance, and quality oversight.</w:t>
      </w:r>
    </w:p>
    <w:bookmarkEnd w:id="22"/>
    <w:bookmarkStart w:id="23" w:name="structure"/>
    <w:p>
      <w:pPr>
        <w:pStyle w:val="Heading3"/>
      </w:pPr>
      <w:r>
        <w:t xml:space="preserve">6.2 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74"/>
        <w:gridCol w:w="4077"/>
        <w:gridCol w:w="15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Governance Body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 Steering Committee</w:t>
            </w:r>
          </w:p>
        </w:tc>
        <w:tc>
          <w:tcPr/>
          <w:p>
            <w:pPr>
              <w:pStyle w:val="Compact"/>
            </w:pPr>
            <w:r>
              <w:t xml:space="preserve">Strategic direction, major decisions, escalation</w:t>
            </w:r>
          </w:p>
        </w:tc>
        <w:tc>
          <w:tcPr/>
          <w:p>
            <w:pPr>
              <w:pStyle w:val="Compact"/>
            </w:pPr>
            <w:r>
              <w:t xml:space="preserve">Monthly or as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Leadership Meeting</w:t>
            </w:r>
          </w:p>
        </w:tc>
        <w:tc>
          <w:tcPr/>
          <w:p>
            <w:pPr>
              <w:pStyle w:val="Compact"/>
            </w:pPr>
            <w:r>
              <w:t xml:space="preserve">Schedule, budget, scope, risks, decisions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Architecture Review</w:t>
            </w:r>
          </w:p>
        </w:tc>
        <w:tc>
          <w:tcPr/>
          <w:p>
            <w:pPr>
              <w:pStyle w:val="Compact"/>
            </w:pPr>
            <w:r>
              <w:t xml:space="preserve">Architecture decisions, technical risks, standards</w:t>
            </w:r>
          </w:p>
        </w:tc>
        <w:tc>
          <w:tcPr/>
          <w:p>
            <w:pPr>
              <w:pStyle w:val="Compact"/>
            </w:pPr>
            <w:r>
              <w:t xml:space="preserve">Weekly or biweekly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&amp; Compliance Review</w:t>
            </w:r>
          </w:p>
        </w:tc>
        <w:tc>
          <w:tcPr/>
          <w:p>
            <w:pPr>
              <w:pStyle w:val="Compact"/>
            </w:pPr>
            <w:r>
              <w:t xml:space="preserve">Security controls, privacy, auditability, compliance</w:t>
            </w:r>
          </w:p>
        </w:tc>
        <w:tc>
          <w:tcPr/>
          <w:p>
            <w:pPr>
              <w:pStyle w:val="Compact"/>
            </w:pPr>
            <w:r>
              <w:t xml:space="preserve">As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Control Board</w:t>
            </w:r>
          </w:p>
        </w:tc>
        <w:tc>
          <w:tcPr/>
          <w:p>
            <w:pPr>
              <w:pStyle w:val="Compact"/>
            </w:pPr>
            <w:r>
              <w:t xml:space="preserve">Review and approve scope, schedule, cost changes</w:t>
            </w:r>
          </w:p>
        </w:tc>
        <w:tc>
          <w:tcPr/>
          <w:p>
            <w:pPr>
              <w:pStyle w:val="Compact"/>
            </w:pPr>
            <w:r>
              <w:t xml:space="preserve">As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 Readiness Review</w:t>
            </w:r>
          </w:p>
        </w:tc>
        <w:tc>
          <w:tcPr/>
          <w:p>
            <w:pPr>
              <w:pStyle w:val="Compact"/>
            </w:pPr>
            <w:r>
              <w:t xml:space="preserve">Production readiness and support handoff</w:t>
            </w:r>
          </w:p>
        </w:tc>
        <w:tc>
          <w:tcPr/>
          <w:p>
            <w:pPr>
              <w:pStyle w:val="Compact"/>
            </w:pPr>
            <w:r>
              <w:t xml:space="preserve">Prior to go-live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7" w:name="roles-and-responsibilities"/>
    <w:p>
      <w:pPr>
        <w:pStyle w:val="Heading2"/>
      </w:pPr>
      <w:r>
        <w:t xml:space="preserve">7. Roles and Responsibilities</w:t>
      </w:r>
    </w:p>
    <w:bookmarkStart w:id="25" w:name="vendor-company_name-responsibilities"/>
    <w:p>
      <w:pPr>
        <w:pStyle w:val="Heading3"/>
      </w:pPr>
      <w:r>
        <w:t xml:space="preserve">7.1 Vendor (</w:t>
      </w:r>
      <w:r>
        <w:rPr>
          <w:rStyle w:val="VerbatimChar"/>
        </w:rPr>
        <w:t xml:space="preserve">{{COMPANY_NAME}}</w:t>
      </w:r>
      <w:r>
        <w:t xml:space="preserve">) Responsibilities</w:t>
      </w:r>
    </w:p>
    <w:p>
      <w:pPr>
        <w:pStyle w:val="FirstParagraph"/>
      </w:pPr>
      <w:r>
        <w:t xml:space="preserve">Provide qualified personnel; manage delivery; develop and maintain the project plan;</w:t>
      </w:r>
      <w:r>
        <w:t xml:space="preserve"> </w:t>
      </w:r>
      <w:r>
        <w:t xml:space="preserve">conduct discovery; prepare design documentation; build and configure the solution;</w:t>
      </w:r>
      <w:r>
        <w:t xml:space="preserve"> </w:t>
      </w:r>
      <w:r>
        <w:t xml:space="preserve">perform agreed testing and support customer testing; prepare deployment plans;</w:t>
      </w:r>
      <w:r>
        <w:t xml:space="preserve"> </w:t>
      </w:r>
      <w:r>
        <w:t xml:space="preserve">support implementation; report status; manage risks and issues; provide knowledge</w:t>
      </w:r>
      <w:r>
        <w:t xml:space="preserve"> </w:t>
      </w:r>
      <w:r>
        <w:t xml:space="preserve">transfer; support post-production stabilization; and deliver maintenance services as agreed.</w:t>
      </w:r>
    </w:p>
    <w:bookmarkEnd w:id="25"/>
    <w:bookmarkStart w:id="26" w:name="customer-customer_name-responsibilities"/>
    <w:p>
      <w:pPr>
        <w:pStyle w:val="Heading3"/>
      </w:pPr>
      <w:r>
        <w:t xml:space="preserve">7.2 Customer (</w:t>
      </w:r>
      <w:r>
        <w:rPr>
          <w:rStyle w:val="VerbatimChar"/>
        </w:rPr>
        <w:t xml:space="preserve">{{CUSTOMER_NAME}}</w:t>
      </w:r>
      <w:r>
        <w:t xml:space="preserve">) Responsibilities</w:t>
      </w:r>
    </w:p>
    <w:p>
      <w:pPr>
        <w:pStyle w:val="FirstParagraph"/>
      </w:pPr>
      <w:r>
        <w:t xml:space="preserve">Provide access to stakeholders, systems, and environments; provide timely decisions</w:t>
      </w:r>
      <w:r>
        <w:t xml:space="preserve"> </w:t>
      </w:r>
      <w:r>
        <w:t xml:space="preserve">and approvals; provide business rules and subject-matter expertise; review and approve</w:t>
      </w:r>
      <w:r>
        <w:t xml:space="preserve"> </w:t>
      </w:r>
      <w:r>
        <w:t xml:space="preserve">deliverables; support user acceptance testing; provide test data where required;</w:t>
      </w:r>
      <w:r>
        <w:t xml:space="preserve"> </w:t>
      </w:r>
      <w:r>
        <w:t xml:space="preserve">manage customer-side communications; provide infrastructure/security access where</w:t>
      </w:r>
      <w:r>
        <w:t xml:space="preserve"> </w:t>
      </w:r>
      <w:r>
        <w:t xml:space="preserve">applicable; participate in governance; and support change-control decisions.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raci-matrix"/>
    <w:p>
      <w:pPr>
        <w:pStyle w:val="Heading2"/>
      </w:pPr>
      <w:r>
        <w:t xml:space="preserve">8. RACI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Third Party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planning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A/C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Requirements discovery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A/C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rule validation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Solution architecture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A/C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architecture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A/C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development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development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development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planning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A/C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acceptance testing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planning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A/C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deployment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A/C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Post-production support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A/C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Maintenance and operations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A/C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</w:tbl>
    <w:p>
      <w:pPr>
        <w:pStyle w:val="BodyText"/>
      </w:pPr>
      <w:r>
        <w:rPr>
          <w:b/>
          <w:bCs/>
        </w:rPr>
        <w:t xml:space="preserve">Legend:</w:t>
      </w:r>
      <w:r>
        <w:t xml:space="preserve"> </w:t>
      </w:r>
      <w:r>
        <w:t xml:space="preserve">R = Responsible · A = Accountable · C = Consulted · I = Informed</w:t>
      </w:r>
    </w:p>
    <w:p>
      <w:r>
        <w:pict>
          <v:rect style="width:0;height:1.5pt" o:hralign="center" o:hrstd="t" o:hr="t"/>
        </w:pict>
      </w:r>
    </w:p>
    <w:bookmarkEnd w:id="28"/>
    <w:bookmarkStart w:id="29" w:name="deliverables-milestone-schedule"/>
    <w:p>
      <w:pPr>
        <w:pStyle w:val="Heading2"/>
      </w:pPr>
      <w:r>
        <w:t xml:space="preserve">9. Deliverables &amp; Milestone Schedule</w:t>
      </w:r>
    </w:p>
    <w:p>
      <w:pPr>
        <w:pStyle w:val="FirstParagraph"/>
      </w:pPr>
      <w:r>
        <w:t xml:space="preserve">Deliverables are organized by</w:t>
      </w:r>
      <w:r>
        <w:t xml:space="preserve"> </w:t>
      </w:r>
      <w:r>
        <w:rPr>
          <w:b/>
          <w:bCs/>
        </w:rPr>
        <w:t xml:space="preserve">SDLC phase</w:t>
      </w:r>
      <w:r>
        <w:t xml:space="preserve">. Each phase is a</w:t>
      </w:r>
      <w:r>
        <w:t xml:space="preserve"> </w:t>
      </w:r>
      <w:r>
        <w:rPr>
          <w:b/>
          <w:bCs/>
        </w:rPr>
        <w:t xml:space="preserve">billable milestone</w:t>
      </w:r>
      <w:r>
        <w:t xml:space="preserve">: upon the</w:t>
      </w:r>
      <w:r>
        <w:t xml:space="preserve"> </w:t>
      </w:r>
      <w:r>
        <w:t xml:space="preserve">Client’s written acceptance of that phase’s deliverables, the Provider invoices the phase’s</w:t>
      </w:r>
      <w:r>
        <w:t xml:space="preserve"> </w:t>
      </w:r>
      <w:r>
        <w:rPr>
          <w:b/>
          <w:bCs/>
        </w:rPr>
        <w:t xml:space="preserve">one-time milestone fee</w:t>
      </w:r>
      <w:r>
        <w:t xml:space="preserve"> </w:t>
      </w:r>
      <w:r>
        <w:t xml:space="preserve">per the schedule below. The fees are derived from the approved</w:t>
      </w:r>
      <w:r>
        <w:t xml:space="preserve"> </w:t>
      </w:r>
      <w:r>
        <w:t xml:space="preserve">estimate’s</w:t>
      </w:r>
      <w:r>
        <w:t xml:space="preserve"> </w:t>
      </w:r>
      <w:r>
        <w:rPr>
          <w:b/>
          <w:bCs/>
        </w:rPr>
        <w:t xml:space="preserve">cost per phase</w:t>
      </w:r>
      <w:r>
        <w:t xml:space="preserve"> </w:t>
      </w:r>
      <w:r>
        <w:t xml:space="preserve">— when generated from a Kerdos estimate, this table is populated</w:t>
      </w:r>
      <w:r>
        <w:t xml:space="preserve"> </w:t>
      </w:r>
      <w:r>
        <w:t xml:space="preserve">from the estimate’s per-phase totals. Recurring costs (e.g. cloud, licenses) are billed on their</w:t>
      </w:r>
      <w:r>
        <w:t xml:space="preserve"> </w:t>
      </w:r>
      <w:r>
        <w:t xml:space="preserve">stated cadence and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milestones.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6"/>
        <w:gridCol w:w="1563"/>
        <w:gridCol w:w="1354"/>
        <w:gridCol w:w="1302"/>
        <w:gridCol w:w="1250"/>
        <w:gridCol w:w="13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SDLC Phase (Milestone)</w:t>
            </w:r>
          </w:p>
        </w:tc>
        <w:tc>
          <w:tcPr/>
          <w:p>
            <w:pPr>
              <w:pStyle w:val="Compact"/>
            </w:pPr>
            <w:r>
              <w:t xml:space="preserve">Key Deliverables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Milestone Fee (one-time)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Recurring (monthly)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Recurring (yearly)</w:t>
            </w:r>
          </w:p>
        </w:tc>
        <w:tc>
          <w:tcPr/>
          <w:p>
            <w:pPr>
              <w:pStyle w:val="Compact"/>
            </w:pPr>
            <w:r>
              <w:t xml:space="preserve">Invoice 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{{PLANNING_DELIVERABLES}}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{{PLANNING_ONE_TIME}}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{{PLANNING_MONTHLY}}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{{PLANNING_YEARLY}}</w:t>
            </w:r>
          </w:p>
        </w:tc>
        <w:tc>
          <w:tcPr/>
          <w:p>
            <w:pPr>
              <w:pStyle w:val="Compact"/>
            </w:pPr>
            <w:r>
              <w:t xml:space="preserve">Acceptance of Planning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{{DESIGN_DELIVERABLES}}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{{DESIGN_ONE_TIME}}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{{DESIGN_MONTHLY}}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{{DESIGN_YEARLY}}</w:t>
            </w:r>
          </w:p>
        </w:tc>
        <w:tc>
          <w:tcPr/>
          <w:p>
            <w:pPr>
              <w:pStyle w:val="Compact"/>
            </w:pPr>
            <w:r>
              <w:t xml:space="preserve">Acceptance of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{{DEVELOPMENT_DELIVERABLES}}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{{DEVELOPMENT_ONE_TIME}}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{{DEVELOPMENT_MONTHLY}}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{{DEVELOPMENT_YEARLY}}</w:t>
            </w:r>
          </w:p>
        </w:tc>
        <w:tc>
          <w:tcPr/>
          <w:p>
            <w:pPr>
              <w:pStyle w:val="Compact"/>
            </w:pPr>
            <w:r>
              <w:t xml:space="preserve">Acceptance of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{{TESTING_DELIVERABLES}}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{{TESTING_ONE_TIME}}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{{TESTING_MONTHLY}}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{{TESTING_YEARLY}}</w:t>
            </w:r>
          </w:p>
        </w:tc>
        <w:tc>
          <w:tcPr/>
          <w:p>
            <w:pPr>
              <w:pStyle w:val="Compact"/>
            </w:pPr>
            <w:r>
              <w:t xml:space="preserve">Acceptance of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{{DEPLOYMENT_DELIVERABLES}}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{{DEPLOYMENT_ONE_TIME}}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{{DEPLOYMENT_MONTHLY}}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{{DEPLOYMENT_YEARLY}}</w:t>
            </w:r>
          </w:p>
        </w:tc>
        <w:tc>
          <w:tcPr/>
          <w:p>
            <w:pPr>
              <w:pStyle w:val="Compact"/>
            </w:pPr>
            <w:r>
              <w:t xml:space="preserve">Go-live acceptance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Maintenance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{{MAINTENANCE_DELIVERABLES}}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{{MAINTENANCE_ONE_TIME}}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{{MAINTENANCE_MONTHLY}}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{{MAINTENANCE_YEARLY}}</w:t>
            </w:r>
          </w:p>
        </w:tc>
        <w:tc>
          <w:tcPr/>
          <w:p>
            <w:pPr>
              <w:pStyle w:val="Compact"/>
            </w:pPr>
            <w:r>
              <w:t xml:space="preserve">Per support agreement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{{MILESTONE_TOTAL}}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{{MONTHLY_TOTAL}}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{{YEARLY_TOTAL}}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Each milestone fee is invoiced upon the Client’s acceptance of that phase. Phase fees exclude the</w:t>
      </w:r>
      <w:r>
        <w:t xml:space="preserve"> </w:t>
      </w:r>
      <w:r>
        <w:t xml:space="preserve">project contingency (carried in §23 Pricing). Phases with no cost may be omitted; add custom</w:t>
      </w:r>
      <w:r>
        <w:t xml:space="preserve"> </w:t>
      </w:r>
      <w:r>
        <w:t xml:space="preserve">phases as needed.</w:t>
      </w:r>
    </w:p>
    <w:p>
      <w:r>
        <w:pict>
          <v:rect style="width:0;height:1.5pt" o:hralign="center" o:hrstd="t" o:hr="t"/>
        </w:pict>
      </w:r>
    </w:p>
    <w:bookmarkEnd w:id="29"/>
    <w:bookmarkStart w:id="30" w:name="functional-requirements"/>
    <w:p>
      <w:pPr>
        <w:pStyle w:val="Heading2"/>
      </w:pPr>
      <w:r>
        <w:t xml:space="preserve">10. Functional Requirements</w:t>
      </w:r>
    </w:p>
    <w:p>
      <w:pPr>
        <w:pStyle w:val="FirstParagraph"/>
      </w:pPr>
      <w:r>
        <w:t xml:space="preserve">Finalized during discovery. Initial functional areas may include: user registration</w:t>
      </w:r>
      <w:r>
        <w:t xml:space="preserve"> </w:t>
      </w:r>
      <w:r>
        <w:t xml:space="preserve">and access management; role-based permissions; administrative configuration; data</w:t>
      </w:r>
      <w:r>
        <w:t xml:space="preserve"> </w:t>
      </w:r>
      <w:r>
        <w:t xml:space="preserve">entry and management; workflow processing; document generation; search and reporting;</w:t>
      </w:r>
      <w:r>
        <w:t xml:space="preserve"> </w:t>
      </w:r>
      <w:r>
        <w:t xml:space="preserve">notifications and alerts; dashboards and analytics; integration with external systems;</w:t>
      </w:r>
      <w:r>
        <w:t xml:space="preserve"> </w:t>
      </w:r>
      <w:r>
        <w:t xml:space="preserve">audit trail and activity history; customer-specific business rules; data import/export;</w:t>
      </w:r>
      <w:r>
        <w:t xml:space="preserve"> </w:t>
      </w:r>
      <w:r>
        <w:t xml:space="preserve">and user support / help content.</w:t>
      </w:r>
    </w:p>
    <w:p>
      <w:r>
        <w:pict>
          <v:rect style="width:0;height:1.5pt" o:hralign="center" o:hrstd="t" o:hr="t"/>
        </w:pict>
      </w:r>
    </w:p>
    <w:bookmarkEnd w:id="30"/>
    <w:bookmarkStart w:id="37" w:name="non-functional-requirements"/>
    <w:p>
      <w:pPr>
        <w:pStyle w:val="Heading2"/>
      </w:pPr>
      <w:r>
        <w:t xml:space="preserve">11. Non-Functional Requirements</w:t>
      </w:r>
    </w:p>
    <w:bookmarkStart w:id="31" w:name="security"/>
    <w:p>
      <w:pPr>
        <w:pStyle w:val="Heading3"/>
      </w:pPr>
      <w:r>
        <w:t xml:space="preserve">11.1 Security</w:t>
      </w:r>
    </w:p>
    <w:p>
      <w:pPr>
        <w:pStyle w:val="FirstParagraph"/>
      </w:pPr>
      <w:r>
        <w:t xml:space="preserve">Role-based access control; MFA where required; encryption in transit and at rest;</w:t>
      </w:r>
      <w:r>
        <w:t xml:space="preserve"> </w:t>
      </w:r>
      <w:r>
        <w:t xml:space="preserve">secrets management; secure API access; audit logging; vulnerability management;</w:t>
      </w:r>
      <w:r>
        <w:t xml:space="preserve"> </w:t>
      </w:r>
      <w:r>
        <w:t xml:space="preserve">secure configuration; least-privilege access.</w:t>
      </w:r>
    </w:p>
    <w:bookmarkEnd w:id="31"/>
    <w:bookmarkStart w:id="32" w:name="performance"/>
    <w:p>
      <w:pPr>
        <w:pStyle w:val="Heading3"/>
      </w:pPr>
      <w:r>
        <w:t xml:space="preserve">11.2 Performance</w:t>
      </w:r>
    </w:p>
    <w:p>
      <w:pPr>
        <w:pStyle w:val="FirstParagraph"/>
      </w:pPr>
      <w:r>
        <w:t xml:space="preserve">Defined response-time and throughput targets; load testing for critical workflows;</w:t>
      </w:r>
      <w:r>
        <w:t xml:space="preserve"> </w:t>
      </w:r>
      <w:r>
        <w:t xml:space="preserve">performance monitoring; database tuning; scalable architecture.</w:t>
      </w:r>
    </w:p>
    <w:bookmarkEnd w:id="32"/>
    <w:bookmarkStart w:id="33" w:name="availability-reliability"/>
    <w:p>
      <w:pPr>
        <w:pStyle w:val="Heading3"/>
      </w:pPr>
      <w:r>
        <w:t xml:space="preserve">11.3 Availability &amp; Reliability</w:t>
      </w:r>
    </w:p>
    <w:p>
      <w:pPr>
        <w:pStyle w:val="FirstParagraph"/>
      </w:pPr>
      <w:r>
        <w:t xml:space="preserve">Defined availability targets; backup and recovery; disaster recovery planning; error</w:t>
      </w:r>
      <w:r>
        <w:t xml:space="preserve"> </w:t>
      </w:r>
      <w:r>
        <w:t xml:space="preserve">handling; logging and monitoring; automated alerts; operational runbooks.</w:t>
      </w:r>
    </w:p>
    <w:bookmarkEnd w:id="33"/>
    <w:bookmarkStart w:id="34" w:name="accessibility"/>
    <w:p>
      <w:pPr>
        <w:pStyle w:val="Heading3"/>
      </w:pPr>
      <w:r>
        <w:t xml:space="preserve">11.4 Accessibility</w:t>
      </w:r>
    </w:p>
    <w:p>
      <w:pPr>
        <w:pStyle w:val="FirstParagraph"/>
      </w:pPr>
      <w:r>
        <w:t xml:space="preserve">WCAG 2.2 and Section 508 alignment where applicable; keyboard navigation; screen-reader</w:t>
      </w:r>
      <w:r>
        <w:t xml:space="preserve"> </w:t>
      </w:r>
      <w:r>
        <w:t xml:space="preserve">support; color-contrast compliance; accessible forms and error messages.</w:t>
      </w:r>
    </w:p>
    <w:bookmarkEnd w:id="34"/>
    <w:bookmarkStart w:id="35" w:name="maintainability"/>
    <w:p>
      <w:pPr>
        <w:pStyle w:val="Heading3"/>
      </w:pPr>
      <w:r>
        <w:t xml:space="preserve">11.5 Maintainability</w:t>
      </w:r>
    </w:p>
    <w:p>
      <w:pPr>
        <w:pStyle w:val="FirstParagraph"/>
      </w:pPr>
      <w:r>
        <w:t xml:space="preserve">Modular code; configurable business rules where practical; code documentation;</w:t>
      </w:r>
      <w:r>
        <w:t xml:space="preserve"> </w:t>
      </w:r>
      <w:r>
        <w:t xml:space="preserve">automated testing; version control; release notes; technical-debt tracking.</w:t>
      </w:r>
    </w:p>
    <w:bookmarkEnd w:id="35"/>
    <w:bookmarkStart w:id="36" w:name="auditability"/>
    <w:p>
      <w:pPr>
        <w:pStyle w:val="Heading3"/>
      </w:pPr>
      <w:r>
        <w:t xml:space="preserve">11.6 Auditability</w:t>
      </w:r>
    </w:p>
    <w:p>
      <w:pPr>
        <w:pStyle w:val="FirstParagraph"/>
      </w:pPr>
      <w:r>
        <w:t xml:space="preserve">User-activity and system-event logging; change history; data-modification history;</w:t>
      </w:r>
      <w:r>
        <w:t xml:space="preserve"> </w:t>
      </w:r>
      <w:r>
        <w:t xml:space="preserve">reportable audit trail; retention policies; requirements-to-delivery traceability.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security-and-compliance-approach"/>
    <w:p>
      <w:pPr>
        <w:pStyle w:val="Heading2"/>
      </w:pPr>
      <w:r>
        <w:t xml:space="preserve">12. Security and Compliance Approach</w:t>
      </w:r>
    </w:p>
    <w:p>
      <w:pPr>
        <w:pStyle w:val="FirstParagraph"/>
      </w:pPr>
      <w:r>
        <w:t xml:space="preserve">Secure software development lifecycle practices: security-requirements review; threat</w:t>
      </w:r>
      <w:r>
        <w:t xml:space="preserve"> </w:t>
      </w:r>
      <w:r>
        <w:t xml:space="preserve">modeling; authentication/authorization design; data classification; encryption design;</w:t>
      </w:r>
      <w:r>
        <w:t xml:space="preserve"> </w:t>
      </w:r>
      <w:r>
        <w:t xml:space="preserve">secure API design; logging and monitoring design; static application security testing;</w:t>
      </w:r>
      <w:r>
        <w:t xml:space="preserve"> </w:t>
      </w:r>
      <w:r>
        <w:t xml:space="preserve">dependency vulnerability scanning; container image scanning (if applicable); penetration</w:t>
      </w:r>
      <w:r>
        <w:t xml:space="preserve"> </w:t>
      </w:r>
      <w:r>
        <w:t xml:space="preserve">testing support (if required); security defect remediation; security documentation; and</w:t>
      </w:r>
      <w:r>
        <w:t xml:space="preserve"> </w:t>
      </w:r>
      <w:r>
        <w:t xml:space="preserve">operational security handoff.</w:t>
      </w:r>
    </w:p>
    <w:p>
      <w:pPr>
        <w:pStyle w:val="BodyText"/>
      </w:pPr>
      <w:r>
        <w:t xml:space="preserve">Compliance requirements are confirmed during discovery and may include industry</w:t>
      </w:r>
      <w:r>
        <w:t xml:space="preserve"> </w:t>
      </w:r>
      <w:r>
        <w:t xml:space="preserve">regulatory requirements, customer security policies, privacy and data-retention</w:t>
      </w:r>
      <w:r>
        <w:t xml:space="preserve"> </w:t>
      </w:r>
      <w:r>
        <w:t xml:space="preserve">requirements, accessibility standards, audit-reporting requirements, change-management</w:t>
      </w:r>
      <w:r>
        <w:t xml:space="preserve"> </w:t>
      </w:r>
      <w:r>
        <w:t xml:space="preserve">requirements, and records-management requirements. Applicable frameworks may include</w:t>
      </w:r>
      <w:r>
        <w:t xml:space="preserve"> </w:t>
      </w:r>
      <w:r>
        <w:rPr>
          <w:rStyle w:val="VerbatimChar"/>
        </w:rPr>
        <w:t xml:space="preserve">{{COMPLIANCE_FRAMEWORKS}}</w:t>
      </w:r>
      <w:r>
        <w:t xml:space="preserve"> </w:t>
      </w:r>
      <w:r>
        <w:t xml:space="preserve">(e.g. HIPAA, SOC 2, FedRAMP, NIST 800-53, NIST 800-171,</w:t>
      </w:r>
      <w:r>
        <w:t xml:space="preserve"> </w:t>
      </w:r>
      <w:r>
        <w:t xml:space="preserve">PCI DSS, WCAG 2.2, Section 508).</w:t>
      </w:r>
    </w:p>
    <w:p>
      <w:r>
        <w:pict>
          <v:rect style="width:0;height:1.5pt" o:hralign="center" o:hrstd="t" o:hr="t"/>
        </w:pict>
      </w:r>
    </w:p>
    <w:bookmarkEnd w:id="38"/>
    <w:bookmarkStart w:id="41" w:name="testing-strategy"/>
    <w:p>
      <w:pPr>
        <w:pStyle w:val="Heading2"/>
      </w:pPr>
      <w:r>
        <w:t xml:space="preserve">13. Testing Strategy</w:t>
      </w:r>
    </w:p>
    <w:bookmarkStart w:id="39" w:name="testing-types"/>
    <w:p>
      <w:pPr>
        <w:pStyle w:val="Heading3"/>
      </w:pPr>
      <w:r>
        <w:t xml:space="preserve">13.1 Testing Types</w:t>
      </w:r>
    </w:p>
    <w:p>
      <w:pPr>
        <w:pStyle w:val="FirstParagraph"/>
      </w:pPr>
      <w:r>
        <w:t xml:space="preserve">Unit, component, system, integration, regression, user acceptance (support),</w:t>
      </w:r>
      <w:r>
        <w:t xml:space="preserve"> </w:t>
      </w:r>
      <w:r>
        <w:t xml:space="preserve">performance, load, accessibility, security (support), disaster recovery (if required),</w:t>
      </w:r>
      <w:r>
        <w:t xml:space="preserve"> </w:t>
      </w:r>
      <w:r>
        <w:t xml:space="preserve">and deployment-validation testing.</w:t>
      </w:r>
    </w:p>
    <w:bookmarkEnd w:id="39"/>
    <w:bookmarkStart w:id="40" w:name="test-exit-criteria"/>
    <w:p>
      <w:pPr>
        <w:pStyle w:val="Heading3"/>
      </w:pPr>
      <w:r>
        <w:t xml:space="preserve">13.2 Test Exit Criteria</w:t>
      </w:r>
    </w:p>
    <w:p>
      <w:pPr>
        <w:pStyle w:val="FirstParagraph"/>
      </w:pPr>
      <w:r>
        <w:t xml:space="preserve">Critical/high defects resolved or formally accepted; requirements traceability complete;</w:t>
      </w:r>
      <w:r>
        <w:t xml:space="preserve"> </w:t>
      </w:r>
      <w:r>
        <w:t xml:space="preserve">test cases executed and results documented; security findings addressed or accepted;</w:t>
      </w:r>
      <w:r>
        <w:t xml:space="preserve"> </w:t>
      </w:r>
      <w:r>
        <w:t xml:space="preserve">performance targets met or formally waived; UAT approval received; deployment readiness approved.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implementation-and-deployment-plan"/>
    <w:p>
      <w:pPr>
        <w:pStyle w:val="Heading2"/>
      </w:pPr>
      <w:r>
        <w:t xml:space="preserve">14. Implementation and Deployment Plan</w:t>
      </w:r>
    </w:p>
    <w:p>
      <w:pPr>
        <w:pStyle w:val="FirstParagraph"/>
      </w:pPr>
      <w:r>
        <w:t xml:space="preserve">Developed during the project; includes environment readiness; deployment roles and</w:t>
      </w:r>
      <w:r>
        <w:t xml:space="preserve"> </w:t>
      </w:r>
      <w:r>
        <w:t xml:space="preserve">responsibilities; pre-deployment checklist; deployment steps; data migration/conversion</w:t>
      </w:r>
      <w:r>
        <w:t xml:space="preserve"> </w:t>
      </w:r>
      <w:r>
        <w:t xml:space="preserve">steps; configuration steps; smoke testing; business validation; rollback criteria and</w:t>
      </w:r>
      <w:r>
        <w:t xml:space="preserve"> </w:t>
      </w:r>
      <w:r>
        <w:t xml:space="preserve">steps; communication plan; go-live approval; and post-deployment monitoring.</w:t>
      </w:r>
    </w:p>
    <w:p>
      <w:r>
        <w:pict>
          <v:rect style="width:0;height:1.5pt" o:hralign="center" o:hrstd="t" o:hr="t"/>
        </w:pict>
      </w:r>
    </w:p>
    <w:bookmarkEnd w:id="42"/>
    <w:bookmarkStart w:id="46" w:name="maintenance-and-support-model"/>
    <w:p>
      <w:pPr>
        <w:pStyle w:val="Heading2"/>
      </w:pPr>
      <w:r>
        <w:t xml:space="preserve">15. Maintenance and Support Model</w:t>
      </w:r>
    </w:p>
    <w:bookmarkStart w:id="43" w:name="support-scope"/>
    <w:p>
      <w:pPr>
        <w:pStyle w:val="Heading3"/>
      </w:pPr>
      <w:r>
        <w:t xml:space="preserve">15.1 Support Scope</w:t>
      </w:r>
    </w:p>
    <w:p>
      <w:pPr>
        <w:pStyle w:val="FirstParagraph"/>
      </w:pPr>
      <w:r>
        <w:t xml:space="preserve">Incident resolution; problem investigation; minor enhancements; security patching;</w:t>
      </w:r>
      <w:r>
        <w:t xml:space="preserve"> </w:t>
      </w:r>
      <w:r>
        <w:t xml:space="preserve">application updates; configuration changes; monitoring and alert response; database</w:t>
      </w:r>
      <w:r>
        <w:t xml:space="preserve"> </w:t>
      </w:r>
      <w:r>
        <w:t xml:space="preserve">maintenance; performance tuning; release support; documentation updates; operational reporting.</w:t>
      </w:r>
    </w:p>
    <w:bookmarkEnd w:id="43"/>
    <w:bookmarkStart w:id="44" w:name="support-levels"/>
    <w:p>
      <w:pPr>
        <w:pStyle w:val="Heading3"/>
      </w:pPr>
      <w:r>
        <w:t xml:space="preserve">15.2 Support Levels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0"/>
        <w:gridCol w:w="63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Support Level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1</w:t>
            </w:r>
          </w:p>
        </w:tc>
        <w:tc>
          <w:tcPr/>
          <w:p>
            <w:pPr>
              <w:pStyle w:val="Compact"/>
            </w:pPr>
            <w:r>
              <w:t xml:space="preserve">Initial intake, triage, known-issue 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2</w:t>
            </w:r>
          </w:p>
        </w:tc>
        <w:tc>
          <w:tcPr/>
          <w:p>
            <w:pPr>
              <w:pStyle w:val="Compact"/>
            </w:pPr>
            <w:r>
              <w:t xml:space="preserve">Functional support, configuration support, defect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3</w:t>
            </w:r>
          </w:p>
        </w:tc>
        <w:tc>
          <w:tcPr/>
          <w:p>
            <w:pPr>
              <w:pStyle w:val="Compact"/>
            </w:pPr>
            <w:r>
              <w:t xml:space="preserve">Engineering support; code, integration, and database fixes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 Support</w:t>
            </w:r>
          </w:p>
        </w:tc>
        <w:tc>
          <w:tcPr/>
          <w:p>
            <w:pPr>
              <w:pStyle w:val="Compact"/>
            </w:pPr>
            <w:r>
              <w:t xml:space="preserve">Third-party product/platform support, if applicable</w:t>
            </w:r>
          </w:p>
        </w:tc>
      </w:tr>
    </w:tbl>
    <w:bookmarkEnd w:id="44"/>
    <w:bookmarkStart w:id="45" w:name="service-level-targets"/>
    <w:p>
      <w:pPr>
        <w:pStyle w:val="Heading3"/>
      </w:pPr>
      <w:r>
        <w:t xml:space="preserve">15.3 Service Level Targets</w:t>
      </w:r>
    </w:p>
    <w:p>
      <w:pPr>
        <w:pStyle w:val="FirstParagraph"/>
      </w:pPr>
      <w:r>
        <w:t xml:space="preserve">Final SLAs are defined in the contract. Example targets: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1"/>
        <w:gridCol w:w="2554"/>
        <w:gridCol w:w="1958"/>
        <w:gridCol w:w="27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Initial Response Target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Resolution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Critical production outage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minutes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Work continuously until restored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Major functionality impaired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business hour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1–2 business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Moderate issue with workaround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business day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5–10 business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Minor issue or request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business days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As scheduled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7" w:name="project-schedule-and-milestones"/>
    <w:p>
      <w:pPr>
        <w:pStyle w:val="Heading2"/>
      </w:pPr>
      <w:r>
        <w:t xml:space="preserve">16. Project Schedule and Milestones</w:t>
      </w:r>
    </w:p>
    <w:p>
      <w:pPr>
        <w:pStyle w:val="FirstParagraph"/>
      </w:pPr>
      <w:r>
        <w:t xml:space="preserve">The final schedule is confirmed after discovery. Sample milestone structure: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95"/>
        <w:gridCol w:w="3688"/>
        <w:gridCol w:w="17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Estimated Timing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Award</w:t>
            </w:r>
          </w:p>
        </w:tc>
        <w:tc>
          <w:tcPr/>
          <w:p>
            <w:pPr>
              <w:pStyle w:val="Compact"/>
            </w:pPr>
            <w:r>
              <w:t xml:space="preserve">Customer awards work</w:t>
            </w:r>
          </w:p>
        </w:tc>
        <w:tc>
          <w:tcPr/>
          <w:p>
            <w:pPr>
              <w:pStyle w:val="Compact"/>
            </w:pPr>
            <w:r>
              <w:t xml:space="preserve">Week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Kickoff</w:t>
            </w:r>
          </w:p>
        </w:tc>
        <w:tc>
          <w:tcPr/>
          <w:p>
            <w:pPr>
              <w:pStyle w:val="Compact"/>
            </w:pPr>
            <w:r>
              <w:t xml:space="preserve">Launch delivery activities</w:t>
            </w:r>
          </w:p>
        </w:tc>
        <w:tc>
          <w:tcPr/>
          <w:p>
            <w:pPr>
              <w:pStyle w:val="Compact"/>
            </w:pPr>
            <w:r>
              <w:t xml:space="preserve">Week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Discovery Complete</w:t>
            </w:r>
          </w:p>
        </w:tc>
        <w:tc>
          <w:tcPr/>
          <w:p>
            <w:pPr>
              <w:pStyle w:val="Compact"/>
            </w:pPr>
            <w:r>
              <w:t xml:space="preserve">Requirements and scope validated</w:t>
            </w:r>
          </w:p>
        </w:tc>
        <w:tc>
          <w:tcPr/>
          <w:p>
            <w:pPr>
              <w:pStyle w:val="Compact"/>
            </w:pPr>
            <w:r>
              <w:t xml:space="preserve">Week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Complete</w:t>
            </w:r>
          </w:p>
        </w:tc>
        <w:tc>
          <w:tcPr/>
          <w:p>
            <w:pPr>
              <w:pStyle w:val="Compact"/>
            </w:pPr>
            <w:r>
              <w:t xml:space="preserve">Architecture and design approved</w:t>
            </w:r>
          </w:p>
        </w:tc>
        <w:tc>
          <w:tcPr/>
          <w:p>
            <w:pPr>
              <w:pStyle w:val="Compact"/>
            </w:pPr>
            <w:r>
              <w:t xml:space="preserve">Week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Complete</w:t>
            </w:r>
          </w:p>
        </w:tc>
        <w:tc>
          <w:tcPr/>
          <w:p>
            <w:pPr>
              <w:pStyle w:val="Compact"/>
            </w:pPr>
            <w:r>
              <w:t xml:space="preserve">Core development completed</w:t>
            </w:r>
          </w:p>
        </w:tc>
        <w:tc>
          <w:tcPr/>
          <w:p>
            <w:pPr>
              <w:pStyle w:val="Compact"/>
            </w:pPr>
            <w:r>
              <w:t xml:space="preserve">Week 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Testing Complete</w:t>
            </w:r>
          </w:p>
        </w:tc>
        <w:tc>
          <w:tcPr/>
          <w:p>
            <w:pPr>
              <w:pStyle w:val="Compact"/>
            </w:pPr>
            <w:r>
              <w:t xml:space="preserve">Internal testing completed</w:t>
            </w:r>
          </w:p>
        </w:tc>
        <w:tc>
          <w:tcPr/>
          <w:p>
            <w:pPr>
              <w:pStyle w:val="Compact"/>
            </w:pPr>
            <w:r>
              <w:t xml:space="preserve">Week 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 Complete</w:t>
            </w:r>
          </w:p>
        </w:tc>
        <w:tc>
          <w:tcPr/>
          <w:p>
            <w:pPr>
              <w:pStyle w:val="Compact"/>
            </w:pPr>
            <w:r>
              <w:t xml:space="preserve">Customer validation completed</w:t>
            </w:r>
          </w:p>
        </w:tc>
        <w:tc>
          <w:tcPr/>
          <w:p>
            <w:pPr>
              <w:pStyle w:val="Compact"/>
            </w:pPr>
            <w:r>
              <w:t xml:space="preserve">Week 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Deployment</w:t>
            </w:r>
          </w:p>
        </w:tc>
        <w:tc>
          <w:tcPr/>
          <w:p>
            <w:pPr>
              <w:pStyle w:val="Compact"/>
            </w:pPr>
            <w:r>
              <w:t xml:space="preserve">Solution implemented</w:t>
            </w:r>
          </w:p>
        </w:tc>
        <w:tc>
          <w:tcPr/>
          <w:p>
            <w:pPr>
              <w:pStyle w:val="Compact"/>
            </w:pPr>
            <w:r>
              <w:t xml:space="preserve">Week 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Hypercare Complete</w:t>
            </w:r>
          </w:p>
        </w:tc>
        <w:tc>
          <w:tcPr/>
          <w:p>
            <w:pPr>
              <w:pStyle w:val="Compact"/>
            </w:pPr>
            <w:r>
              <w:t xml:space="preserve">Stabilization completed</w:t>
            </w:r>
          </w:p>
        </w:tc>
        <w:tc>
          <w:tcPr/>
          <w:p>
            <w:pPr>
              <w:pStyle w:val="Compact"/>
            </w:pPr>
            <w:r>
              <w:t xml:space="preserve">Week 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Maintenance Start</w:t>
            </w:r>
          </w:p>
        </w:tc>
        <w:tc>
          <w:tcPr/>
          <w:p>
            <w:pPr>
              <w:pStyle w:val="Compact"/>
            </w:pPr>
            <w:r>
              <w:t xml:space="preserve">Transition to steady-state support</w:t>
            </w:r>
          </w:p>
        </w:tc>
        <w:tc>
          <w:tcPr/>
          <w:p>
            <w:pPr>
              <w:pStyle w:val="Compact"/>
            </w:pPr>
            <w:r>
              <w:t xml:space="preserve">Week 29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staffing-plan"/>
    <w:p>
      <w:pPr>
        <w:pStyle w:val="Heading2"/>
      </w:pPr>
      <w:r>
        <w:t xml:space="preserve">17. Staffing Plan</w:t>
      </w:r>
    </w:p>
    <w:p>
      <w:pPr>
        <w:pStyle w:val="FirstParagraph"/>
      </w:pPr>
      <w:r>
        <w:t xml:space="preserve">Adjusted to project size, complexity, schedule, and customer requirements.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 Sponsor</w:t>
            </w:r>
          </w:p>
        </w:tc>
        <w:tc>
          <w:tcPr/>
          <w:p>
            <w:pPr>
              <w:pStyle w:val="Compact"/>
            </w:pPr>
            <w:r>
              <w:t xml:space="preserve">Executive oversight and escalation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 Manager</w:t>
            </w:r>
          </w:p>
        </w:tc>
        <w:tc>
          <w:tcPr/>
          <w:p>
            <w:pPr>
              <w:pStyle w:val="Compact"/>
            </w:pPr>
            <w:r>
              <w:t xml:space="preserve">Overall delivery leadership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</w:pPr>
            <w:r>
              <w:t xml:space="preserve">Schedule, budget, risks, issues,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Solution Architect</w:t>
            </w:r>
          </w:p>
        </w:tc>
        <w:tc>
          <w:tcPr/>
          <w:p>
            <w:pPr>
              <w:pStyle w:val="Compact"/>
            </w:pPr>
            <w:r>
              <w:t xml:space="preserve">End-to-end solution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Architect</w:t>
            </w:r>
          </w:p>
        </w:tc>
        <w:tc>
          <w:tcPr/>
          <w:p>
            <w:pPr>
              <w:pStyle w:val="Compact"/>
            </w:pPr>
            <w:r>
              <w:t xml:space="preserve">Detailed technical design and standards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Architect</w:t>
            </w:r>
          </w:p>
        </w:tc>
        <w:tc>
          <w:tcPr/>
          <w:p>
            <w:pPr>
              <w:pStyle w:val="Compact"/>
            </w:pPr>
            <w:r>
              <w:t xml:space="preserve">Security controls and compliance alignment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Analyst</w:t>
            </w:r>
          </w:p>
        </w:tc>
        <w:tc>
          <w:tcPr/>
          <w:p>
            <w:pPr>
              <w:pStyle w:val="Compact"/>
            </w:pPr>
            <w:r>
              <w:t xml:space="preserve">Requirements, process flows, traceability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UX/UI Designer</w:t>
            </w:r>
          </w:p>
        </w:tc>
        <w:tc>
          <w:tcPr/>
          <w:p>
            <w:pPr>
              <w:pStyle w:val="Compact"/>
            </w:pPr>
            <w:r>
              <w:t xml:space="preserve">User experience and interface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 Developer</w:t>
            </w:r>
          </w:p>
        </w:tc>
        <w:tc>
          <w:tcPr/>
          <w:p>
            <w:pPr>
              <w:pStyle w:val="Compact"/>
            </w:pPr>
            <w:r>
              <w:t xml:space="preserve">Application technical leadership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Developers</w:t>
            </w:r>
          </w:p>
        </w:tc>
        <w:tc>
          <w:tcPr/>
          <w:p>
            <w:pPr>
              <w:pStyle w:val="Compact"/>
            </w:pPr>
            <w:r>
              <w:t xml:space="preserve">Application build and unit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Developer</w:t>
            </w:r>
          </w:p>
        </w:tc>
        <w:tc>
          <w:tcPr/>
          <w:p>
            <w:pPr>
              <w:pStyle w:val="Compact"/>
            </w:pPr>
            <w:r>
              <w:t xml:space="preserve">Database design and stored procedures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Engineer</w:t>
            </w:r>
          </w:p>
        </w:tc>
        <w:tc>
          <w:tcPr/>
          <w:p>
            <w:pPr>
              <w:pStyle w:val="Compact"/>
            </w:pPr>
            <w:r>
              <w:t xml:space="preserve">APIs, batch, file, event integrations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DevSecOps Engineer</w:t>
            </w:r>
          </w:p>
        </w:tc>
        <w:tc>
          <w:tcPr/>
          <w:p>
            <w:pPr>
              <w:pStyle w:val="Compact"/>
            </w:pPr>
            <w:r>
              <w:t xml:space="preserve">CI/CD, automation, infrastructure as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Lead</w:t>
            </w:r>
          </w:p>
        </w:tc>
        <w:tc>
          <w:tcPr/>
          <w:p>
            <w:pPr>
              <w:pStyle w:val="Compact"/>
            </w:pPr>
            <w:r>
              <w:t xml:space="preserve">Test strategy and quality oversight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Testers</w:t>
            </w:r>
          </w:p>
        </w:tc>
        <w:tc>
          <w:tcPr/>
          <w:p>
            <w:pPr>
              <w:pStyle w:val="Compact"/>
            </w:pPr>
            <w:r>
              <w:t xml:space="preserve">Test-case execution and defect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Engineer</w:t>
            </w:r>
          </w:p>
        </w:tc>
        <w:tc>
          <w:tcPr/>
          <w:p>
            <w:pPr>
              <w:pStyle w:val="Compact"/>
            </w:pPr>
            <w:r>
              <w:t xml:space="preserve">Performance testing and tuning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Accessibility Specialist</w:t>
            </w:r>
          </w:p>
        </w:tc>
        <w:tc>
          <w:tcPr/>
          <w:p>
            <w:pPr>
              <w:pStyle w:val="Compact"/>
            </w:pPr>
            <w:r>
              <w:t xml:space="preserve">Accessibility review and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Support Lead</w:t>
            </w:r>
          </w:p>
        </w:tc>
        <w:tc>
          <w:tcPr/>
          <w:p>
            <w:pPr>
              <w:pStyle w:val="Compact"/>
            </w:pPr>
            <w:r>
              <w:t xml:space="preserve">Support transition and operations readiness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Writer</w:t>
            </w:r>
          </w:p>
        </w:tc>
        <w:tc>
          <w:tcPr/>
          <w:p>
            <w:pPr>
              <w:pStyle w:val="Compact"/>
            </w:pPr>
            <w:r>
              <w:t xml:space="preserve">User guides, runbooks, support documentation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assumptions"/>
    <w:p>
      <w:pPr>
        <w:pStyle w:val="Heading2"/>
      </w:pPr>
      <w:r>
        <w:t xml:space="preserve">18. Assumptions</w:t>
      </w:r>
    </w:p>
    <w:p>
      <w:pPr>
        <w:pStyle w:val="Compact"/>
        <w:numPr>
          <w:ilvl w:val="0"/>
          <w:numId w:val="1005"/>
        </w:numPr>
      </w:pPr>
      <w:r>
        <w:t xml:space="preserve">Customer stakeholders are available for workshops and reviews.</w:t>
      </w:r>
    </w:p>
    <w:p>
      <w:pPr>
        <w:pStyle w:val="Compact"/>
        <w:numPr>
          <w:ilvl w:val="0"/>
          <w:numId w:val="1005"/>
        </w:numPr>
      </w:pPr>
      <w:r>
        <w:t xml:space="preserve">Customer provides timely decisions and approvals.</w:t>
      </w:r>
    </w:p>
    <w:p>
      <w:pPr>
        <w:pStyle w:val="Compact"/>
        <w:numPr>
          <w:ilvl w:val="0"/>
          <w:numId w:val="1005"/>
        </w:numPr>
      </w:pPr>
      <w:r>
        <w:t xml:space="preserve">Customer provides required access to systems, data, environments, and documentation.</w:t>
      </w:r>
    </w:p>
    <w:p>
      <w:pPr>
        <w:pStyle w:val="Compact"/>
        <w:numPr>
          <w:ilvl w:val="0"/>
          <w:numId w:val="1005"/>
        </w:numPr>
      </w:pPr>
      <w:r>
        <w:t xml:space="preserve">Requirements are baselined after discovery.</w:t>
      </w:r>
    </w:p>
    <w:p>
      <w:pPr>
        <w:pStyle w:val="Compact"/>
        <w:numPr>
          <w:ilvl w:val="0"/>
          <w:numId w:val="1005"/>
        </w:numPr>
      </w:pPr>
      <w:r>
        <w:t xml:space="preserve">Scope changes follow the approved change-control process (§22).</w:t>
      </w:r>
    </w:p>
    <w:p>
      <w:pPr>
        <w:pStyle w:val="Compact"/>
        <w:numPr>
          <w:ilvl w:val="0"/>
          <w:numId w:val="1005"/>
        </w:numPr>
      </w:pPr>
      <w:r>
        <w:t xml:space="preserve">Customer provides test data unless otherwise stated.</w:t>
      </w:r>
    </w:p>
    <w:p>
      <w:pPr>
        <w:pStyle w:val="Compact"/>
        <w:numPr>
          <w:ilvl w:val="0"/>
          <w:numId w:val="1005"/>
        </w:numPr>
      </w:pPr>
      <w:r>
        <w:t xml:space="preserve">Customer provides third-party vendor coordination where required.</w:t>
      </w:r>
    </w:p>
    <w:p>
      <w:pPr>
        <w:pStyle w:val="Compact"/>
        <w:numPr>
          <w:ilvl w:val="0"/>
          <w:numId w:val="1005"/>
        </w:numPr>
      </w:pPr>
      <w:r>
        <w:t xml:space="preserve">Environments are available per the agreed schedule.</w:t>
      </w:r>
    </w:p>
    <w:p>
      <w:pPr>
        <w:pStyle w:val="Compact"/>
        <w:numPr>
          <w:ilvl w:val="0"/>
          <w:numId w:val="1005"/>
        </w:numPr>
      </w:pPr>
      <w:r>
        <w:t xml:space="preserve">Security reviews are scheduled in alignment with the project timeline.</w:t>
      </w:r>
    </w:p>
    <w:p>
      <w:pPr>
        <w:pStyle w:val="Compact"/>
        <w:numPr>
          <w:ilvl w:val="0"/>
          <w:numId w:val="1005"/>
        </w:numPr>
      </w:pPr>
      <w:r>
        <w:t xml:space="preserve">Delays caused by missing access, approvals, decisions, or dependencies may impact schedule and cost.</w:t>
      </w:r>
    </w:p>
    <w:p>
      <w:r>
        <w:pict>
          <v:rect style="width:0;height:1.5pt" o:hralign="center" o:hrstd="t" o:hr="t"/>
        </w:pict>
      </w:r>
    </w:p>
    <w:bookmarkEnd w:id="49"/>
    <w:bookmarkStart w:id="50" w:name="constraints"/>
    <w:p>
      <w:pPr>
        <w:pStyle w:val="Heading2"/>
      </w:pPr>
      <w:r>
        <w:t xml:space="preserve">19. Constraints</w:t>
      </w:r>
    </w:p>
    <w:p>
      <w:pPr>
        <w:pStyle w:val="FirstParagraph"/>
      </w:pPr>
      <w:r>
        <w:t xml:space="preserve">Fixed procurement or regulatory deadlines; customer environment availability;</w:t>
      </w:r>
      <w:r>
        <w:t xml:space="preserve"> </w:t>
      </w:r>
      <w:r>
        <w:t xml:space="preserve">third-party vendor timelines; legacy-system limitations; data-quality issues; security</w:t>
      </w:r>
      <w:r>
        <w:t xml:space="preserve"> </w:t>
      </w:r>
      <w:r>
        <w:t xml:space="preserve">approval timelines; budget limitations; resource availability; change-freeze periods;</w:t>
      </w:r>
      <w:r>
        <w:t xml:space="preserve"> </w:t>
      </w:r>
      <w:r>
        <w:t xml:space="preserve">production release windows.</w:t>
      </w:r>
    </w:p>
    <w:p>
      <w:r>
        <w:pict>
          <v:rect style="width:0;height:1.5pt" o:hralign="center" o:hrstd="t" o:hr="t"/>
        </w:pict>
      </w:r>
    </w:p>
    <w:bookmarkEnd w:id="50"/>
    <w:bookmarkStart w:id="51" w:name="risks-and-mitigation"/>
    <w:p>
      <w:pPr>
        <w:pStyle w:val="Heading2"/>
      </w:pPr>
      <w:r>
        <w:t xml:space="preserve">20. Risks and Mitigation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8"/>
        <w:gridCol w:w="2360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Unclear requirements</w:t>
            </w:r>
          </w:p>
        </w:tc>
        <w:tc>
          <w:tcPr/>
          <w:p>
            <w:pPr>
              <w:pStyle w:val="Compact"/>
            </w:pPr>
            <w:r>
              <w:t xml:space="preserve">Rework, schedule delays</w:t>
            </w:r>
          </w:p>
        </w:tc>
        <w:tc>
          <w:tcPr/>
          <w:p>
            <w:pPr>
              <w:pStyle w:val="Compact"/>
            </w:pPr>
            <w:r>
              <w:t xml:space="preserve">Discovery workshops and formal sign-off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approval delays</w:t>
            </w:r>
          </w:p>
        </w:tc>
        <w:tc>
          <w:tcPr/>
          <w:p>
            <w:pPr>
              <w:pStyle w:val="Compact"/>
            </w:pPr>
            <w:r>
              <w:t xml:space="preserve">Schedule impact</w:t>
            </w:r>
          </w:p>
        </w:tc>
        <w:tc>
          <w:tcPr/>
          <w:p>
            <w:pPr>
              <w:pStyle w:val="Compact"/>
            </w:pPr>
            <w:r>
              <w:t xml:space="preserve">Approval SLAs and escalation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Third-party dependency delays</w:t>
            </w:r>
          </w:p>
        </w:tc>
        <w:tc>
          <w:tcPr/>
          <w:p>
            <w:pPr>
              <w:pStyle w:val="Compact"/>
            </w:pPr>
            <w:r>
              <w:t xml:space="preserve">Integration delays</w:t>
            </w:r>
          </w:p>
        </w:tc>
        <w:tc>
          <w:tcPr/>
          <w:p>
            <w:pPr>
              <w:pStyle w:val="Compact"/>
            </w:pPr>
            <w:r>
              <w:t xml:space="preserve">Identify dependencies early; track 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quality issues</w:t>
            </w:r>
          </w:p>
        </w:tc>
        <w:tc>
          <w:tcPr/>
          <w:p>
            <w:pPr>
              <w:pStyle w:val="Compact"/>
            </w:pPr>
            <w:r>
              <w:t xml:space="preserve">Testing and production issues</w:t>
            </w:r>
          </w:p>
        </w:tc>
        <w:tc>
          <w:tcPr/>
          <w:p>
            <w:pPr>
              <w:pStyle w:val="Compact"/>
            </w:pPr>
            <w:r>
              <w:t xml:space="preserve">Data assessment and cleansing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 security findings</w:t>
            </w:r>
          </w:p>
        </w:tc>
        <w:tc>
          <w:tcPr/>
          <w:p>
            <w:pPr>
              <w:pStyle w:val="Compact"/>
            </w:pPr>
            <w:r>
              <w:t xml:space="preserve">Delayed go-live</w:t>
            </w:r>
          </w:p>
        </w:tc>
        <w:tc>
          <w:tcPr/>
          <w:p>
            <w:pPr>
              <w:pStyle w:val="Compact"/>
            </w:pPr>
            <w:r>
              <w:t xml:space="preserve">Include security early in design and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growth</w:t>
            </w:r>
          </w:p>
        </w:tc>
        <w:tc>
          <w:tcPr/>
          <w:p>
            <w:pPr>
              <w:pStyle w:val="Compact"/>
            </w:pPr>
            <w:r>
              <w:t xml:space="preserve">Cost and schedule impact</w:t>
            </w:r>
          </w:p>
        </w:tc>
        <w:tc>
          <w:tcPr/>
          <w:p>
            <w:pPr>
              <w:pStyle w:val="Compact"/>
            </w:pPr>
            <w:r>
              <w:t xml:space="preserve">Formal change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 instability</w:t>
            </w:r>
          </w:p>
        </w:tc>
        <w:tc>
          <w:tcPr/>
          <w:p>
            <w:pPr>
              <w:pStyle w:val="Compact"/>
            </w:pPr>
            <w:r>
              <w:t xml:space="preserve">Testing delays</w:t>
            </w:r>
          </w:p>
        </w:tc>
        <w:tc>
          <w:tcPr/>
          <w:p>
            <w:pPr>
              <w:pStyle w:val="Compact"/>
            </w:pPr>
            <w:r>
              <w:t xml:space="preserve">Environment readiness checklist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constraints</w:t>
            </w:r>
          </w:p>
        </w:tc>
        <w:tc>
          <w:tcPr/>
          <w:p>
            <w:pPr>
              <w:pStyle w:val="Compact"/>
            </w:pPr>
            <w:r>
              <w:t xml:space="preserve">Delivery delays</w:t>
            </w:r>
          </w:p>
        </w:tc>
        <w:tc>
          <w:tcPr/>
          <w:p>
            <w:pPr>
              <w:pStyle w:val="Compact"/>
            </w:pPr>
            <w:r>
              <w:t xml:space="preserve">Staffing plan and backup resources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issues</w:t>
            </w:r>
          </w:p>
        </w:tc>
        <w:tc>
          <w:tcPr/>
          <w:p>
            <w:pPr>
              <w:pStyle w:val="Compact"/>
            </w:pPr>
            <w:r>
              <w:t xml:space="preserve">Adoption and reliability impact</w:t>
            </w:r>
          </w:p>
        </w:tc>
        <w:tc>
          <w:tcPr/>
          <w:p>
            <w:pPr>
              <w:pStyle w:val="Compact"/>
            </w:pPr>
            <w:r>
              <w:t xml:space="preserve">Performance testing and tuning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 readiness gaps</w:t>
            </w:r>
          </w:p>
        </w:tc>
        <w:tc>
          <w:tcPr/>
          <w:p>
            <w:pPr>
              <w:pStyle w:val="Compact"/>
            </w:pPr>
            <w:r>
              <w:t xml:space="preserve">Production support issues</w:t>
            </w:r>
          </w:p>
        </w:tc>
        <w:tc>
          <w:tcPr/>
          <w:p>
            <w:pPr>
              <w:pStyle w:val="Compact"/>
            </w:pPr>
            <w:r>
              <w:t xml:space="preserve">Runbooks and support transition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acceptance-criteria"/>
    <w:p>
      <w:pPr>
        <w:pStyle w:val="Heading2"/>
      </w:pPr>
      <w:r>
        <w:t xml:space="preserve">21. Acceptance Criteria</w:t>
      </w:r>
    </w:p>
    <w:p>
      <w:pPr>
        <w:pStyle w:val="FirstParagraph"/>
      </w:pPr>
      <w:r>
        <w:t xml:space="preserve">A deliverable is accepted when it is submitted in the agreed format; satisfies approved</w:t>
      </w:r>
      <w:r>
        <w:t xml:space="preserve"> </w:t>
      </w:r>
      <w:r>
        <w:t xml:space="preserve">requirements; review comments are addressed or formally dispositioned; required reviews</w:t>
      </w:r>
      <w:r>
        <w:t xml:space="preserve"> </w:t>
      </w:r>
      <w:r>
        <w:t xml:space="preserve">are complete; required approvals are received; and acceptance is documented in writing.</w:t>
      </w:r>
      <w:r>
        <w:t xml:space="preserve"> </w:t>
      </w:r>
      <w:r>
        <w:t xml:space="preserve">If the customer does not provide feedback within the agreed review period, the deliverable</w:t>
      </w:r>
      <w:r>
        <w:t xml:space="preserve"> </w:t>
      </w:r>
      <w:r>
        <w:t xml:space="preserve">may be considered accepted per the terms of the contract.</w:t>
      </w:r>
    </w:p>
    <w:p>
      <w:r>
        <w:pict>
          <v:rect style="width:0;height:1.5pt" o:hralign="center" o:hrstd="t" o:hr="t"/>
        </w:pict>
      </w:r>
    </w:p>
    <w:bookmarkEnd w:id="52"/>
    <w:bookmarkStart w:id="53" w:name="change-control"/>
    <w:p>
      <w:pPr>
        <w:pStyle w:val="Heading2"/>
      </w:pPr>
      <w:r>
        <w:t xml:space="preserve">22. Change Control</w:t>
      </w:r>
    </w:p>
    <w:p>
      <w:pPr>
        <w:pStyle w:val="FirstParagraph"/>
      </w:pPr>
      <w:r>
        <w:t xml:space="preserve">Any change to scope, schedule, cost, deliverables, assumptions, acceptance criteria, or</w:t>
      </w:r>
      <w:r>
        <w:t xml:space="preserve"> </w:t>
      </w:r>
      <w:r>
        <w:t xml:space="preserve">maintenance obligations is managed through a formal change-control process:</w:t>
      </w:r>
    </w:p>
    <w:p>
      <w:pPr>
        <w:pStyle w:val="Compact"/>
        <w:numPr>
          <w:ilvl w:val="0"/>
          <w:numId w:val="1006"/>
        </w:numPr>
      </w:pPr>
      <w:r>
        <w:t xml:space="preserve">Change-request submission</w:t>
      </w:r>
    </w:p>
    <w:p>
      <w:pPr>
        <w:pStyle w:val="Compact"/>
        <w:numPr>
          <w:ilvl w:val="0"/>
          <w:numId w:val="1006"/>
        </w:numPr>
      </w:pPr>
      <w:r>
        <w:t xml:space="preserve">Impact analysis</w:t>
      </w:r>
    </w:p>
    <w:p>
      <w:pPr>
        <w:pStyle w:val="Compact"/>
        <w:numPr>
          <w:ilvl w:val="0"/>
          <w:numId w:val="1006"/>
        </w:numPr>
      </w:pPr>
      <w:r>
        <w:t xml:space="preserve">Cost and schedule estimate</w:t>
      </w:r>
    </w:p>
    <w:p>
      <w:pPr>
        <w:pStyle w:val="Compact"/>
        <w:numPr>
          <w:ilvl w:val="0"/>
          <w:numId w:val="1006"/>
        </w:numPr>
      </w:pPr>
      <w:r>
        <w:t xml:space="preserve">Risk assessment</w:t>
      </w:r>
    </w:p>
    <w:p>
      <w:pPr>
        <w:pStyle w:val="Compact"/>
        <w:numPr>
          <w:ilvl w:val="0"/>
          <w:numId w:val="1006"/>
        </w:numPr>
      </w:pPr>
      <w:r>
        <w:t xml:space="preserve">Customer review</w:t>
      </w:r>
    </w:p>
    <w:p>
      <w:pPr>
        <w:pStyle w:val="Compact"/>
        <w:numPr>
          <w:ilvl w:val="0"/>
          <w:numId w:val="1006"/>
        </w:numPr>
      </w:pPr>
      <w:r>
        <w:t xml:space="preserve">Approval or rejection</w:t>
      </w:r>
    </w:p>
    <w:p>
      <w:pPr>
        <w:pStyle w:val="Compact"/>
        <w:numPr>
          <w:ilvl w:val="0"/>
          <w:numId w:val="1006"/>
        </w:numPr>
      </w:pPr>
      <w:r>
        <w:t xml:space="preserve">Baseline update</w:t>
      </w:r>
    </w:p>
    <w:p>
      <w:pPr>
        <w:pStyle w:val="Compact"/>
        <w:numPr>
          <w:ilvl w:val="0"/>
          <w:numId w:val="1006"/>
        </w:numPr>
      </w:pPr>
      <w:r>
        <w:t xml:space="preserve">Implementation tracking</w:t>
      </w:r>
    </w:p>
    <w:p>
      <w:pPr>
        <w:pStyle w:val="FirstParagraph"/>
      </w:pPr>
      <w:r>
        <w:t xml:space="preserve">No work outside approved scope begins until the change request is approved by authorized</w:t>
      </w:r>
      <w:r>
        <w:t xml:space="preserve"> </w:t>
      </w:r>
      <w:r>
        <w:t xml:space="preserve">customer and vendor representatives.</w:t>
      </w:r>
    </w:p>
    <w:p>
      <w:r>
        <w:pict>
          <v:rect style="width:0;height:1.5pt" o:hralign="center" o:hrstd="t" o:hr="t"/>
        </w:pict>
      </w:r>
    </w:p>
    <w:bookmarkEnd w:id="53"/>
    <w:bookmarkStart w:id="57" w:name="pricing-framework"/>
    <w:p>
      <w:pPr>
        <w:pStyle w:val="Heading2"/>
      </w:pPr>
      <w:r>
        <w:t xml:space="preserve">23. Pricing Framework</w:t>
      </w:r>
    </w:p>
    <w:p>
      <w:pPr>
        <w:pStyle w:val="BlockText"/>
      </w:pPr>
      <w:r>
        <w:rPr>
          <w:b/>
          <w:bCs/>
        </w:rPr>
        <w:t xml:space="preserve">Kerdos mapping.</w:t>
      </w:r>
      <w:r>
        <w:t xml:space="preserve"> </w:t>
      </w:r>
      <w:r>
        <w:t xml:space="preserve">When this SOW is generated from a Kerdos estimate, this section</w:t>
      </w:r>
      <w:r>
        <w:t xml:space="preserve"> </w:t>
      </w:r>
      <w:r>
        <w:t xml:space="preserve">is populated from the estimate’s computed totals: labor, non-labor, and cloud line</w:t>
      </w:r>
      <w:r>
        <w:t xml:space="preserve"> </w:t>
      </w:r>
      <w:r>
        <w:t xml:space="preserve">items; the applied</w:t>
      </w:r>
      <w:r>
        <w:t xml:space="preserve"> </w:t>
      </w:r>
      <w:r>
        <w:rPr>
          <w:b/>
          <w:bCs/>
        </w:rPr>
        <w:t xml:space="preserve">upcharge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contingency</w:t>
      </w:r>
      <w:r>
        <w:t xml:space="preserve">; and the</w:t>
      </w:r>
      <w:r>
        <w:t xml:space="preserve"> </w:t>
      </w:r>
      <w:r>
        <w:rPr>
          <w:b/>
          <w:bCs/>
        </w:rPr>
        <w:t xml:space="preserve">one-time, monthly, and</w:t>
      </w:r>
      <w:r>
        <w:rPr>
          <w:b/>
          <w:bCs/>
        </w:rPr>
        <w:t xml:space="preserve"> </w:t>
      </w:r>
      <w:r>
        <w:rPr>
          <w:b/>
          <w:bCs/>
        </w:rPr>
        <w:t xml:space="preserve">annualized (yearly)</w:t>
      </w:r>
      <w:r>
        <w:t xml:space="preserve"> </w:t>
      </w:r>
      <w:r>
        <w:t xml:space="preserve">roll-ups. The snapshotted unit prices on the estimate ensure the</w:t>
      </w:r>
      <w:r>
        <w:t xml:space="preserve"> </w:t>
      </w:r>
      <w:r>
        <w:t xml:space="preserve">SOW pricing does not drift if rate cards or the cloud catalog are later refreshed.</w:t>
      </w:r>
    </w:p>
    <w:p>
      <w:pPr>
        <w:pStyle w:val="FirstParagraph"/>
      </w:pPr>
      <w:r>
        <w:t xml:space="preserve">Pricing is finalized based on the approved scope, delivery model, staffing plan,</w:t>
      </w:r>
      <w:r>
        <w:t xml:space="preserve"> </w:t>
      </w:r>
      <w:r>
        <w:t xml:space="preserve">technology stack, timeline, and maintenance requirements.</w:t>
      </w:r>
    </w:p>
    <w:bookmarkStart w:id="54" w:name="pricing-options"/>
    <w:p>
      <w:pPr>
        <w:pStyle w:val="Heading3"/>
      </w:pPr>
      <w:r>
        <w:t xml:space="preserve">23.1 Pricing Options</w:t>
      </w:r>
    </w:p>
    <w:p>
      <w:pPr>
        <w:pStyle w:val="FirstParagraph"/>
      </w:pPr>
      <w:r>
        <w:t xml:space="preserve">Fixed price; time and materials; not-to-exceed; monthly managed services; milestone-based</w:t>
      </w:r>
      <w:r>
        <w:t xml:space="preserve"> </w:t>
      </w:r>
      <w:r>
        <w:t xml:space="preserve">payments; retainer-based support; hybrid delivery and maintenance.</w:t>
      </w:r>
    </w:p>
    <w:bookmarkEnd w:id="54"/>
    <w:bookmarkStart w:id="55" w:name="cost-categories"/>
    <w:p>
      <w:pPr>
        <w:pStyle w:val="Heading3"/>
      </w:pPr>
      <w:r>
        <w:t xml:space="preserve">23.2 Cost Categories</w:t>
      </w:r>
    </w:p>
    <w:p>
      <w:pPr>
        <w:pStyle w:val="FirstParagraph"/>
      </w:pPr>
      <w:r>
        <w:t xml:space="preserve">Project management; business analysis; architecture and design; development; testing;</w:t>
      </w:r>
      <w:r>
        <w:t xml:space="preserve"> </w:t>
      </w:r>
      <w:r>
        <w:t xml:space="preserve">security support; DevSecOps; cloud/hosting; licensing; third-party services; data</w:t>
      </w:r>
      <w:r>
        <w:t xml:space="preserve"> </w:t>
      </w:r>
      <w:r>
        <w:t xml:space="preserve">migration; training; documentation; production support; maintenance and enhancements.</w:t>
      </w:r>
    </w:p>
    <w:bookmarkEnd w:id="55"/>
    <w:bookmarkStart w:id="56" w:name="pricing-summary"/>
    <w:p>
      <w:pPr>
        <w:pStyle w:val="Heading3"/>
      </w:pPr>
      <w:r>
        <w:t xml:space="preserve">23.3 Pricing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15"/>
        <w:gridCol w:w="1734"/>
        <w:gridCol w:w="1659"/>
        <w:gridCol w:w="1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Cost 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One-Time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Annualized (Yearly)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{{CATEGORY}}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{{ONE_TIME}}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{{MONTHLY}}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{{YEARLY}}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{{SUBTOTAL_ONE_TIME}}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{{SUBTOTAL_MONTHLY}}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{{SUBTOTAL_YEARLY}}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Upcharge (</w:t>
            </w:r>
            <w:r>
              <w:rPr>
                <w:rStyle w:val="VerbatimChar"/>
              </w:rPr>
              <w:t xml:space="preserve">{{UPCHARGE_PCT}}</w:t>
            </w:r>
            <w:r>
              <w:t xml:space="preserve">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{{UPCHARGE_AMOUNT}}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Contingency (</w:t>
            </w:r>
            <w:r>
              <w:rPr>
                <w:rStyle w:val="VerbatimChar"/>
              </w:rPr>
              <w:t xml:space="preserve">{{CONTINGENCY_PCT}}</w:t>
            </w:r>
            <w:r>
              <w:t xml:space="preserve">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{{CONTINGENCY_AMOUNT}}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Grand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{{GRAND_TOTAL}}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58" w:name="maintenance-pricing-model"/>
    <w:p>
      <w:pPr>
        <w:pStyle w:val="Heading2"/>
      </w:pPr>
      <w:r>
        <w:t xml:space="preserve">24. Maintenance Pricing Model</w:t>
      </w:r>
    </w:p>
    <w:p>
      <w:pPr>
        <w:pStyle w:val="FirstParagraph"/>
      </w:pPr>
      <w:r>
        <w:t xml:space="preserve">Ongoing maintenance may be priced using a monthly fixed support fee; annual support</w:t>
      </w:r>
      <w:r>
        <w:t xml:space="preserve"> </w:t>
      </w:r>
      <w:r>
        <w:t xml:space="preserve">agreement; hourly support bank; enhancement-backlog model; SLA-based managed services; or</w:t>
      </w:r>
      <w:r>
        <w:t xml:space="preserve"> </w:t>
      </w:r>
      <w:r>
        <w:t xml:space="preserve">a production-support retainer. Maintenance pricing should clearly define included support</w:t>
      </w:r>
      <w:r>
        <w:t xml:space="preserve"> </w:t>
      </w:r>
      <w:r>
        <w:t xml:space="preserve">hours, coverage window, response targets, exclusions, enhancement pricing, after-hours</w:t>
      </w:r>
      <w:r>
        <w:t xml:space="preserve"> </w:t>
      </w:r>
      <w:r>
        <w:t xml:space="preserve">pricing, escalation process, and reporting frequency.</w:t>
      </w:r>
    </w:p>
    <w:p>
      <w:r>
        <w:pict>
          <v:rect style="width:0;height:1.5pt" o:hralign="center" o:hrstd="t" o:hr="t"/>
        </w:pict>
      </w:r>
    </w:p>
    <w:bookmarkEnd w:id="58"/>
    <w:bookmarkStart w:id="59" w:name="communication-plan"/>
    <w:p>
      <w:pPr>
        <w:pStyle w:val="Heading2"/>
      </w:pPr>
      <w:r>
        <w:t xml:space="preserve">25. Communication Plan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2"/>
        <w:gridCol w:w="2313"/>
        <w:gridCol w:w="1601"/>
        <w:gridCol w:w="16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status report</w:t>
            </w:r>
          </w:p>
        </w:tc>
        <w:tc>
          <w:tcPr/>
          <w:p>
            <w:pPr>
              <w:pStyle w:val="Compact"/>
            </w:pPr>
            <w:r>
              <w:t xml:space="preserve">Project stakeholders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Project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 summary</w:t>
            </w:r>
          </w:p>
        </w:tc>
        <w:tc>
          <w:tcPr/>
          <w:p>
            <w:pPr>
              <w:pStyle w:val="Compact"/>
            </w:pPr>
            <w:r>
              <w:t xml:space="preserve">Executive sponsors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Program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and issue log</w:t>
            </w:r>
          </w:p>
        </w:tc>
        <w:tc>
          <w:tcPr/>
          <w:p>
            <w:pPr>
              <w:pStyle w:val="Compact"/>
            </w:pPr>
            <w:r>
              <w:t xml:space="preserve">Project leadership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Project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review</w:t>
            </w:r>
          </w:p>
        </w:tc>
        <w:tc>
          <w:tcPr/>
          <w:p>
            <w:pPr>
              <w:pStyle w:val="Compact"/>
            </w:pPr>
            <w:r>
              <w:t xml:space="preserve">Technical stakeholders</w:t>
            </w:r>
          </w:p>
        </w:tc>
        <w:tc>
          <w:tcPr/>
          <w:p>
            <w:pPr>
              <w:pStyle w:val="Compact"/>
            </w:pPr>
            <w:r>
              <w:t xml:space="preserve">Weekly or biweekly</w:t>
            </w:r>
          </w:p>
        </w:tc>
        <w:tc>
          <w:tcPr/>
          <w:p>
            <w:pPr>
              <w:pStyle w:val="Compact"/>
            </w:pPr>
            <w:r>
              <w:t xml:space="preserve">Solution Architect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review</w:t>
            </w:r>
          </w:p>
        </w:tc>
        <w:tc>
          <w:tcPr/>
          <w:p>
            <w:pPr>
              <w:pStyle w:val="Compact"/>
            </w:pPr>
            <w:r>
              <w:t xml:space="preserve">Security stakeholders</w:t>
            </w:r>
          </w:p>
        </w:tc>
        <w:tc>
          <w:tcPr/>
          <w:p>
            <w:pPr>
              <w:pStyle w:val="Compact"/>
            </w:pPr>
            <w:r>
              <w:t xml:space="preserve">As needed</w:t>
            </w:r>
          </w:p>
        </w:tc>
        <w:tc>
          <w:tcPr/>
          <w:p>
            <w:pPr>
              <w:pStyle w:val="Compact"/>
            </w:pPr>
            <w:r>
              <w:t xml:space="preserve">Security Architect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readiness review</w:t>
            </w:r>
          </w:p>
        </w:tc>
        <w:tc>
          <w:tcPr/>
          <w:p>
            <w:pPr>
              <w:pStyle w:val="Compact"/>
            </w:pPr>
            <w:r>
              <w:t xml:space="preserve">Project + operations teams</w:t>
            </w:r>
          </w:p>
        </w:tc>
        <w:tc>
          <w:tcPr/>
          <w:p>
            <w:pPr>
              <w:pStyle w:val="Compact"/>
            </w:pPr>
            <w:r>
              <w:t xml:space="preserve">Prior to go-live</w:t>
            </w:r>
          </w:p>
        </w:tc>
        <w:tc>
          <w:tcPr/>
          <w:p>
            <w:pPr>
              <w:pStyle w:val="Compact"/>
            </w:pPr>
            <w:r>
              <w:t xml:space="preserve">Project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Maintenance report</w:t>
            </w:r>
          </w:p>
        </w:tc>
        <w:tc>
          <w:tcPr/>
          <w:p>
            <w:pPr>
              <w:pStyle w:val="Compact"/>
            </w:pPr>
            <w:r>
              <w:t xml:space="preserve">Operations stakeholders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Support Lead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documentation-requirements"/>
    <w:p>
      <w:pPr>
        <w:pStyle w:val="Heading2"/>
      </w:pPr>
      <w:r>
        <w:t xml:space="preserve">26. Documentation Requirements</w:t>
      </w:r>
    </w:p>
    <w:p>
      <w:pPr>
        <w:pStyle w:val="FirstParagraph"/>
      </w:pPr>
      <w:r>
        <w:t xml:space="preserve">Project charter; schedule; status reports; risk/issue logs; requirements document;</w:t>
      </w:r>
      <w:r>
        <w:t xml:space="preserve"> </w:t>
      </w:r>
      <w:r>
        <w:t xml:space="preserve">requirements traceability matrix; solution architecture document; technical design</w:t>
      </w:r>
      <w:r>
        <w:t xml:space="preserve"> </w:t>
      </w:r>
      <w:r>
        <w:t xml:space="preserve">document; data model; interface control document; API documentation; security design</w:t>
      </w:r>
      <w:r>
        <w:t xml:space="preserve"> </w:t>
      </w:r>
      <w:r>
        <w:t xml:space="preserve">document; test strategy, cases, and results; deployment and rollback plans; user and</w:t>
      </w:r>
      <w:r>
        <w:t xml:space="preserve"> </w:t>
      </w:r>
      <w:r>
        <w:t xml:space="preserve">administrator guides; training materials; operations runbook; maintenance guide; and</w:t>
      </w:r>
      <w:r>
        <w:t xml:space="preserve"> </w:t>
      </w:r>
      <w:r>
        <w:t xml:space="preserve">knowledge-transfer materials.</w:t>
      </w:r>
    </w:p>
    <w:p>
      <w:r>
        <w:pict>
          <v:rect style="width:0;height:1.5pt" o:hralign="center" o:hrstd="t" o:hr="t"/>
        </w:pict>
      </w:r>
    </w:p>
    <w:bookmarkEnd w:id="60"/>
    <w:bookmarkStart w:id="61" w:name="quality-management"/>
    <w:p>
      <w:pPr>
        <w:pStyle w:val="Heading2"/>
      </w:pPr>
      <w:r>
        <w:t xml:space="preserve">27. Quality Management</w:t>
      </w:r>
    </w:p>
    <w:p>
      <w:pPr>
        <w:pStyle w:val="FirstParagraph"/>
      </w:pPr>
      <w:r>
        <w:t xml:space="preserve">Managed through requirements traceability; design, code, peer, security, and</w:t>
      </w:r>
      <w:r>
        <w:t xml:space="preserve"> </w:t>
      </w:r>
      <w:r>
        <w:t xml:space="preserve">accessibility reviews; automated and manual testing; defect tracking; performance</w:t>
      </w:r>
      <w:r>
        <w:t xml:space="preserve"> </w:t>
      </w:r>
      <w:r>
        <w:t xml:space="preserve">validation; release-readiness reviews; acceptance-criteria validation; and continuous</w:t>
      </w:r>
      <w:r>
        <w:t xml:space="preserve"> </w:t>
      </w:r>
      <w:r>
        <w:t xml:space="preserve">improvement.</w:t>
      </w:r>
    </w:p>
    <w:p>
      <w:pPr>
        <w:pStyle w:val="BodyText"/>
      </w:pPr>
      <w:r>
        <w:t xml:space="preserve">Quality metrics may include defect density, defect leakage, test pass rate, requirements</w:t>
      </w:r>
      <w:r>
        <w:t xml:space="preserve"> </w:t>
      </w:r>
      <w:r>
        <w:t xml:space="preserve">coverage, code coverage, security-vulnerability counts, SLA performance, release success</w:t>
      </w:r>
      <w:r>
        <w:t xml:space="preserve"> </w:t>
      </w:r>
      <w:r>
        <w:t xml:space="preserve">rate, incident trends, and customer satisfaction.</w:t>
      </w:r>
    </w:p>
    <w:p>
      <w:r>
        <w:pict>
          <v:rect style="width:0;height:1.5pt" o:hralign="center" o:hrstd="t" o:hr="t"/>
        </w:pict>
      </w:r>
    </w:p>
    <w:bookmarkEnd w:id="61"/>
    <w:bookmarkStart w:id="62" w:name="intellectual-property"/>
    <w:p>
      <w:pPr>
        <w:pStyle w:val="Heading2"/>
      </w:pPr>
      <w:r>
        <w:t xml:space="preserve">28. Intellectual Property</w:t>
      </w:r>
    </w:p>
    <w:p>
      <w:pPr>
        <w:pStyle w:val="FirstParagraph"/>
      </w:pPr>
      <w:r>
        <w:t xml:space="preserve">Governed by the final contract. The SOW should clearly define ownership of</w:t>
      </w:r>
      <w:r>
        <w:t xml:space="preserve"> </w:t>
      </w:r>
      <w:r>
        <w:t xml:space="preserve">custom-developed code; reusable frameworks; pre-existing vendor assets; customer data;</w:t>
      </w:r>
      <w:r>
        <w:t xml:space="preserve"> </w:t>
      </w:r>
      <w:r>
        <w:t xml:space="preserve">documentation; configuration; scripts; templates; automation assets; and third-party</w:t>
      </w:r>
      <w:r>
        <w:t xml:space="preserve"> </w:t>
      </w:r>
      <w:r>
        <w:t xml:space="preserve">components.</w:t>
      </w:r>
    </w:p>
    <w:p>
      <w:r>
        <w:pict>
          <v:rect style="width:0;height:1.5pt" o:hralign="center" o:hrstd="t" o:hr="t"/>
        </w:pict>
      </w:r>
    </w:p>
    <w:bookmarkEnd w:id="62"/>
    <w:bookmarkStart w:id="63" w:name="data-ownership-and-privacy"/>
    <w:p>
      <w:pPr>
        <w:pStyle w:val="Heading2"/>
      </w:pPr>
      <w:r>
        <w:t xml:space="preserve">29. Data Ownership and Privacy</w:t>
      </w:r>
    </w:p>
    <w:p>
      <w:pPr>
        <w:pStyle w:val="FirstParagraph"/>
      </w:pPr>
      <w:r>
        <w:t xml:space="preserve">Customer data remains the property of</w:t>
      </w:r>
      <w:r>
        <w:t xml:space="preserve"> </w:t>
      </w:r>
      <w:r>
        <w:rPr>
          <w:rStyle w:val="VerbatimChar"/>
        </w:rPr>
        <w:t xml:space="preserve">{{CUSTOMER_NAME}}</w:t>
      </w:r>
      <w:r>
        <w:t xml:space="preserve"> </w:t>
      </w:r>
      <w:r>
        <w:t xml:space="preserve">unless otherwise defined by</w:t>
      </w:r>
      <w:r>
        <w:t xml:space="preserve"> </w:t>
      </w:r>
      <w:r>
        <w:t xml:space="preserve">contract. The solution supports data-privacy requirements; data access controls;</w:t>
      </w:r>
      <w:r>
        <w:t xml:space="preserve"> </w:t>
      </w:r>
      <w:r>
        <w:t xml:space="preserve">retention, archival, and deletion rules; data encryption; audit logging; and data-breach</w:t>
      </w:r>
      <w:r>
        <w:t xml:space="preserve"> </w:t>
      </w:r>
      <w:r>
        <w:t xml:space="preserve">notification processes where applicable.</w:t>
      </w:r>
    </w:p>
    <w:p>
      <w:r>
        <w:pict>
          <v:rect style="width:0;height:1.5pt" o:hralign="center" o:hrstd="t" o:hr="t"/>
        </w:pict>
      </w:r>
    </w:p>
    <w:bookmarkEnd w:id="63"/>
    <w:bookmarkStart w:id="64" w:name="warranty"/>
    <w:p>
      <w:pPr>
        <w:pStyle w:val="Heading2"/>
      </w:pPr>
      <w:r>
        <w:t xml:space="preserve">30. Warranty</w:t>
      </w:r>
    </w:p>
    <w:p>
      <w:pPr>
        <w:pStyle w:val="FirstParagraph"/>
      </w:pPr>
      <w:r>
        <w:t xml:space="preserve">Warranty terms are defined in the final contract. Typical coverage: correction of defects</w:t>
      </w:r>
      <w:r>
        <w:t xml:space="preserve"> </w:t>
      </w:r>
      <w:r>
        <w:t xml:space="preserve">caused by vendor-developed code; support for agreed production defects; validation against</w:t>
      </w:r>
      <w:r>
        <w:t xml:space="preserve"> </w:t>
      </w:r>
      <w:r>
        <w:t xml:space="preserve">approved requirements; and exclusions for customer changes, third-party failures,</w:t>
      </w:r>
      <w:r>
        <w:t xml:space="preserve"> </w:t>
      </w:r>
      <w:r>
        <w:t xml:space="preserve">environment changes, or use outside the approved design.</w:t>
      </w:r>
    </w:p>
    <w:p>
      <w:r>
        <w:pict>
          <v:rect style="width:0;height:1.5pt" o:hralign="center" o:hrstd="t" o:hr="t"/>
        </w:pict>
      </w:r>
    </w:p>
    <w:bookmarkEnd w:id="64"/>
    <w:bookmarkStart w:id="65" w:name="sign-off"/>
    <w:p>
      <w:pPr>
        <w:pStyle w:val="Heading2"/>
      </w:pPr>
      <w:r>
        <w:t xml:space="preserve">31. Sign-Off</w:t>
      </w:r>
    </w:p>
    <w:p>
      <w:pPr>
        <w:pStyle w:val="FirstParagraph"/>
      </w:pPr>
      <w:r>
        <w:t xml:space="preserve">By signing below, both parties acknowledge they have reviewed this Statement of Work and</w:t>
      </w:r>
      <w:r>
        <w:t xml:space="preserve"> </w:t>
      </w:r>
      <w:r>
        <w:t xml:space="preserve">agree to the scope, assumptions, responsibilities, deliverables, and terms described</w:t>
      </w:r>
      <w:r>
        <w:t xml:space="preserve"> </w:t>
      </w:r>
      <w:r>
        <w:t xml:space="preserve">herein, subject to the final contract.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22"/>
        <w:gridCol w:w="2515"/>
        <w:gridCol w:w="1770"/>
        <w:gridCol w:w="838"/>
        <w:gridCol w:w="3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{{CUSTOMER_SIGNER_NAME}}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{{CUSTOMER_SIGNER_TITLE}}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{{CUSTOMER_NAME}}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{{VENDOR_SIGNER_NAME}}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{{VENDOR_SIGNER_TITLE}}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{{COMPANY_NAME}}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appendix-a-bid-response-writing-guidance"/>
    <w:p>
      <w:pPr>
        <w:pStyle w:val="Heading2"/>
      </w:pPr>
      <w:r>
        <w:t xml:space="preserve">Appendix A — Bid Response Writing Guidance</w:t>
      </w:r>
    </w:p>
    <w:p>
      <w:pPr>
        <w:pStyle w:val="FirstParagraph"/>
      </w:pPr>
      <w:r>
        <w:t xml:space="preserve">When preparing a SOW in response to a bid, ensure the response: directly addresses the</w:t>
      </w:r>
      <w:r>
        <w:t xml:space="preserve"> </w:t>
      </w:r>
      <w:r>
        <w:t xml:space="preserve">requested scope; uses the customer’s terminology; maps deliverables to bid requirements;</w:t>
      </w:r>
      <w:r>
        <w:t xml:space="preserve"> </w:t>
      </w:r>
      <w:r>
        <w:t xml:space="preserve">clearly defines what is included and excluded; avoids overpromising; includes measurable</w:t>
      </w:r>
      <w:r>
        <w:t xml:space="preserve"> </w:t>
      </w:r>
      <w:r>
        <w:t xml:space="preserve">acceptance criteria; includes assumptions that protect delivery; includes a realistic</w:t>
      </w:r>
      <w:r>
        <w:t xml:space="preserve"> </w:t>
      </w:r>
      <w:r>
        <w:t xml:space="preserve">support and maintenance model; identifies dependencies and customer responsibilities;</w:t>
      </w:r>
      <w:r>
        <w:t xml:space="preserve"> </w:t>
      </w:r>
      <w:r>
        <w:t xml:space="preserve">includes security, compliance, accessibility, and operational readiness; and is written</w:t>
      </w:r>
      <w:r>
        <w:t xml:space="preserve"> </w:t>
      </w:r>
      <w:r>
        <w:t xml:space="preserve">in professional, contract-ready language.</w:t>
      </w:r>
    </w:p>
    <w:p>
      <w:r>
        <w:pict>
          <v:rect style="width:0;height:1.5pt" o:hralign="center" o:hrstd="t" o:hr="t"/>
        </w:pict>
      </w:r>
    </w:p>
    <w:bookmarkEnd w:id="66"/>
    <w:bookmarkStart w:id="67" w:name="appendix-b-rendering-to-.docx"/>
    <w:p>
      <w:pPr>
        <w:pStyle w:val="Heading2"/>
      </w:pPr>
      <w:r>
        <w:t xml:space="preserve">Appendix B — Rendering to</w:t>
      </w:r>
      <w:r>
        <w:t xml:space="preserve"> </w:t>
      </w:r>
      <w:r>
        <w:rPr>
          <w:rStyle w:val="VerbatimChar"/>
        </w:rPr>
        <w:t xml:space="preserve">.docx</w:t>
      </w:r>
    </w:p>
    <w:p>
      <w:pPr>
        <w:pStyle w:val="FirstParagraph"/>
      </w:pPr>
      <w:r>
        <w:t xml:space="preserve">Author this template in Markdown, then render the customer-facing copy to Word with</w:t>
      </w:r>
      <w:r>
        <w:t xml:space="preserve"> </w:t>
      </w:r>
      <w:r>
        <w:t xml:space="preserve">pandoc (no local toolchain required — use the container):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/docs/templates"</w:t>
      </w:r>
      <w:r>
        <w:rPr>
          <w:rStyle w:val="NormalTok"/>
        </w:rPr>
        <w:t xml:space="preserve">:/data pandoc/core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SOW_TEMPLATE.md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SOW_TEMPLATE.docx</w:t>
      </w:r>
    </w:p>
    <w:p>
      <w:pPr>
        <w:pStyle w:val="FirstParagraph"/>
      </w:pPr>
      <w:r>
        <w:t xml:space="preserve">A pre-rendered</w:t>
      </w:r>
      <w:r>
        <w:t xml:space="preserve"> </w:t>
      </w:r>
      <w:r>
        <w:rPr>
          <w:rStyle w:val="VerbatimChar"/>
        </w:rPr>
        <w:t xml:space="preserve">SOW_TEMPLATE.docx</w:t>
      </w:r>
      <w:r>
        <w:t xml:space="preserve"> </w:t>
      </w:r>
      <w:r>
        <w:t xml:space="preserve">is committed alongside this file.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2026-06-17T23:19:32Z</dcterms:created>
  <dcterms:modified xsi:type="dcterms:W3CDTF">2026-06-17T23:19:32Z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