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statement-of-work-time-materials-agile"/>
    <w:p>
      <w:pPr>
        <w:pStyle w:val="Heading1"/>
      </w:pPr>
      <w:r>
        <w:t xml:space="preserve">Statement of Work — Time &amp; Materials (Agile)</w:t>
      </w:r>
    </w:p>
    <w:p>
      <w:pPr>
        <w:pStyle w:val="BlockText"/>
      </w:pPr>
      <w:r>
        <w:rPr>
          <w:b/>
          <w:bCs/>
        </w:rPr>
        <w:t xml:space="preserve">Flavor:</w:t>
      </w:r>
      <w:r>
        <w:t xml:space="preserve"> </w:t>
      </w:r>
      <w:r>
        <w:t xml:space="preserve">Iterative, rate-card-driven engagement billed for time &amp; materials</w:t>
      </w:r>
      <w:r>
        <w:t xml:space="preserve"> </w:t>
      </w:r>
      <w:r>
        <w:t xml:space="preserve">against a not-to-exceed ceiling.</w:t>
      </w:r>
      <w:r>
        <w:t xml:space="preserve"> </w:t>
      </w:r>
      <w:r>
        <w:rPr>
          <w:b/>
          <w:bCs/>
        </w:rPr>
        <w:t xml:space="preserve">Best for:</w:t>
      </w:r>
      <w:r>
        <w:t xml:space="preserve"> </w:t>
      </w:r>
      <w:r>
        <w:t xml:space="preserve">Discovery-heavy or evolving scope, staff augmentation, agile delivery.</w:t>
      </w:r>
      <w:r>
        <w:t xml:space="preserve"> </w:t>
      </w:r>
      <w:r>
        <w:rPr>
          <w:b/>
          <w:bCs/>
        </w:rPr>
        <w:t xml:space="preserve">Maps to Kerdos:</w:t>
      </w:r>
      <w:r>
        <w:t xml:space="preserve"> </w:t>
      </w:r>
      <w:r>
        <w:t xml:space="preserve">labor lines (role × units × rate) → the team &amp; rate table;</w:t>
      </w:r>
      <w:r>
        <w:t xml:space="preserve"> </w:t>
      </w:r>
      <w:r>
        <w:t xml:space="preserve">grand total → the not-to-exceed; monthly recurring → run-rate.</w:t>
      </w:r>
      <w:r>
        <w:t xml:space="preserve"> </w:t>
      </w:r>
      <w:r>
        <w:rPr>
          <w:rStyle w:val="VerbatimChar"/>
        </w:rPr>
        <w:t xml:space="preserve">{{…}}</w:t>
      </w:r>
      <w:r>
        <w:t xml:space="preserve"> </w:t>
      </w:r>
      <w:r>
        <w:t xml:space="preserve">merge.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SOW {{SOW_NUMBER}}</w:t>
      </w:r>
      <w:r>
        <w:t xml:space="preserve"> </w:t>
      </w:r>
      <w:r>
        <w:t xml:space="preserve">· Effective {{EFFECTIVE_DATE}}</w:t>
      </w:r>
      <w:r>
        <w:t xml:space="preserve"> </w:t>
      </w:r>
      <w:r>
        <w:rPr>
          <w:b/>
          <w:bCs/>
        </w:rPr>
        <w:t xml:space="preserve">Client:</w:t>
      </w:r>
      <w:r>
        <w:t xml:space="preserve"> </w:t>
      </w:r>
      <w:r>
        <w:t xml:space="preserve">{{CLIENT_NAME}} ·</w:t>
      </w:r>
      <w:r>
        <w:t xml:space="preserve"> </w:t>
      </w:r>
      <w:r>
        <w:rPr>
          <w:b/>
          <w:bCs/>
        </w:rPr>
        <w:t xml:space="preserve">Provider:</w:t>
      </w:r>
      <w:r>
        <w:t xml:space="preserve"> </w:t>
      </w:r>
      <w:r>
        <w:t xml:space="preserve">{{PROVIDER_NAME}}</w:t>
      </w:r>
      <w:r>
        <w:t xml:space="preserve"> </w:t>
      </w:r>
      <w:r>
        <w:t xml:space="preserve">Issued under the Master Services Agreement dated {{MSA_DATE}}.</w:t>
      </w:r>
    </w:p>
    <w:bookmarkStart w:id="9" w:name="engagement-model"/>
    <w:p>
      <w:pPr>
        <w:pStyle w:val="Heading2"/>
      </w:pPr>
      <w:r>
        <w:t xml:space="preserve">1. Engagement Model</w:t>
      </w:r>
    </w:p>
    <w:p>
      <w:pPr>
        <w:pStyle w:val="FirstParagraph"/>
      </w:pPr>
      <w:r>
        <w:t xml:space="preserve">This is a</w:t>
      </w:r>
      <w:r>
        <w:t xml:space="preserve"> </w:t>
      </w:r>
      <w:r>
        <w:rPr>
          <w:b/>
          <w:bCs/>
        </w:rPr>
        <w:t xml:space="preserve">time-and-materials</w:t>
      </w:r>
      <w:r>
        <w:t xml:space="preserve"> </w:t>
      </w:r>
      <w:r>
        <w:t xml:space="preserve">engagement delivered in iterative sprints. The</w:t>
      </w:r>
      <w:r>
        <w:t xml:space="preserve"> </w:t>
      </w:r>
      <w:r>
        <w:t xml:space="preserve">Provider supplies the roles below at the stated rates; the Client directs priorities</w:t>
      </w:r>
      <w:r>
        <w:t xml:space="preserve"> </w:t>
      </w:r>
      <w:r>
        <w:t xml:space="preserve">through a shared backlog. Fees accrue against actual effort, capped at the</w:t>
      </w:r>
      <w:r>
        <w:t xml:space="preserve"> </w:t>
      </w:r>
      <w:r>
        <w:rPr>
          <w:b/>
          <w:bCs/>
        </w:rPr>
        <w:t xml:space="preserve">not-to-exceed</w:t>
      </w:r>
      <w:r>
        <w:t xml:space="preserve"> </w:t>
      </w:r>
      <w:r>
        <w:t xml:space="preserve">amount in §6.</w:t>
      </w:r>
    </w:p>
    <w:p>
      <w:pPr>
        <w:pStyle w:val="BodyText"/>
      </w:pPr>
      <w:r>
        <w:t xml:space="preserve">{{OVERVIEW}}</w:t>
      </w:r>
    </w:p>
    <w:bookmarkEnd w:id="9"/>
    <w:bookmarkStart w:id="10" w:name="team-rates"/>
    <w:p>
      <w:pPr>
        <w:pStyle w:val="Heading2"/>
      </w:pPr>
      <w:r>
        <w:t xml:space="preserve">2. Team &amp; Rates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Unit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Rate</w:t>
            </w:r>
          </w:p>
        </w:tc>
        <w:tc>
          <w:tcPr/>
          <w:p>
            <w:pPr>
              <w:pStyle w:val="Compact"/>
            </w:pPr>
            <w:r>
              <w:t xml:space="preserve">Planned allocation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{{ROLE}}</w:t>
            </w:r>
          </w:p>
        </w:tc>
        <w:tc>
          <w:tcPr/>
          <w:p>
            <w:pPr>
              <w:pStyle w:val="Compact"/>
            </w:pPr>
            <w:r>
              <w:t xml:space="preserve">{{UNIT}}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{{RATE}}</w:t>
            </w:r>
          </w:p>
        </w:tc>
        <w:tc>
          <w:tcPr/>
          <w:p>
            <w:pPr>
              <w:pStyle w:val="Compact"/>
            </w:pPr>
            <w:r>
              <w:t xml:space="preserve">{{ALLOCATION}}</w:t>
            </w:r>
          </w:p>
        </w:tc>
      </w:tr>
    </w:tbl>
    <w:p>
      <w:pPr>
        <w:pStyle w:val="BodyText"/>
      </w:pPr>
      <w:r>
        <w:rPr>
          <w:i/>
          <w:iCs/>
        </w:rPr>
        <w:t xml:space="preserve">Rates are snapshotted from the governing rate card and hold for the term of this SOW.</w:t>
      </w:r>
    </w:p>
    <w:bookmarkEnd w:id="10"/>
    <w:bookmarkStart w:id="11" w:name="cadence-ways-of-working"/>
    <w:p>
      <w:pPr>
        <w:pStyle w:val="Heading2"/>
      </w:pPr>
      <w:r>
        <w:t xml:space="preserve">3. Cadence &amp; Ways of Working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Sprint length:</w:t>
      </w:r>
      <w:r>
        <w:t xml:space="preserve"> </w:t>
      </w:r>
      <w:r>
        <w:t xml:space="preserve">{{SPRINT_LENGTH}} ·</w:t>
      </w:r>
      <w:r>
        <w:t xml:space="preserve"> </w:t>
      </w:r>
      <w:r>
        <w:rPr>
          <w:b/>
          <w:bCs/>
        </w:rPr>
        <w:t xml:space="preserve">Ceremonies:</w:t>
      </w:r>
      <w:r>
        <w:t xml:space="preserve"> </w:t>
      </w:r>
      <w:r>
        <w:t xml:space="preserve">planning, daily, review, retro.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Reporting:</w:t>
      </w:r>
      <w:r>
        <w:t xml:space="preserve"> </w:t>
      </w:r>
      <w:r>
        <w:t xml:space="preserve">burn-down and spend-to-date each sprint; demo at sprint review.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Definition of Done:</w:t>
      </w:r>
      <w:r>
        <w:t xml:space="preserve"> </w:t>
      </w:r>
      <w:r>
        <w:t xml:space="preserve">{{DEFINITION_OF_DONE}}</w:t>
      </w:r>
    </w:p>
    <w:bookmarkEnd w:id="11"/>
    <w:bookmarkStart w:id="12" w:name="scope-initial-backlog"/>
    <w:p>
      <w:pPr>
        <w:pStyle w:val="Heading2"/>
      </w:pPr>
      <w:r>
        <w:t xml:space="preserve">4. Scope (Initial Backlog)</w:t>
      </w:r>
    </w:p>
    <w:p>
      <w:pPr>
        <w:pStyle w:val="FirstParagraph"/>
      </w:pPr>
      <w:r>
        <w:t xml:space="preserve">Scope is managed as a prioritized backlog and may evolve by mutual agreement within</w:t>
      </w:r>
      <w:r>
        <w:t xml:space="preserve"> </w:t>
      </w:r>
      <w:r>
        <w:t xml:space="preserve">the not-to-exceed ceiling.</w:t>
      </w:r>
    </w:p>
    <w:p>
      <w:pPr>
        <w:pStyle w:val="BodyText"/>
      </w:pPr>
      <w:r>
        <w:t xml:space="preserve">{{SCOPE}}</w:t>
      </w:r>
    </w:p>
    <w:p>
      <w:pPr>
        <w:pStyle w:val="BodyText"/>
      </w:pPr>
      <w:r>
        <w:rPr>
          <w:b/>
          <w:bCs/>
        </w:rPr>
        <w:t xml:space="preserve">Out of scope:</w:t>
      </w:r>
      <w:r>
        <w:t xml:space="preserve"> </w:t>
      </w:r>
      <w:r>
        <w:t xml:space="preserve">{{OUT_OF_SCOPE}}</w:t>
      </w:r>
    </w:p>
    <w:bookmarkEnd w:id="12"/>
    <w:bookmarkStart w:id="13" w:name="estimated-effort"/>
    <w:p>
      <w:pPr>
        <w:pStyle w:val="Heading2"/>
      </w:pPr>
      <w:r>
        <w:t xml:space="preserve">5. Estimated Effort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Workstream / role</w:t>
            </w:r>
          </w:p>
        </w:tc>
        <w:tc>
          <w:tcPr/>
          <w:p>
            <w:pPr>
              <w:pStyle w:val="Compact"/>
            </w:pPr>
            <w:r>
              <w:t xml:space="preserve">Qty × units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Estimated cost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{{LINE_ITEM}}</w:t>
            </w:r>
          </w:p>
        </w:tc>
        <w:tc>
          <w:tcPr/>
          <w:p>
            <w:pPr>
              <w:pStyle w:val="Compact"/>
            </w:pPr>
            <w:r>
              <w:t xml:space="preserve">{{QTY}}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{{RATE}}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{{LINE_TOTAL}}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Estimated total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{{GRAND_TOTAL}}</w:t>
            </w:r>
          </w:p>
        </w:tc>
      </w:tr>
    </w:tbl>
    <w:p>
      <w:pPr>
        <w:pStyle w:val="BodyText"/>
      </w:pPr>
      <w:r>
        <w:rPr>
          <w:i/>
          <w:iCs/>
        </w:rPr>
        <w:t xml:space="preserve">Estimate only; actuals bill against time recorded.</w:t>
      </w:r>
    </w:p>
    <w:bookmarkEnd w:id="13"/>
    <w:bookmarkStart w:id="14" w:name="budget-not-to-exceed"/>
    <w:p>
      <w:pPr>
        <w:pStyle w:val="Heading2"/>
      </w:pPr>
      <w:r>
        <w:t xml:space="preserve">6. Budget &amp; Not-to-Exceed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Estimated cost:</w:t>
      </w:r>
      <w:r>
        <w:t xml:space="preserve"> </w:t>
      </w:r>
      <w:r>
        <w:t xml:space="preserve">{{GRAND_TOTAL}} ({{CURRENCY}})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Monthly run-rate (recurring):</w:t>
      </w:r>
      <w:r>
        <w:t xml:space="preserve"> </w:t>
      </w:r>
      <w:r>
        <w:t xml:space="preserve">{{MONTHLY_TOTAL}}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Not-to-exceed (incl. contingency):</w:t>
      </w:r>
      <w:r>
        <w:t xml:space="preserve"> </w:t>
      </w:r>
      <w:r>
        <w:rPr>
          <w:b/>
          <w:bCs/>
        </w:rPr>
        <w:t xml:space="preserve">{{CLIENT_PRICE}}</w:t>
      </w:r>
      <w:r>
        <w:t xml:space="preserve"> </w:t>
      </w:r>
      <w:r>
        <w:t xml:space="preserve">— the Provider will</w:t>
      </w:r>
      <w:r>
        <w:t xml:space="preserve"> </w:t>
      </w:r>
      <w:r>
        <w:t xml:space="preserve">notify the Client before the engagement reaches {{NTE_THRESHOLD}}% of this ceiling.</w:t>
      </w:r>
    </w:p>
    <w:bookmarkEnd w:id="14"/>
    <w:bookmarkStart w:id="15" w:name="invoicing"/>
    <w:p>
      <w:pPr>
        <w:pStyle w:val="Heading2"/>
      </w:pPr>
      <w:r>
        <w:t xml:space="preserve">7. Invoicing</w:t>
      </w:r>
    </w:p>
    <w:p>
      <w:pPr>
        <w:pStyle w:val="FirstParagraph"/>
      </w:pPr>
      <w:r>
        <w:t xml:space="preserve">Invoiced</w:t>
      </w:r>
      <w:r>
        <w:t xml:space="preserve"> </w:t>
      </w:r>
      <w:r>
        <w:rPr>
          <w:b/>
          <w:bCs/>
        </w:rPr>
        <w:t xml:space="preserve">monthly in arrears</w:t>
      </w:r>
      <w:r>
        <w:t xml:space="preserve"> </w:t>
      </w:r>
      <w:r>
        <w:t xml:space="preserve">for hours/days worked plus pass-through expenses,</w:t>
      </w:r>
      <w:r>
        <w:t xml:space="preserve"> </w:t>
      </w:r>
      <w:r>
        <w:t xml:space="preserve">with a timesheet/itemized summary. Net {{NET_TERMS}} days. {{PAYMENT_TERMS}}</w:t>
      </w:r>
    </w:p>
    <w:bookmarkEnd w:id="15"/>
    <w:bookmarkStart w:id="16" w:name="assumptions"/>
    <w:p>
      <w:pPr>
        <w:pStyle w:val="Heading2"/>
      </w:pPr>
      <w:r>
        <w:t xml:space="preserve">8. Assumptions</w:t>
      </w:r>
    </w:p>
    <w:p>
      <w:pPr>
        <w:pStyle w:val="FirstParagraph"/>
      </w:pPr>
      <w:r>
        <w:t xml:space="preserve">{{ASSUMPTIONS}}</w:t>
      </w:r>
    </w:p>
    <w:bookmarkEnd w:id="16"/>
    <w:bookmarkStart w:id="17" w:name="change-control"/>
    <w:p>
      <w:pPr>
        <w:pStyle w:val="Heading2"/>
      </w:pPr>
      <w:r>
        <w:t xml:space="preserve">9. Change Control</w:t>
      </w:r>
    </w:p>
    <w:p>
      <w:pPr>
        <w:pStyle w:val="FirstParagraph"/>
      </w:pPr>
      <w:r>
        <w:t xml:space="preserve">Backlog re-prioritization within the ceiling needs no formal change order. Changes</w:t>
      </w:r>
      <w:r>
        <w:t xml:space="preserve"> </w:t>
      </w:r>
      <w:r>
        <w:t xml:space="preserve">to the</w:t>
      </w:r>
      <w:r>
        <w:t xml:space="preserve"> </w:t>
      </w:r>
      <w:r>
        <w:rPr>
          <w:b/>
          <w:bCs/>
        </w:rPr>
        <w:t xml:space="preserve">rates, roles, or not-to-exceed</w:t>
      </w:r>
      <w:r>
        <w:t xml:space="preserve"> </w:t>
      </w:r>
      <w:r>
        <w:t xml:space="preserve">are made by a written change note signed</w:t>
      </w:r>
      <w:r>
        <w:t xml:space="preserve"> </w:t>
      </w:r>
      <w:r>
        <w:t xml:space="preserve">by both parties. {{CHANGE_CONTROL}}</w:t>
      </w:r>
    </w:p>
    <w:bookmarkEnd w:id="17"/>
    <w:bookmarkStart w:id="18" w:name="acceptance"/>
    <w:p>
      <w:pPr>
        <w:pStyle w:val="Heading2"/>
      </w:pPr>
      <w:r>
        <w:t xml:space="preserve">10. Acceptance</w:t>
      </w:r>
    </w:p>
    <w:p>
      <w:pPr>
        <w:pStyle w:val="FirstParagraph"/>
      </w:pPr>
      <w:r>
        <w:t xml:space="preserve">Work is reviewed at each sprint review; increments are accepted on Client sign-off</w:t>
      </w:r>
      <w:r>
        <w:t xml:space="preserve"> </w:t>
      </w:r>
      <w:r>
        <w:t xml:space="preserve">or 5 business days after demo if no issues are raised.</w:t>
      </w:r>
    </w:p>
    <w:bookmarkEnd w:id="18"/>
    <w:bookmarkStart w:id="19" w:name="signatures"/>
    <w:p>
      <w:pPr>
        <w:pStyle w:val="Heading2"/>
      </w:pPr>
      <w:r>
        <w:t xml:space="preserve">11. Signatures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{{CLIENT_NAME}}</w:t>
            </w:r>
          </w:p>
        </w:tc>
        <w:tc>
          <w:tcPr/>
          <w:p>
            <w:pPr>
              <w:pStyle w:val="Compact"/>
            </w:pPr>
            <w:r>
              <w:t xml:space="preserve">{{PROVIDER_NAME}}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Sign:</w:t>
            </w:r>
            <w:r>
              <w:t xml:space="preserve"> </w:t>
            </w:r>
            <w:r>
              <w:rPr>
                <w:b/>
                <w:bCs/>
              </w:rPr>
              <w:t xml:space="preserve">**</w:t>
            </w:r>
            <w:r>
              <w:t xml:space="preserve">_</w:t>
            </w:r>
            <w:r>
              <w:rPr>
                <w:b/>
                <w:bCs/>
              </w:rPr>
              <w:t xml:space="preserve">**</w:t>
            </w:r>
          </w:p>
        </w:tc>
        <w:tc>
          <w:tcPr/>
          <w:p>
            <w:pPr>
              <w:pStyle w:val="Compact"/>
            </w:pPr>
            <w:r>
              <w:t xml:space="preserve">Sign:</w:t>
            </w:r>
            <w:r>
              <w:t xml:space="preserve"> </w:t>
            </w:r>
            <w:r>
              <w:rPr>
                <w:b/>
                <w:bCs/>
              </w:rPr>
              <w:t xml:space="preserve">**</w:t>
            </w:r>
            <w:r>
              <w:t xml:space="preserve">_</w:t>
            </w:r>
            <w:r>
              <w:rPr>
                <w:b/>
                <w:bCs/>
              </w:rPr>
              <w:t xml:space="preserve">**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Name / Title:</w:t>
            </w:r>
          </w:p>
        </w:tc>
        <w:tc>
          <w:tcPr/>
          <w:p>
            <w:pPr>
              <w:pStyle w:val="Compact"/>
            </w:pPr>
            <w:r>
              <w:t xml:space="preserve">Name / Title: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Date:</w:t>
            </w:r>
          </w:p>
        </w:tc>
        <w:tc>
          <w:tcPr/>
          <w:p>
            <w:pPr>
              <w:pStyle w:val="Compact"/>
            </w:pPr>
            <w:r>
              <w:t xml:space="preserve">Date:</w:t>
            </w:r>
          </w:p>
        </w:tc>
      </w:tr>
    </w:tbl>
    <w:p>
      <w:pPr>
        <w:pStyle w:val="BodyText"/>
      </w:pPr>
      <w:r>
        <w:rPr>
          <w:i/>
          <w:iCs/>
        </w:rPr>
        <w:t xml:space="preserve">Prepared by {{PREPARED_BY}} · {{SOW_NUMBER}}</w:t>
      </w:r>
    </w:p>
    <w:bookmarkEnd w:id="19"/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2026-06-19T23:16:52Z</dcterms:created>
  <dcterms:modified xsi:type="dcterms:W3CDTF">2026-06-19T23:16:52Z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