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63A63"/>
        </w:rPr>
        <w:t>Enterprise AI Assistant Application Capability Pack</w:t>
      </w:r>
    </w:p>
    <w:p>
      <w:pPr>
        <w:spacing w:after="280"/>
      </w:pPr>
      <w:r>
        <w:rPr>
          <w:color w:val="5B6573"/>
          <w:sz w:val="23"/>
        </w:rPr>
        <w:t>Orientation guide for an agent, evaluator, product owner, or reviewer who has no prior context about this system.</w:t>
      </w:r>
    </w:p>
    <w:tbl>
      <w:tblPr>
        <w:tblW w:type="auto" w:w="0"/>
        <w:jc w:val="center"/>
        <w:tblLayout w:type="autofit"/>
        <w:tblLook w:firstColumn="1" w:firstRow="1" w:lastColumn="0" w:lastRow="0" w:noHBand="0" w:noVBand="1" w:val="04A0"/>
      </w:tblPr>
      <w:tblGrid>
        <w:gridCol w:w="10080"/>
      </w:tblGrid>
      <w:tr>
        <w:tc>
          <w:tcPr>
            <w:tcW w:type="dxa" w:w="10080"/>
            <w:shd w:fill="EEF5FC"/>
            <w:tcMar>
              <w:top w:w="140" w:type="dxa"/>
              <w:start w:w="160" w:type="dxa"/>
              <w:bottom w:w="140" w:type="dxa"/>
              <w:end w:w="160" w:type="dxa"/>
            </w:tcMar>
          </w:tcPr>
          <w:p>
            <w:pPr>
              <w:spacing w:after="0"/>
            </w:pPr>
            <w:r>
              <w:rPr>
                <w:b/>
                <w:color w:val="163A63"/>
              </w:rPr>
              <w:t xml:space="preserve">Scope note: </w:t>
            </w:r>
            <w:r>
              <w:t>This pack describes capabilities available in the current enterprise AI assistant application environment. Actual access depends on enabled tools, connectors, workspace configuration, and the user’s underlying permissions.</w:t>
            </w:r>
          </w:p>
        </w:tc>
      </w:tr>
    </w:tbl>
    <w:p>
      <w:pPr>
        <w:spacing w:after="20"/>
      </w:pPr>
    </w:p>
    <w:p>
      <w:pPr>
        <w:pStyle w:val="Heading1"/>
      </w:pPr>
      <w:r>
        <w:t>Purpose of this pack</w:t>
      </w:r>
    </w:p>
    <w:p>
      <w:r>
        <w:t>These documents provide a compact but detailed description of what this AI assistant application environment can do, how it is expected to behave, which tools and data sources it can use, who the users are, and how risks are controlled and evaluated.</w:t>
      </w:r>
    </w:p>
    <w:p>
      <w:pPr>
        <w:pStyle w:val="Heading1"/>
      </w:pPr>
      <w:r>
        <w:t>Documents in the pack</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024"/>
            <w:shd w:fill="163A63"/>
            <w:tcMar>
              <w:top w:w="130" w:type="dxa"/>
              <w:start w:w="130" w:type="dxa"/>
              <w:bottom w:w="130" w:type="dxa"/>
              <w:end w:w="130" w:type="dxa"/>
            </w:tcMar>
            <w:vAlign w:val="center"/>
          </w:tcPr>
          <w:p>
            <w:pPr>
              <w:spacing w:after="0"/>
            </w:pPr>
            <w:r>
              <w:rPr>
                <w:b/>
                <w:color w:val="FFFFFF"/>
                <w:sz w:val="19"/>
              </w:rPr>
              <w:t>Document</w:t>
            </w:r>
          </w:p>
        </w:tc>
        <w:tc>
          <w:tcPr>
            <w:tcW w:type="dxa" w:w="6768"/>
            <w:shd w:fill="163A63"/>
            <w:tcMar>
              <w:top w:w="130" w:type="dxa"/>
              <w:start w:w="130" w:type="dxa"/>
              <w:bottom w:w="130" w:type="dxa"/>
              <w:end w:w="130" w:type="dxa"/>
            </w:tcMar>
            <w:vAlign w:val="center"/>
          </w:tcPr>
          <w:p>
            <w:pPr>
              <w:spacing w:after="0"/>
            </w:pPr>
            <w:r>
              <w:rPr>
                <w:b/>
                <w:color w:val="FFFFFF"/>
                <w:sz w:val="19"/>
              </w:rPr>
              <w:t>What it tells you</w:t>
            </w:r>
          </w:p>
        </w:tc>
      </w:tr>
      <w:tr>
        <w:trPr>
          <w:cantSplit/>
        </w:trPr>
        <w:tc>
          <w:tcPr>
            <w:tcW w:type="dxa" w:w="3024"/>
            <w:tcMar>
              <w:top w:w="110" w:type="dxa"/>
              <w:start w:w="120" w:type="dxa"/>
              <w:bottom w:w="110" w:type="dxa"/>
              <w:end w:w="120" w:type="dxa"/>
            </w:tcMar>
            <w:vAlign w:val="center"/>
            <w:shd w:fill="F8FAFC"/>
          </w:tcPr>
          <w:p>
            <w:pPr>
              <w:spacing w:after="0" w:line="240" w:lineRule="auto"/>
            </w:pPr>
            <w:r>
              <w:rPr>
                <w:sz w:val="18"/>
              </w:rPr>
              <w:t>01 - Capability Specification</w:t>
            </w:r>
          </w:p>
        </w:tc>
        <w:tc>
          <w:tcPr>
            <w:tcW w:type="dxa" w:w="6768"/>
            <w:tcMar>
              <w:top w:w="110" w:type="dxa"/>
              <w:start w:w="120" w:type="dxa"/>
              <w:bottom w:w="110" w:type="dxa"/>
              <w:end w:w="120" w:type="dxa"/>
            </w:tcMar>
            <w:vAlign w:val="center"/>
            <w:shd w:fill="F8FAFC"/>
          </w:tcPr>
          <w:p>
            <w:pPr>
              <w:spacing w:after="0" w:line="240" w:lineRule="auto"/>
            </w:pPr>
            <w:r>
              <w:rPr>
                <w:sz w:val="18"/>
              </w:rPr>
              <w:t>Feature-level system specification using Feature -&gt; Expected behaviour -&gt; Acceptance criteria.</w:t>
            </w:r>
          </w:p>
        </w:tc>
      </w:tr>
      <w:tr>
        <w:trPr>
          <w:cantSplit/>
        </w:trPr>
        <w:tc>
          <w:tcPr>
            <w:tcW w:type="dxa" w:w="3024"/>
            <w:tcMar>
              <w:top w:w="110" w:type="dxa"/>
              <w:start w:w="120" w:type="dxa"/>
              <w:bottom w:w="110" w:type="dxa"/>
              <w:end w:w="120" w:type="dxa"/>
            </w:tcMar>
            <w:vAlign w:val="center"/>
          </w:tcPr>
          <w:p>
            <w:pPr>
              <w:spacing w:after="0" w:line="240" w:lineRule="auto"/>
            </w:pPr>
            <w:r>
              <w:rPr>
                <w:sz w:val="18"/>
              </w:rPr>
              <w:t>02 - Tools, Actions &amp; Permissions</w:t>
            </w:r>
          </w:p>
        </w:tc>
        <w:tc>
          <w:tcPr>
            <w:tcW w:type="dxa" w:w="6768"/>
            <w:tcMar>
              <w:top w:w="110" w:type="dxa"/>
              <w:start w:w="120" w:type="dxa"/>
              <w:bottom w:w="110" w:type="dxa"/>
              <w:end w:w="120" w:type="dxa"/>
            </w:tcMar>
            <w:vAlign w:val="center"/>
          </w:tcPr>
          <w:p>
            <w:pPr>
              <w:spacing w:after="0" w:line="240" w:lineRule="auto"/>
            </w:pPr>
            <w:r>
              <w:rPr>
                <w:sz w:val="18"/>
              </w:rPr>
              <w:t>Operational map of connected tools, read/write actions, data boundaries, and action controls.</w:t>
            </w:r>
          </w:p>
        </w:tc>
      </w:tr>
      <w:tr>
        <w:trPr>
          <w:cantSplit/>
        </w:trPr>
        <w:tc>
          <w:tcPr>
            <w:tcW w:type="dxa" w:w="3024"/>
            <w:tcMar>
              <w:top w:w="110" w:type="dxa"/>
              <w:start w:w="120" w:type="dxa"/>
              <w:bottom w:w="110" w:type="dxa"/>
              <w:end w:w="120" w:type="dxa"/>
            </w:tcMar>
            <w:vAlign w:val="center"/>
            <w:shd w:fill="F8FAFC"/>
          </w:tcPr>
          <w:p>
            <w:pPr>
              <w:spacing w:after="0" w:line="240" w:lineRule="auto"/>
            </w:pPr>
            <w:r>
              <w:rPr>
                <w:sz w:val="18"/>
              </w:rPr>
              <w:t>03 - Users &amp; Use Cases</w:t>
            </w:r>
          </w:p>
        </w:tc>
        <w:tc>
          <w:tcPr>
            <w:tcW w:type="dxa" w:w="6768"/>
            <w:tcMar>
              <w:top w:w="110" w:type="dxa"/>
              <w:start w:w="120" w:type="dxa"/>
              <w:bottom w:w="110" w:type="dxa"/>
              <w:end w:w="120" w:type="dxa"/>
            </w:tcMar>
            <w:vAlign w:val="center"/>
            <w:shd w:fill="F8FAFC"/>
          </w:tcPr>
          <w:p>
            <w:pPr>
              <w:spacing w:after="0" w:line="240" w:lineRule="auto"/>
            </w:pPr>
            <w:r>
              <w:rPr>
                <w:sz w:val="18"/>
              </w:rPr>
              <w:t>Primary user groups, common workflows, user responsibilities, and representative requests.</w:t>
            </w:r>
          </w:p>
        </w:tc>
      </w:tr>
      <w:tr>
        <w:trPr>
          <w:cantSplit/>
        </w:trPr>
        <w:tc>
          <w:tcPr>
            <w:tcW w:type="dxa" w:w="3024"/>
            <w:tcMar>
              <w:top w:w="110" w:type="dxa"/>
              <w:start w:w="120" w:type="dxa"/>
              <w:bottom w:w="110" w:type="dxa"/>
              <w:end w:w="120" w:type="dxa"/>
            </w:tcMar>
            <w:vAlign w:val="center"/>
          </w:tcPr>
          <w:p>
            <w:pPr>
              <w:spacing w:after="0" w:line="240" w:lineRule="auto"/>
            </w:pPr>
            <w:r>
              <w:rPr>
                <w:sz w:val="18"/>
              </w:rPr>
              <w:t>04 - Risks, Controls &amp; Evaluation</w:t>
            </w:r>
          </w:p>
        </w:tc>
        <w:tc>
          <w:tcPr>
            <w:tcW w:type="dxa" w:w="6768"/>
            <w:tcMar>
              <w:top w:w="110" w:type="dxa"/>
              <w:start w:w="120" w:type="dxa"/>
              <w:bottom w:w="110" w:type="dxa"/>
              <w:end w:w="120" w:type="dxa"/>
            </w:tcMar>
            <w:vAlign w:val="center"/>
          </w:tcPr>
          <w:p>
            <w:pPr>
              <w:spacing w:after="0" w:line="240" w:lineRule="auto"/>
            </w:pPr>
            <w:r>
              <w:rPr>
                <w:sz w:val="18"/>
              </w:rPr>
              <w:t>Major failure modes, safeguards, evaluation dimensions, and example test cases.</w:t>
            </w:r>
          </w:p>
        </w:tc>
      </w:tr>
    </w:tbl>
    <w:p>
      <w:pPr>
        <w:pStyle w:val="Heading1"/>
      </w:pPr>
      <w:r>
        <w:t>System at a glance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63A63"/>
            <w:tcMar>
              <w:top w:w="130" w:type="dxa"/>
              <w:start w:w="130" w:type="dxa"/>
              <w:bottom w:w="130" w:type="dxa"/>
              <w:end w:w="130" w:type="dxa"/>
            </w:tcMar>
            <w:vAlign w:val="center"/>
          </w:tcPr>
          <w:p>
            <w:pPr>
              <w:spacing w:after="0"/>
            </w:pPr>
            <w:r>
              <w:rPr>
                <w:b/>
                <w:color w:val="FFFFFF"/>
                <w:sz w:val="19"/>
              </w:rPr>
              <w:t>Capability domain</w:t>
            </w:r>
          </w:p>
        </w:tc>
        <w:tc>
          <w:tcPr>
            <w:tcW w:type="dxa" w:w="6912"/>
            <w:shd w:fill="163A63"/>
            <w:tcMar>
              <w:top w:w="130" w:type="dxa"/>
              <w:start w:w="130" w:type="dxa"/>
              <w:bottom w:w="130" w:type="dxa"/>
              <w:end w:w="130" w:type="dxa"/>
            </w:tcMar>
            <w:vAlign w:val="center"/>
          </w:tcPr>
          <w:p>
            <w:pPr>
              <w:spacing w:after="0"/>
            </w:pPr>
            <w:r>
              <w:rPr>
                <w:b/>
                <w:color w:val="FFFFFF"/>
                <w:sz w:val="19"/>
              </w:rPr>
              <w:t>System objective</w:t>
            </w:r>
          </w:p>
        </w:tc>
      </w:tr>
      <w:tr>
        <w:trPr>
          <w:cantSplit/>
        </w:trPr>
        <w:tc>
          <w:tcPr>
            <w:tcW w:type="dxa" w:w="2880"/>
            <w:tcMar>
              <w:top w:w="110" w:type="dxa"/>
              <w:start w:w="120" w:type="dxa"/>
              <w:bottom w:w="110" w:type="dxa"/>
              <w:end w:w="120" w:type="dxa"/>
            </w:tcMar>
            <w:vAlign w:val="center"/>
            <w:shd w:fill="F8FAFC"/>
          </w:tcPr>
          <w:p>
            <w:pPr>
              <w:spacing w:after="0" w:line="240" w:lineRule="auto"/>
            </w:pPr>
            <w:r>
              <w:rPr>
                <w:sz w:val="18"/>
              </w:rPr>
              <w:t>Understand &amp; reason</w:t>
            </w:r>
          </w:p>
        </w:tc>
        <w:tc>
          <w:tcPr>
            <w:tcW w:type="dxa" w:w="6912"/>
            <w:tcMar>
              <w:top w:w="110" w:type="dxa"/>
              <w:start w:w="120" w:type="dxa"/>
              <w:bottom w:w="110" w:type="dxa"/>
              <w:end w:w="120" w:type="dxa"/>
            </w:tcMar>
            <w:vAlign w:val="center"/>
            <w:shd w:fill="F8FAFC"/>
          </w:tcPr>
          <w:p>
            <w:pPr>
              <w:spacing w:after="0" w:line="240" w:lineRule="auto"/>
            </w:pPr>
            <w:r>
              <w:rPr>
                <w:sz w:val="18"/>
              </w:rPr>
              <w:t>Interpret natural-language requests, reason over context, and solve multi-step tasks.</w:t>
            </w:r>
          </w:p>
        </w:tc>
      </w:tr>
      <w:tr>
        <w:trPr>
          <w:cantSplit/>
        </w:trPr>
        <w:tc>
          <w:tcPr>
            <w:tcW w:type="dxa" w:w="2880"/>
            <w:tcMar>
              <w:top w:w="110" w:type="dxa"/>
              <w:start w:w="120" w:type="dxa"/>
              <w:bottom w:w="110" w:type="dxa"/>
              <w:end w:w="120" w:type="dxa"/>
            </w:tcMar>
            <w:vAlign w:val="center"/>
          </w:tcPr>
          <w:p>
            <w:pPr>
              <w:spacing w:after="0" w:line="240" w:lineRule="auto"/>
            </w:pPr>
            <w:r>
              <w:rPr>
                <w:sz w:val="18"/>
              </w:rPr>
              <w:t>Retrieve information</w:t>
            </w:r>
          </w:p>
        </w:tc>
        <w:tc>
          <w:tcPr>
            <w:tcW w:type="dxa" w:w="6912"/>
            <w:tcMar>
              <w:top w:w="110" w:type="dxa"/>
              <w:start w:w="120" w:type="dxa"/>
              <w:bottom w:w="110" w:type="dxa"/>
              <w:end w:w="120" w:type="dxa"/>
            </w:tcMar>
            <w:vAlign w:val="center"/>
          </w:tcPr>
          <w:p>
            <w:pPr>
              <w:spacing w:after="0" w:line="240" w:lineRule="auto"/>
            </w:pPr>
            <w:r>
              <w:rPr>
                <w:sz w:val="18"/>
              </w:rPr>
              <w:t>Use web, files, email, calendar, Teams, SharePoint/OneDrive and other authorised sources.</w:t>
            </w:r>
          </w:p>
        </w:tc>
      </w:tr>
      <w:tr>
        <w:trPr>
          <w:cantSplit/>
        </w:trPr>
        <w:tc>
          <w:tcPr>
            <w:tcW w:type="dxa" w:w="2880"/>
            <w:tcMar>
              <w:top w:w="110" w:type="dxa"/>
              <w:start w:w="120" w:type="dxa"/>
              <w:bottom w:w="110" w:type="dxa"/>
              <w:end w:w="120" w:type="dxa"/>
            </w:tcMar>
            <w:vAlign w:val="center"/>
            <w:shd w:fill="F8FAFC"/>
          </w:tcPr>
          <w:p>
            <w:pPr>
              <w:spacing w:after="0" w:line="240" w:lineRule="auto"/>
            </w:pPr>
            <w:r>
              <w:rPr>
                <w:sz w:val="18"/>
              </w:rPr>
              <w:t>Create content</w:t>
            </w:r>
          </w:p>
        </w:tc>
        <w:tc>
          <w:tcPr>
            <w:tcW w:type="dxa" w:w="6912"/>
            <w:tcMar>
              <w:top w:w="110" w:type="dxa"/>
              <w:start w:w="120" w:type="dxa"/>
              <w:bottom w:w="110" w:type="dxa"/>
              <w:end w:w="120" w:type="dxa"/>
            </w:tcMar>
            <w:vAlign w:val="center"/>
            <w:shd w:fill="F8FAFC"/>
          </w:tcPr>
          <w:p>
            <w:pPr>
              <w:spacing w:after="0" w:line="240" w:lineRule="auto"/>
            </w:pPr>
            <w:r>
              <w:rPr>
                <w:sz w:val="18"/>
              </w:rPr>
              <w:t>Draft text and generate documents, spreadsheets, slides, PDFs, code and images.</w:t>
            </w:r>
          </w:p>
        </w:tc>
      </w:tr>
      <w:tr>
        <w:trPr>
          <w:cantSplit/>
        </w:trPr>
        <w:tc>
          <w:tcPr>
            <w:tcW w:type="dxa" w:w="2880"/>
            <w:tcMar>
              <w:top w:w="110" w:type="dxa"/>
              <w:start w:w="120" w:type="dxa"/>
              <w:bottom w:w="110" w:type="dxa"/>
              <w:end w:w="120" w:type="dxa"/>
            </w:tcMar>
            <w:vAlign w:val="center"/>
          </w:tcPr>
          <w:p>
            <w:pPr>
              <w:spacing w:after="0" w:line="240" w:lineRule="auto"/>
            </w:pPr>
            <w:r>
              <w:rPr>
                <w:sz w:val="18"/>
              </w:rPr>
              <w:t>Take actions</w:t>
            </w:r>
          </w:p>
        </w:tc>
        <w:tc>
          <w:tcPr>
            <w:tcW w:type="dxa" w:w="6912"/>
            <w:tcMar>
              <w:top w:w="110" w:type="dxa"/>
              <w:start w:w="120" w:type="dxa"/>
              <w:bottom w:w="110" w:type="dxa"/>
              <w:end w:w="120" w:type="dxa"/>
            </w:tcMar>
            <w:vAlign w:val="center"/>
          </w:tcPr>
          <w:p>
            <w:pPr>
              <w:spacing w:after="0" w:line="240" w:lineRule="auto"/>
            </w:pPr>
            <w:r>
              <w:rPr>
                <w:sz w:val="18"/>
              </w:rPr>
              <w:t>Perform supported write actions in connected systems when the user has clearly requested them.</w:t>
            </w:r>
          </w:p>
        </w:tc>
      </w:tr>
      <w:tr>
        <w:trPr>
          <w:cantSplit/>
        </w:trPr>
        <w:tc>
          <w:tcPr>
            <w:tcW w:type="dxa" w:w="2880"/>
            <w:tcMar>
              <w:top w:w="110" w:type="dxa"/>
              <w:start w:w="120" w:type="dxa"/>
              <w:bottom w:w="110" w:type="dxa"/>
              <w:end w:w="120" w:type="dxa"/>
            </w:tcMar>
            <w:vAlign w:val="center"/>
            <w:shd w:fill="F8FAFC"/>
          </w:tcPr>
          <w:p>
            <w:pPr>
              <w:spacing w:after="0" w:line="240" w:lineRule="auto"/>
            </w:pPr>
            <w:r>
              <w:rPr>
                <w:sz w:val="18"/>
              </w:rPr>
              <w:t>Automate &amp; monitor</w:t>
            </w:r>
          </w:p>
        </w:tc>
        <w:tc>
          <w:tcPr>
            <w:tcW w:type="dxa" w:w="6912"/>
            <w:tcMar>
              <w:top w:w="110" w:type="dxa"/>
              <w:start w:w="120" w:type="dxa"/>
              <w:bottom w:w="110" w:type="dxa"/>
              <w:end w:w="120" w:type="dxa"/>
            </w:tcMar>
            <w:vAlign w:val="center"/>
            <w:shd w:fill="F8FAFC"/>
          </w:tcPr>
          <w:p>
            <w:pPr>
              <w:spacing w:after="0" w:line="240" w:lineRule="auto"/>
            </w:pPr>
            <w:r>
              <w:rPr>
                <w:sz w:val="18"/>
              </w:rPr>
              <w:t>Create reminders, recurring tasks, and condition-based checks.</w:t>
            </w:r>
          </w:p>
        </w:tc>
      </w:tr>
      <w:tr>
        <w:trPr>
          <w:cantSplit/>
        </w:trPr>
        <w:tc>
          <w:tcPr>
            <w:tcW w:type="dxa" w:w="2880"/>
            <w:tcMar>
              <w:top w:w="110" w:type="dxa"/>
              <w:start w:w="120" w:type="dxa"/>
              <w:bottom w:w="110" w:type="dxa"/>
              <w:end w:w="120" w:type="dxa"/>
            </w:tcMar>
            <w:vAlign w:val="center"/>
          </w:tcPr>
          <w:p>
            <w:pPr>
              <w:spacing w:after="0" w:line="240" w:lineRule="auto"/>
            </w:pPr>
            <w:r>
              <w:rPr>
                <w:sz w:val="18"/>
              </w:rPr>
              <w:t>Govern &amp; protect</w:t>
            </w:r>
          </w:p>
        </w:tc>
        <w:tc>
          <w:tcPr>
            <w:tcW w:type="dxa" w:w="6912"/>
            <w:tcMar>
              <w:top w:w="110" w:type="dxa"/>
              <w:start w:w="120" w:type="dxa"/>
              <w:bottom w:w="110" w:type="dxa"/>
              <w:end w:w="120" w:type="dxa"/>
            </w:tcMar>
            <w:vAlign w:val="center"/>
          </w:tcPr>
          <w:p>
            <w:pPr>
              <w:spacing w:after="0" w:line="240" w:lineRule="auto"/>
            </w:pPr>
            <w:r>
              <w:rPr>
                <w:sz w:val="18"/>
              </w:rPr>
              <w:t>Respect safety policies, access boundaries, privacy, user intent and human oversight.</w:t>
            </w:r>
          </w:p>
        </w:tc>
      </w:tr>
    </w:tbl>
    <w:p>
      <w:pPr>
        <w:pStyle w:val="Heading1"/>
      </w:pPr>
      <w:r>
        <w:t>Operating model</w:t>
      </w:r>
    </w:p>
    <w:p>
      <w:r>
        <w:t>A useful mental model is:</w:t>
      </w:r>
    </w:p>
    <w:tbl>
      <w:tblPr>
        <w:tblW w:type="auto" w:w="0"/>
        <w:jc w:val="center"/>
        <w:tblLook w:firstColumn="1" w:firstRow="1" w:lastColumn="0" w:lastRow="0" w:noHBand="0" w:noVBand="1" w:val="04A0"/>
      </w:tblPr>
      <w:tblGrid>
        <w:gridCol w:w="10080"/>
      </w:tblGrid>
      <w:tr>
        <w:tc>
          <w:tcPr>
            <w:tcW w:type="dxa" w:w="10080"/>
            <w:shd w:fill="EEF5FC"/>
            <w:tcMar>
              <w:top w:w="140" w:type="dxa"/>
              <w:start w:w="160" w:type="dxa"/>
              <w:bottom w:w="140" w:type="dxa"/>
              <w:end w:w="160" w:type="dxa"/>
            </w:tcMar>
          </w:tcPr>
          <w:p>
            <w:pPr>
              <w:spacing w:after="0"/>
            </w:pPr>
            <w:r>
              <w:rPr>
                <w:b/>
                <w:color w:val="163A63"/>
              </w:rPr>
              <w:t xml:space="preserve">Request -&gt; Interpret -&gt; Retrieve / reason -&gt; Use tools -&gt; Verify result -&gt; Respond / act  </w:t>
            </w:r>
            <w:r>
              <w:t>The model coordinates the workflow, while external systems remain authoritative for data access, permissions and action execution.</w:t>
            </w:r>
          </w:p>
        </w:tc>
      </w:tr>
    </w:tbl>
    <w:p>
      <w:pPr>
        <w:pStyle w:val="Heading1"/>
      </w:pPr>
      <w:r>
        <w:t>What this system is not</w:t>
      </w:r>
    </w:p>
    <w:p>
      <w:pPr>
        <w:pStyle w:val="ListBullet"/>
        <w:spacing w:after="60"/>
      </w:pPr>
      <w:r>
        <w:t>It is not an unrestricted organisational search engine; access is bounded by enabled connectors and user permissions.</w:t>
      </w:r>
    </w:p>
    <w:p>
      <w:pPr>
        <w:pStyle w:val="ListBullet"/>
        <w:spacing w:after="60"/>
      </w:pPr>
      <w:r>
        <w:t>It does not continuously monitor enterprise data unless a scheduled or condition-based automation has been explicitly configured.</w:t>
      </w:r>
    </w:p>
    <w:p>
      <w:pPr>
        <w:pStyle w:val="ListBullet"/>
        <w:spacing w:after="60"/>
      </w:pPr>
      <w:r>
        <w:t>It is not guaranteed to be correct; important outputs and consequential actions should receive appropriate human review.</w:t>
      </w:r>
    </w:p>
    <w:p>
      <w:pPr>
        <w:pStyle w:val="ListBullet"/>
        <w:spacing w:after="60"/>
      </w:pPr>
      <w:r>
        <w:t>It does not bypass authentication, source-system permissions, safety policy, or connector-level restrictions.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A63"/>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6FED"/>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3A6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