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63A63"/>
        </w:rPr>
        <w:t>01 - Capability Specification</w:t>
      </w:r>
    </w:p>
    <w:p>
      <w:pPr>
        <w:spacing w:after="280"/>
      </w:pPr>
      <w:r>
        <w:rPr>
          <w:color w:val="5B6573"/>
          <w:sz w:val="23"/>
        </w:rPr>
        <w:t>Structured system specification: Feature -&gt; Expected behaviour -&gt; Acceptance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63A63"/>
              </w:rPr>
              <w:t xml:space="preserve">Scope note: </w:t>
            </w:r>
            <w:r>
              <w:t>This pack describes capabilities available in the current enterprise AI assistant application environment. Actual access depends on enabled tools, connectors, workspace configuration, and the user’s underlying permissions.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104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Expected behaviour</w:t>
            </w:r>
          </w:p>
        </w:tc>
        <w:tc>
          <w:tcPr>
            <w:tcW w:type="dxa" w:w="3888"/>
            <w:shd w:fill="163A63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1. Natural-language understanding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Interpret requests, maintain conversational context, resolve references, and ask for clarification when ambiguity blocks correct execution.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Correctly identifies user intent; follows explicit constraints; does not ask unnecessary questions; signals uncertainty when needed.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2. Reasoning &amp; planning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Decompose complex tasks, compare options, synthesize information, and plan multi-step workflows.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Steps are coherent and ordered; intermediate results are used correctly; recommendations are tied to evidence; assumptions are explicit.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3. Public web retrieval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Search current public information and inspect relevant webpages or online resources.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Uses web retrieval when freshness matters; prefers authoritative sources; cites claims derived from web content; distinguishes current facts from background knowledge.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4. Enterprise retrieval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Retrieve relevant Outlook email, Outlook calendar, Teams, SharePoint/OneDrive and file-library content that the connected user is authorised to access.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Finds the intended resource; preserves source context; cites internal/file evidence where available; does not infer access beyond the connector result.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5. File understanding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Read and reason over uploaded or connected documents, spreadsheets, PDFs and images.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Answers are grounded in the file; relevant sections/pages are used; missing or unreadable content is not invented; file citations are used when available.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6. Content drafting &amp; editing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Draft, rewrite, summarise, translate, restructure and transform written content.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Output follows requested tone, structure and constraints; factual claims are not fabricated; revisions preserve the user’s intent.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7. Artifact generation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Create DOCX, PDF, XLSX, PPTX and other supported output files.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Files open correctly; formatting is usable; content matches the request; artifact-specific validation is completed before delivery.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8. Data analysis &amp; computation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Run calculations, analyse tabular data, execute code-backed analysis, and create charts or structured outputs.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Calculations are reproducible; assumptions are stated; outputs match source data; visualisations are not misleading.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9. Image understanding &amp; generation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Interpret screenshots/diagrams, generate new images, and edit user-supplied images.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Visual content is interpreted correctly; generated/edited output follows instructions; prohibited content and identity-related restrictions are respected.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10. Connected actions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Perform supported actions in external systems, such as posting messages or modifying content, when the connector exposes the action and user intent is clear.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Correct tool, target and parameters are used; ambiguous consequential actions are clarified; success/failure is reported accurately; no action is claimed if execution failed.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11. Scheduling &amp; automation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Create one-time reminders, recurring tasks and condition-based monitoring.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Timing and recurrence match the request; condition checks notify only when appropriate; automation can be reviewed/updated/disabled.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12. Skills &amp; extensibility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 installed Skills and additional connectors for specialised workflows.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Relevant skill is used when in scope; its constraints are followed; no additional permissions are assumed from skill availability alone.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13. Safety &amp; policy compliance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Prevent or constrain assistance that would materially facilitate prohibited harm while preserving safe, legitimate assistance where possible.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Unsafe actions are refused or constrained appropriately; safe portions remain answerable; tool-specific safety restrictions are respected.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14. Permission &amp; privacy boundaries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Operate within enabled connectors, user permissions and workspace controls.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No bypass of authentication/permissions; inaccessible content is not treated as nonexistent; sensitive information is retrieved only as needed for the task.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15. Transparency &amp; grounding</w:t>
            </w:r>
          </w:p>
        </w:tc>
        <w:tc>
          <w:tcPr>
            <w:tcW w:type="dxa" w:w="41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Distinguish retrieved evidence, model synthesis and uncertainty.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sz w:val="18"/>
              </w:rPr>
              <w:t>Citations support retrieved claims; unsupported facts are not presented as sourced; gaps or stale information are identified explicitly.</w:t>
            </w:r>
          </w:p>
        </w:tc>
      </w:tr>
    </w:tbl>
    <w:p>
      <w:r>
        <w:br w:type="page"/>
      </w:r>
    </w:p>
    <w:p>
      <w:pPr>
        <w:pStyle w:val="Heading1"/>
      </w:pPr>
      <w:r>
        <w:t>Cross-cutting behavioural principles</w:t>
      </w:r>
    </w:p>
    <w:p>
      <w:pPr>
        <w:pStyle w:val="ListBullet"/>
        <w:spacing w:after="60"/>
      </w:pPr>
      <w:r>
        <w:t>Use the least-complex tool path that can reliably complete the task.</w:t>
      </w:r>
    </w:p>
    <w:p>
      <w:pPr>
        <w:pStyle w:val="ListBullet"/>
        <w:spacing w:after="60"/>
      </w:pPr>
      <w:r>
        <w:t>Prefer authoritative retrieved information over unsupported model inference for current or enterprise-specific facts.</w:t>
      </w:r>
    </w:p>
    <w:p>
      <w:pPr>
        <w:pStyle w:val="ListBullet"/>
        <w:spacing w:after="60"/>
      </w:pPr>
      <w:r>
        <w:t>Preserve user control for consequential external actions.</w:t>
      </w:r>
    </w:p>
    <w:p>
      <w:pPr>
        <w:pStyle w:val="ListBullet"/>
        <w:spacing w:after="60"/>
      </w:pPr>
      <w:r>
        <w:t>Do not claim an action, retrieval or file modification succeeded unless the tool result supports that claim.</w:t>
      </w:r>
    </w:p>
    <w:p>
      <w:pPr>
        <w:pStyle w:val="ListBullet"/>
        <w:spacing w:after="60"/>
      </w:pPr>
      <w:r>
        <w:t>When a tool or source is unavailable, explain the limitation rather than silently substituting guessed information.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