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63A63"/>
        </w:rPr>
        <w:t>02 - Tools, Actions &amp; Permissions</w:t>
      </w:r>
    </w:p>
    <w:p>
      <w:pPr>
        <w:spacing w:after="280"/>
      </w:pPr>
      <w:r>
        <w:rPr>
          <w:color w:val="5B6573"/>
          <w:sz w:val="23"/>
        </w:rPr>
        <w:t>Operational map of the systems this AI assistant application environment can use and the boundaries around them.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63A63"/>
              </w:rPr>
              <w:t xml:space="preserve">Scope note: </w:t>
            </w:r>
            <w:r>
              <w:t>This pack describes capabilities available in the current enterprise AI assistant application environment. Actual access depends on enabled tools, connectors, workspace configuration, and the user’s underlying permissions.</w:t>
            </w:r>
          </w:p>
        </w:tc>
      </w:tr>
    </w:tbl>
    <w:p>
      <w:pPr>
        <w:spacing w:after="20"/>
      </w:pPr>
    </w:p>
    <w:p>
      <w:pPr>
        <w:pStyle w:val="Heading1"/>
      </w:pPr>
      <w:r>
        <w:t>Connected enterprise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Tool / connector</w:t>
            </w:r>
          </w:p>
        </w:tc>
        <w:tc>
          <w:tcPr>
            <w:tcW w:type="dxa" w:w="3672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Core capabilities</w:t>
            </w:r>
          </w:p>
        </w:tc>
        <w:tc>
          <w:tcPr>
            <w:tcW w:type="dxa" w:w="2376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Data scope</w:t>
            </w:r>
          </w:p>
        </w:tc>
        <w:tc>
          <w:tcPr>
            <w:tcW w:type="dxa" w:w="3528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Important controls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Outlook Email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Search and read authorised email; use threads as context; connector may expose supported mail actions.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Mailbox content available through the connected account.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Permission-bound. Consequential send/write actions require clear user intent.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Outlook Calendar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Find events, inspect calendar context and availability.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Events and availability exposed to the connected account.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Do not infer meetings or availability that were not retrieved.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Microsoft Teams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Search/read chats, channels, messages and threads; create chats/channels or write messages where supported.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Teams resources accessible to the connected user.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Correct audience/target is critical; explicit intent required for write actions.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SharePoint / OneDrive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Search/read organisational content and perform certain supported modifications.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Files/sites the account is permitted to access.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Underlying Microsoft permissions remain authoritative; write support varies by connector/location.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Application Files / Library</w:t>
            </w:r>
          </w:p>
        </w:tc>
        <w:tc>
          <w:tcPr>
            <w:tcW w:type="dxa" w:w="36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Read uploaded/current-conversation files and accessible library content; create and manage supported library artifacts.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Conversation attachments and authorised library items.</w:t>
            </w:r>
          </w:p>
        </w:tc>
        <w:tc>
          <w:tcPr>
            <w:tcW w:type="dxa" w:w="35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Do not invent paths or file contents; preserve originals unless modification is requested.</w:t>
            </w:r>
          </w:p>
        </w:tc>
      </w:tr>
    </w:tbl>
    <w:p>
      <w:pPr>
        <w:pStyle w:val="Heading1"/>
      </w:pPr>
      <w:r>
        <w:t>General-purpose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Tool family</w:t>
            </w:r>
          </w:p>
        </w:tc>
        <w:tc>
          <w:tcPr>
            <w:tcW w:type="dxa" w:w="4608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it enables</w:t>
            </w:r>
          </w:p>
        </w:tc>
        <w:tc>
          <w:tcPr>
            <w:tcW w:type="dxa" w:w="4464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Control / boundary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Web search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Search current public information, open pages, follow links, inspect online PDFs and structured public results.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Use for current/public facts; cite retrieved claims; prefer authoritative sources.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Document generation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Create and edit Word, PDF, spreadsheets and slides using artifact-specific workflows.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Validate generated files before delivery; do not silently overwrite source files.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Code / analysis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Perform calculations, data processing and file generation in an execution environment.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Use reproducible calculations; do not treat execution as proof of semantic correctness.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Image generation / editing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Generate visuals and edit an available image target.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Requires a usable image for edits; safety and identity restrictions apply.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Scheduled tasks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Create one-time, recurring and condition-based automations.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Automation must be explicit; ordinary chat is not persistent background monitoring.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Skills</w:t>
            </w:r>
          </w:p>
        </w:tc>
        <w:tc>
          <w:tcPr>
            <w:tcW w:type="dxa" w:w="4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Apply specialised installed workflows.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Skill instructions govern execution when applicable; skills do not override safety or permissions.</w:t>
            </w:r>
          </w:p>
        </w:tc>
      </w:tr>
    </w:tbl>
    <w:p>
      <w:pPr>
        <w:pStyle w:val="Heading1"/>
      </w:pPr>
      <w:r>
        <w:t>Action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63A63"/>
              </w:rPr>
              <w:t xml:space="preserve">Read actions  </w:t>
            </w:r>
            <w:r>
              <w:t>Retrieval is used to answer a user’s request. Read access remains constrained by the connected account and source-system permissions.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D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63A63"/>
              </w:rPr>
              <w:t xml:space="preserve">Write actions  </w:t>
            </w:r>
            <w:r>
              <w:t>Posting, sending, modifying, creating or deleting external content creates agency risk. The system should perform these only when the action is supported and the user’s intent is sufficiently clear.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B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63A63"/>
              </w:rPr>
              <w:t xml:space="preserve">Destructive / consequential actions  </w:t>
            </w:r>
            <w:r>
              <w:t>Targets, recipients and scope should not be guessed. Ambiguity should be resolved before action, and the result should be reported accurately.</w:t>
            </w:r>
          </w:p>
        </w:tc>
      </w:tr>
    </w:tbl>
    <w:p>
      <w:pPr>
        <w:pStyle w:val="Heading1"/>
      </w:pPr>
      <w:r>
        <w:t>Representative tool-use acceptance criteria</w:t>
      </w:r>
    </w:p>
    <w:p>
      <w:pPr>
        <w:pStyle w:val="ListBullet"/>
        <w:spacing w:after="60"/>
      </w:pPr>
      <w:r>
        <w:t>Tool selection: the system chooses the tool that matches the requested data source or action.</w:t>
      </w:r>
    </w:p>
    <w:p>
      <w:pPr>
        <w:pStyle w:val="ListBullet"/>
        <w:spacing w:after="60"/>
      </w:pPr>
      <w:r>
        <w:t>Invocation accuracy: query terms, identifiers, recipients, dates and parameters match the user’s request.</w:t>
      </w:r>
    </w:p>
    <w:p>
      <w:pPr>
        <w:pStyle w:val="ListBullet"/>
        <w:spacing w:after="60"/>
      </w:pPr>
      <w:r>
        <w:t>Target accuracy: the action applies to the intended message, file, event, person, channel or resource.</w:t>
      </w:r>
    </w:p>
    <w:p>
      <w:pPr>
        <w:pStyle w:val="ListBullet"/>
        <w:spacing w:after="60"/>
      </w:pPr>
      <w:r>
        <w:t>Execution accuracy: the tool successfully performs the supported operation.</w:t>
      </w:r>
    </w:p>
    <w:p>
      <w:pPr>
        <w:pStyle w:val="ListBullet"/>
        <w:spacing w:after="60"/>
      </w:pPr>
      <w:r>
        <w:t>Outcome verification: the system distinguishes success, partial success and failure.</w:t>
      </w:r>
    </w:p>
    <w:p>
      <w:pPr>
        <w:pStyle w:val="ListBullet"/>
        <w:spacing w:after="60"/>
      </w:pPr>
      <w:r>
        <w:t>Action fidelity: the executed action does not materially exceed what the user authorised.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3A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